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695" w:type="dxa"/>
        <w:jc w:val="center"/>
        <w:tblLayout w:type="fixed"/>
        <w:tblLook w:val="04A0" w:firstRow="1" w:lastRow="0" w:firstColumn="1" w:lastColumn="0" w:noHBand="0" w:noVBand="1"/>
      </w:tblPr>
      <w:tblGrid>
        <w:gridCol w:w="625"/>
        <w:gridCol w:w="1440"/>
        <w:gridCol w:w="9630"/>
      </w:tblGrid>
      <w:tr w:rsidR="00397A4F" w:rsidRPr="0023730E" w14:paraId="7B5568E6" w14:textId="77777777" w:rsidTr="00140C48">
        <w:trPr>
          <w:cantSplit/>
          <w:trHeight w:val="144"/>
          <w:tblHeader/>
          <w:jc w:val="center"/>
        </w:trPr>
        <w:tc>
          <w:tcPr>
            <w:tcW w:w="625" w:type="dxa"/>
            <w:shd w:val="clear" w:color="auto" w:fill="1F497D" w:themeFill="text2"/>
          </w:tcPr>
          <w:p w14:paraId="75D78125" w14:textId="77777777" w:rsidR="00271F9F" w:rsidRPr="0023730E" w:rsidRDefault="00271F9F" w:rsidP="00A00991">
            <w:pPr>
              <w:widowControl w:val="0"/>
              <w:ind w:right="-374"/>
              <w:rPr>
                <w:rFonts w:cs="Arial"/>
                <w:b/>
                <w:color w:val="FFFFFF" w:themeColor="background1"/>
                <w:sz w:val="20"/>
              </w:rPr>
            </w:pPr>
            <w:r w:rsidRPr="0023730E">
              <w:rPr>
                <w:rFonts w:cs="Arial"/>
                <w:b/>
                <w:color w:val="FFFFFF" w:themeColor="background1"/>
                <w:sz w:val="20"/>
              </w:rPr>
              <w:t>#</w:t>
            </w:r>
          </w:p>
        </w:tc>
        <w:tc>
          <w:tcPr>
            <w:tcW w:w="1440" w:type="dxa"/>
            <w:shd w:val="clear" w:color="auto" w:fill="1F497D" w:themeFill="text2"/>
          </w:tcPr>
          <w:p w14:paraId="67826B90" w14:textId="77777777" w:rsidR="00271F9F" w:rsidRPr="009C1871" w:rsidRDefault="00271F9F" w:rsidP="00D9028D">
            <w:pPr>
              <w:rPr>
                <w:rFonts w:cs="Arial"/>
                <w:b/>
                <w:color w:val="FFFFFF" w:themeColor="background1"/>
                <w:sz w:val="18"/>
              </w:rPr>
            </w:pPr>
            <w:r w:rsidRPr="009C1871">
              <w:rPr>
                <w:rFonts w:cs="Arial"/>
                <w:b/>
                <w:color w:val="FFFFFF" w:themeColor="background1"/>
                <w:sz w:val="18"/>
              </w:rPr>
              <w:t>Type of Item</w:t>
            </w:r>
          </w:p>
        </w:tc>
        <w:tc>
          <w:tcPr>
            <w:tcW w:w="9630" w:type="dxa"/>
            <w:shd w:val="clear" w:color="auto" w:fill="1F497D" w:themeFill="text2"/>
          </w:tcPr>
          <w:p w14:paraId="11656EB9" w14:textId="77777777" w:rsidR="00271F9F" w:rsidRPr="009C1871" w:rsidRDefault="00271F9F" w:rsidP="003458BF">
            <w:pPr>
              <w:jc w:val="center"/>
              <w:rPr>
                <w:rFonts w:cs="Arial"/>
                <w:b/>
                <w:color w:val="FFFFFF" w:themeColor="background1"/>
                <w:sz w:val="18"/>
              </w:rPr>
            </w:pPr>
            <w:r w:rsidRPr="009C1871">
              <w:rPr>
                <w:rFonts w:cs="Arial"/>
                <w:b/>
                <w:color w:val="FFFFFF" w:themeColor="background1"/>
                <w:sz w:val="18"/>
              </w:rPr>
              <w:t>Agenda Item/Summary</w:t>
            </w:r>
          </w:p>
        </w:tc>
      </w:tr>
      <w:tr w:rsidR="00620F1A" w:rsidRPr="00A65C7D" w14:paraId="0CD196B9" w14:textId="77777777" w:rsidTr="00140C48">
        <w:trPr>
          <w:cantSplit/>
          <w:trHeight w:val="584"/>
          <w:jc w:val="center"/>
        </w:trPr>
        <w:tc>
          <w:tcPr>
            <w:tcW w:w="625" w:type="dxa"/>
          </w:tcPr>
          <w:p w14:paraId="16A63A84" w14:textId="77777777" w:rsidR="00D9028D" w:rsidRPr="00A65C7D" w:rsidRDefault="00D9028D" w:rsidP="00A00991">
            <w:pPr>
              <w:numPr>
                <w:ilvl w:val="0"/>
                <w:numId w:val="1"/>
              </w:numPr>
              <w:ind w:left="0" w:right="-210" w:firstLine="0"/>
              <w:rPr>
                <w:rFonts w:cs="Arial"/>
                <w:sz w:val="20"/>
              </w:rPr>
            </w:pPr>
          </w:p>
        </w:tc>
        <w:tc>
          <w:tcPr>
            <w:tcW w:w="1440" w:type="dxa"/>
          </w:tcPr>
          <w:p w14:paraId="021F9048" w14:textId="77777777" w:rsidR="00D9028D" w:rsidRPr="00E40629" w:rsidRDefault="00D9028D" w:rsidP="00D9028D">
            <w:pPr>
              <w:rPr>
                <w:rFonts w:cs="Arial"/>
                <w:sz w:val="20"/>
                <w:szCs w:val="20"/>
              </w:rPr>
            </w:pPr>
            <w:r w:rsidRPr="00E40629">
              <w:rPr>
                <w:rFonts w:cs="Arial"/>
                <w:sz w:val="20"/>
                <w:szCs w:val="20"/>
              </w:rPr>
              <w:t>Procedural</w:t>
            </w:r>
          </w:p>
        </w:tc>
        <w:tc>
          <w:tcPr>
            <w:tcW w:w="9630" w:type="dxa"/>
          </w:tcPr>
          <w:p w14:paraId="2F0A3CA6" w14:textId="77777777" w:rsidR="00E1589D" w:rsidRPr="00E40629" w:rsidRDefault="00E1589D" w:rsidP="00E1589D">
            <w:pPr>
              <w:rPr>
                <w:rStyle w:val="Strong"/>
                <w:rFonts w:cs="Arial"/>
                <w:sz w:val="20"/>
                <w:szCs w:val="20"/>
              </w:rPr>
            </w:pPr>
            <w:r w:rsidRPr="00E40629">
              <w:rPr>
                <w:rStyle w:val="Strong"/>
                <w:rFonts w:cs="Arial"/>
                <w:sz w:val="20"/>
                <w:szCs w:val="20"/>
              </w:rPr>
              <w:t>Call Meeting to Order</w:t>
            </w:r>
          </w:p>
          <w:p w14:paraId="36C5670D" w14:textId="77777777" w:rsidR="00E1589D" w:rsidRPr="00555D62" w:rsidRDefault="00E1589D" w:rsidP="00E1589D">
            <w:pPr>
              <w:rPr>
                <w:rStyle w:val="Strong"/>
                <w:rFonts w:cs="Arial"/>
                <w:sz w:val="14"/>
                <w:szCs w:val="20"/>
              </w:rPr>
            </w:pPr>
          </w:p>
          <w:p w14:paraId="421077D2" w14:textId="2B437AEE" w:rsidR="00E40629" w:rsidRPr="009C1871" w:rsidRDefault="00E1589D" w:rsidP="00D9028D">
            <w:pPr>
              <w:rPr>
                <w:rStyle w:val="Strong"/>
                <w:b w:val="0"/>
                <w:bCs w:val="0"/>
                <w:sz w:val="20"/>
                <w:szCs w:val="20"/>
              </w:rPr>
            </w:pPr>
            <w:r w:rsidRPr="00E40629">
              <w:rPr>
                <w:rStyle w:val="Strong"/>
                <w:sz w:val="20"/>
                <w:szCs w:val="20"/>
              </w:rPr>
              <w:t xml:space="preserve">Summary: </w:t>
            </w:r>
            <w:r w:rsidR="00D1507D">
              <w:rPr>
                <w:sz w:val="20"/>
                <w:szCs w:val="20"/>
              </w:rPr>
              <w:t>CalACES</w:t>
            </w:r>
            <w:r w:rsidRPr="00E40629">
              <w:rPr>
                <w:sz w:val="20"/>
                <w:szCs w:val="20"/>
              </w:rPr>
              <w:t xml:space="preserve"> Board Chair, Scott Pe</w:t>
            </w:r>
            <w:r w:rsidR="00510226">
              <w:rPr>
                <w:sz w:val="20"/>
                <w:szCs w:val="20"/>
              </w:rPr>
              <w:t>ttygrove, will call the meeting</w:t>
            </w:r>
            <w:r w:rsidRPr="00E40629">
              <w:rPr>
                <w:sz w:val="20"/>
                <w:szCs w:val="20"/>
              </w:rPr>
              <w:t xml:space="preserve"> to order.</w:t>
            </w:r>
          </w:p>
        </w:tc>
      </w:tr>
      <w:tr w:rsidR="00620F1A" w:rsidRPr="00A65C7D" w14:paraId="73046644" w14:textId="77777777" w:rsidTr="00140C48">
        <w:trPr>
          <w:cantSplit/>
          <w:trHeight w:val="485"/>
          <w:jc w:val="center"/>
        </w:trPr>
        <w:tc>
          <w:tcPr>
            <w:tcW w:w="625" w:type="dxa"/>
          </w:tcPr>
          <w:p w14:paraId="5F8FEC1B" w14:textId="77777777" w:rsidR="00D9028D" w:rsidRPr="00A65C7D" w:rsidRDefault="00D9028D" w:rsidP="00A00991">
            <w:pPr>
              <w:numPr>
                <w:ilvl w:val="0"/>
                <w:numId w:val="1"/>
              </w:numPr>
              <w:ind w:left="0" w:firstLine="0"/>
              <w:rPr>
                <w:rFonts w:cs="Arial"/>
                <w:sz w:val="20"/>
              </w:rPr>
            </w:pPr>
          </w:p>
        </w:tc>
        <w:tc>
          <w:tcPr>
            <w:tcW w:w="1440" w:type="dxa"/>
          </w:tcPr>
          <w:p w14:paraId="2F61AACA" w14:textId="77777777" w:rsidR="00D9028D" w:rsidRDefault="00D9028D" w:rsidP="00D9028D">
            <w:pPr>
              <w:rPr>
                <w:rFonts w:cs="Arial"/>
                <w:sz w:val="20"/>
              </w:rPr>
            </w:pPr>
            <w:r>
              <w:rPr>
                <w:rFonts w:cs="Arial"/>
                <w:sz w:val="20"/>
              </w:rPr>
              <w:t>Procedural</w:t>
            </w:r>
          </w:p>
        </w:tc>
        <w:tc>
          <w:tcPr>
            <w:tcW w:w="9630" w:type="dxa"/>
          </w:tcPr>
          <w:p w14:paraId="50E1DF33" w14:textId="77777777" w:rsidR="00D9028D" w:rsidRDefault="00D9028D" w:rsidP="00D9028D">
            <w:pPr>
              <w:rPr>
                <w:rStyle w:val="Strong"/>
                <w:rFonts w:cs="Arial"/>
                <w:sz w:val="20"/>
              </w:rPr>
            </w:pPr>
            <w:r>
              <w:rPr>
                <w:rStyle w:val="Strong"/>
                <w:rFonts w:cs="Arial"/>
                <w:sz w:val="20"/>
              </w:rPr>
              <w:t>Public opportunity to speak on items not on the Agenda</w:t>
            </w:r>
          </w:p>
          <w:p w14:paraId="043C7CE0" w14:textId="77777777" w:rsidR="00E40629" w:rsidRPr="00555D62" w:rsidRDefault="00E40629" w:rsidP="00D9028D">
            <w:pPr>
              <w:rPr>
                <w:rStyle w:val="Strong"/>
                <w:rFonts w:cs="Arial"/>
                <w:sz w:val="14"/>
              </w:rPr>
            </w:pPr>
          </w:p>
          <w:p w14:paraId="5779B43D" w14:textId="6644EC30" w:rsidR="00E40629" w:rsidRPr="009C1871" w:rsidRDefault="00E40629" w:rsidP="00D9028D">
            <w:pPr>
              <w:rPr>
                <w:rStyle w:val="Strong"/>
                <w:rFonts w:cs="Arial"/>
                <w:b w:val="0"/>
                <w:sz w:val="20"/>
              </w:rPr>
            </w:pPr>
            <w:r w:rsidRPr="00E40629">
              <w:rPr>
                <w:rStyle w:val="Strong"/>
                <w:rFonts w:cs="Arial"/>
                <w:sz w:val="20"/>
              </w:rPr>
              <w:t xml:space="preserve">Summary: </w:t>
            </w:r>
            <w:r w:rsidRPr="00E40629">
              <w:rPr>
                <w:rStyle w:val="Strong"/>
                <w:rFonts w:cs="Arial"/>
                <w:b w:val="0"/>
                <w:sz w:val="20"/>
              </w:rPr>
              <w:t>Scott Pettygrove will provide the Public with an opportunity to speak on items not on the agenda.</w:t>
            </w:r>
          </w:p>
        </w:tc>
      </w:tr>
      <w:tr w:rsidR="00397A4F" w:rsidRPr="0023730E" w14:paraId="7A9D1D25" w14:textId="77777777" w:rsidTr="00140C48">
        <w:trPr>
          <w:cantSplit/>
          <w:trHeight w:val="144"/>
          <w:tblHeader/>
          <w:jc w:val="center"/>
        </w:trPr>
        <w:tc>
          <w:tcPr>
            <w:tcW w:w="625" w:type="dxa"/>
            <w:shd w:val="clear" w:color="auto" w:fill="1F497D" w:themeFill="text2"/>
          </w:tcPr>
          <w:p w14:paraId="1A8780E0" w14:textId="69731B35" w:rsidR="003458BF" w:rsidRPr="0023730E" w:rsidRDefault="003458BF" w:rsidP="00A00991">
            <w:pPr>
              <w:rPr>
                <w:rFonts w:cs="Arial"/>
                <w:b/>
                <w:color w:val="FFFFFF" w:themeColor="background1"/>
                <w:sz w:val="20"/>
              </w:rPr>
            </w:pPr>
          </w:p>
        </w:tc>
        <w:tc>
          <w:tcPr>
            <w:tcW w:w="1440" w:type="dxa"/>
            <w:shd w:val="clear" w:color="auto" w:fill="1F497D" w:themeFill="text2"/>
          </w:tcPr>
          <w:p w14:paraId="5B67C992" w14:textId="0FF94906" w:rsidR="003458BF" w:rsidRPr="0023730E" w:rsidRDefault="003458BF" w:rsidP="00195D1B">
            <w:pPr>
              <w:rPr>
                <w:rFonts w:cs="Arial"/>
                <w:b/>
                <w:color w:val="FFFFFF" w:themeColor="background1"/>
                <w:sz w:val="20"/>
              </w:rPr>
            </w:pPr>
          </w:p>
        </w:tc>
        <w:tc>
          <w:tcPr>
            <w:tcW w:w="9630" w:type="dxa"/>
            <w:shd w:val="clear" w:color="auto" w:fill="1F497D" w:themeFill="text2"/>
          </w:tcPr>
          <w:p w14:paraId="37ACC8B8" w14:textId="6549C75E" w:rsidR="003458BF" w:rsidRPr="009C1871" w:rsidRDefault="003458BF" w:rsidP="00195D1B">
            <w:pPr>
              <w:jc w:val="center"/>
              <w:rPr>
                <w:rFonts w:cs="Arial"/>
                <w:b/>
                <w:color w:val="FFFFFF" w:themeColor="background1"/>
                <w:sz w:val="18"/>
              </w:rPr>
            </w:pPr>
            <w:r w:rsidRPr="009C1871">
              <w:rPr>
                <w:rFonts w:cs="Arial"/>
                <w:b/>
                <w:color w:val="FFFFFF" w:themeColor="background1"/>
                <w:sz w:val="18"/>
              </w:rPr>
              <w:t>JPA Board Action Items</w:t>
            </w:r>
          </w:p>
        </w:tc>
      </w:tr>
      <w:tr w:rsidR="00620F1A" w:rsidRPr="00A65C7D" w14:paraId="7040510D" w14:textId="77777777" w:rsidTr="00140C48">
        <w:trPr>
          <w:cantSplit/>
          <w:trHeight w:val="1340"/>
          <w:jc w:val="center"/>
        </w:trPr>
        <w:tc>
          <w:tcPr>
            <w:tcW w:w="625" w:type="dxa"/>
          </w:tcPr>
          <w:p w14:paraId="0AD4444E" w14:textId="77777777" w:rsidR="00EA4117" w:rsidRPr="00A65C7D" w:rsidRDefault="00EA4117" w:rsidP="00A00991">
            <w:pPr>
              <w:numPr>
                <w:ilvl w:val="0"/>
                <w:numId w:val="1"/>
              </w:numPr>
              <w:ind w:left="0" w:firstLine="0"/>
              <w:rPr>
                <w:rFonts w:cs="Arial"/>
                <w:sz w:val="20"/>
              </w:rPr>
            </w:pPr>
          </w:p>
        </w:tc>
        <w:tc>
          <w:tcPr>
            <w:tcW w:w="1440" w:type="dxa"/>
          </w:tcPr>
          <w:p w14:paraId="0C4D12B8" w14:textId="77777777" w:rsidR="00EA4117" w:rsidRDefault="00EA4117" w:rsidP="00D9028D">
            <w:pPr>
              <w:rPr>
                <w:rFonts w:cs="Arial"/>
                <w:sz w:val="20"/>
              </w:rPr>
            </w:pPr>
            <w:r>
              <w:rPr>
                <w:rFonts w:cs="Arial"/>
                <w:sz w:val="20"/>
              </w:rPr>
              <w:t>Action</w:t>
            </w:r>
          </w:p>
        </w:tc>
        <w:tc>
          <w:tcPr>
            <w:tcW w:w="9630" w:type="dxa"/>
          </w:tcPr>
          <w:p w14:paraId="03D3E108" w14:textId="3A43AD15" w:rsidR="00A6142F" w:rsidRDefault="00C8533A" w:rsidP="00EA4117">
            <w:pPr>
              <w:rPr>
                <w:rStyle w:val="Strong"/>
                <w:rFonts w:cs="Arial"/>
                <w:sz w:val="20"/>
              </w:rPr>
            </w:pPr>
            <w:r>
              <w:rPr>
                <w:rStyle w:val="Strong"/>
                <w:rFonts w:cs="Arial"/>
                <w:sz w:val="20"/>
              </w:rPr>
              <w:t xml:space="preserve">Approve the </w:t>
            </w:r>
            <w:r w:rsidR="00CB4F23">
              <w:rPr>
                <w:rStyle w:val="Strong"/>
                <w:rFonts w:cs="Arial"/>
                <w:sz w:val="20"/>
              </w:rPr>
              <w:t>Minutes</w:t>
            </w:r>
            <w:r w:rsidR="006E6CE1">
              <w:rPr>
                <w:rStyle w:val="Strong"/>
                <w:rFonts w:cs="Arial"/>
                <w:sz w:val="20"/>
              </w:rPr>
              <w:t xml:space="preserve"> of the March</w:t>
            </w:r>
            <w:r w:rsidR="00EA4117">
              <w:rPr>
                <w:rStyle w:val="Strong"/>
                <w:rFonts w:cs="Arial"/>
                <w:sz w:val="20"/>
              </w:rPr>
              <w:t xml:space="preserve"> </w:t>
            </w:r>
            <w:r w:rsidR="003458BF">
              <w:rPr>
                <w:rStyle w:val="Strong"/>
                <w:rFonts w:cs="Arial"/>
                <w:sz w:val="20"/>
              </w:rPr>
              <w:t>2</w:t>
            </w:r>
            <w:r w:rsidR="006E6CE1">
              <w:rPr>
                <w:rStyle w:val="Strong"/>
                <w:rFonts w:cs="Arial"/>
                <w:sz w:val="20"/>
              </w:rPr>
              <w:t>3</w:t>
            </w:r>
            <w:r w:rsidR="00EA4117">
              <w:rPr>
                <w:rStyle w:val="Strong"/>
                <w:rFonts w:cs="Arial"/>
                <w:sz w:val="20"/>
              </w:rPr>
              <w:t>, 201</w:t>
            </w:r>
            <w:r w:rsidR="00E1589D">
              <w:rPr>
                <w:rStyle w:val="Strong"/>
                <w:rFonts w:cs="Arial"/>
                <w:sz w:val="20"/>
              </w:rPr>
              <w:t>8</w:t>
            </w:r>
            <w:r w:rsidR="00EA4117">
              <w:rPr>
                <w:rStyle w:val="Strong"/>
                <w:rFonts w:cs="Arial"/>
                <w:sz w:val="20"/>
              </w:rPr>
              <w:t xml:space="preserve"> </w:t>
            </w:r>
            <w:r w:rsidR="00D1507D">
              <w:rPr>
                <w:rStyle w:val="Strong"/>
                <w:rFonts w:cs="Arial"/>
                <w:sz w:val="20"/>
              </w:rPr>
              <w:t xml:space="preserve">CalACES </w:t>
            </w:r>
            <w:r w:rsidRPr="00C8533A">
              <w:rPr>
                <w:rFonts w:cs="Arial"/>
                <w:b/>
                <w:bCs/>
                <w:sz w:val="20"/>
              </w:rPr>
              <w:t xml:space="preserve">JPA </w:t>
            </w:r>
            <w:r w:rsidR="00E1589D" w:rsidRPr="00E1589D">
              <w:rPr>
                <w:rFonts w:cs="Arial"/>
                <w:b/>
                <w:bCs/>
                <w:sz w:val="20"/>
              </w:rPr>
              <w:t>Board</w:t>
            </w:r>
            <w:r w:rsidR="00D1507D">
              <w:rPr>
                <w:rFonts w:cs="Arial"/>
                <w:b/>
                <w:bCs/>
                <w:sz w:val="20"/>
              </w:rPr>
              <w:t xml:space="preserve"> of Directors</w:t>
            </w:r>
            <w:r w:rsidR="00E1589D" w:rsidRPr="00E1589D">
              <w:rPr>
                <w:rFonts w:cs="Arial"/>
                <w:b/>
                <w:bCs/>
                <w:sz w:val="20"/>
              </w:rPr>
              <w:t xml:space="preserve"> Meeting and update of Action Items</w:t>
            </w:r>
          </w:p>
          <w:p w14:paraId="726CAE9E" w14:textId="77777777" w:rsidR="00C8533A" w:rsidRPr="00555D62" w:rsidRDefault="00C8533A" w:rsidP="00EA4117">
            <w:pPr>
              <w:rPr>
                <w:rStyle w:val="Strong"/>
                <w:rFonts w:cs="Arial"/>
                <w:sz w:val="14"/>
              </w:rPr>
            </w:pPr>
          </w:p>
          <w:p w14:paraId="69ADCC78" w14:textId="6F4E40C6" w:rsidR="009C1871" w:rsidRDefault="00EA4117" w:rsidP="00620F1A">
            <w:pPr>
              <w:spacing w:line="200" w:lineRule="exact"/>
              <w:rPr>
                <w:sz w:val="20"/>
                <w:szCs w:val="20"/>
              </w:rPr>
            </w:pPr>
            <w:r w:rsidRPr="00533730">
              <w:rPr>
                <w:b/>
                <w:sz w:val="20"/>
                <w:szCs w:val="20"/>
              </w:rPr>
              <w:t>Summary:</w:t>
            </w:r>
            <w:r w:rsidRPr="00533730">
              <w:rPr>
                <w:sz w:val="20"/>
                <w:szCs w:val="20"/>
              </w:rPr>
              <w:t xml:space="preserve">  The Consortium is seeking Board approval of the </w:t>
            </w:r>
            <w:r w:rsidR="006E6CE1">
              <w:rPr>
                <w:bCs/>
                <w:sz w:val="20"/>
                <w:szCs w:val="20"/>
              </w:rPr>
              <w:t>March</w:t>
            </w:r>
            <w:r w:rsidR="00E1589D" w:rsidRPr="00E1589D">
              <w:rPr>
                <w:bCs/>
                <w:sz w:val="20"/>
                <w:szCs w:val="20"/>
              </w:rPr>
              <w:t xml:space="preserve"> 2</w:t>
            </w:r>
            <w:r w:rsidR="006E6CE1">
              <w:rPr>
                <w:bCs/>
                <w:sz w:val="20"/>
                <w:szCs w:val="20"/>
              </w:rPr>
              <w:t>3</w:t>
            </w:r>
            <w:r w:rsidR="00E1589D" w:rsidRPr="00E1589D">
              <w:rPr>
                <w:bCs/>
                <w:sz w:val="20"/>
                <w:szCs w:val="20"/>
              </w:rPr>
              <w:t>, 2018</w:t>
            </w:r>
            <w:r w:rsidR="00E1589D">
              <w:rPr>
                <w:b/>
                <w:bCs/>
                <w:sz w:val="20"/>
                <w:szCs w:val="20"/>
              </w:rPr>
              <w:t xml:space="preserve"> </w:t>
            </w:r>
            <w:r w:rsidR="00C8533A" w:rsidRPr="00C8533A">
              <w:rPr>
                <w:sz w:val="20"/>
                <w:szCs w:val="20"/>
              </w:rPr>
              <w:t xml:space="preserve">JPA </w:t>
            </w:r>
            <w:r w:rsidR="00E1589D" w:rsidRPr="00E1589D">
              <w:rPr>
                <w:bCs/>
                <w:sz w:val="20"/>
                <w:szCs w:val="20"/>
              </w:rPr>
              <w:t>Board Meeting</w:t>
            </w:r>
            <w:r w:rsidR="007069EF" w:rsidRPr="007069EF">
              <w:rPr>
                <w:sz w:val="20"/>
                <w:szCs w:val="20"/>
              </w:rPr>
              <w:t xml:space="preserve"> </w:t>
            </w:r>
            <w:r w:rsidR="00090618">
              <w:rPr>
                <w:sz w:val="20"/>
                <w:szCs w:val="20"/>
              </w:rPr>
              <w:t>Minutes.</w:t>
            </w:r>
            <w:r w:rsidR="000D0617">
              <w:rPr>
                <w:sz w:val="20"/>
                <w:szCs w:val="20"/>
              </w:rPr>
              <w:t xml:space="preserve"> </w:t>
            </w:r>
            <w:r w:rsidR="000D0617" w:rsidRPr="000D0617">
              <w:rPr>
                <w:sz w:val="20"/>
                <w:szCs w:val="20"/>
              </w:rPr>
              <w:t xml:space="preserve">Prior to approval, </w:t>
            </w:r>
            <w:r w:rsidR="000D0617">
              <w:rPr>
                <w:sz w:val="20"/>
                <w:szCs w:val="20"/>
              </w:rPr>
              <w:t>John Boule</w:t>
            </w:r>
            <w:r w:rsidR="000D0617" w:rsidRPr="000D0617">
              <w:rPr>
                <w:sz w:val="20"/>
                <w:szCs w:val="20"/>
              </w:rPr>
              <w:t xml:space="preserve"> will review the status of any outstanding Action Items from the minutes.  </w:t>
            </w:r>
          </w:p>
          <w:p w14:paraId="2C41F1C3" w14:textId="77777777" w:rsidR="00620F1A" w:rsidRPr="00555D62" w:rsidRDefault="00620F1A" w:rsidP="00620F1A">
            <w:pPr>
              <w:spacing w:line="200" w:lineRule="exact"/>
              <w:rPr>
                <w:sz w:val="14"/>
                <w:szCs w:val="20"/>
              </w:rPr>
            </w:pPr>
          </w:p>
          <w:p w14:paraId="226DFAEE" w14:textId="02090176" w:rsidR="00B56918" w:rsidRPr="00BA2914" w:rsidRDefault="00EA4117" w:rsidP="00620F1A">
            <w:pPr>
              <w:spacing w:line="200" w:lineRule="exact"/>
              <w:rPr>
                <w:rStyle w:val="Strong"/>
                <w:b w:val="0"/>
                <w:bCs w:val="0"/>
                <w:sz w:val="20"/>
                <w:szCs w:val="20"/>
              </w:rPr>
            </w:pPr>
            <w:r w:rsidRPr="00533730">
              <w:rPr>
                <w:sz w:val="20"/>
                <w:szCs w:val="20"/>
              </w:rPr>
              <w:t>(Handout)</w:t>
            </w:r>
          </w:p>
        </w:tc>
      </w:tr>
      <w:tr w:rsidR="00140C48" w:rsidRPr="00A65C7D" w14:paraId="6694D869" w14:textId="77777777" w:rsidTr="00140C48">
        <w:trPr>
          <w:cantSplit/>
          <w:trHeight w:val="1340"/>
          <w:jc w:val="center"/>
        </w:trPr>
        <w:tc>
          <w:tcPr>
            <w:tcW w:w="625" w:type="dxa"/>
          </w:tcPr>
          <w:p w14:paraId="4705BBA4" w14:textId="77777777" w:rsidR="00140C48" w:rsidRPr="00A65C7D" w:rsidRDefault="00140C48" w:rsidP="00A00991">
            <w:pPr>
              <w:numPr>
                <w:ilvl w:val="0"/>
                <w:numId w:val="1"/>
              </w:numPr>
              <w:ind w:left="0" w:firstLine="0"/>
              <w:rPr>
                <w:rFonts w:cs="Arial"/>
                <w:sz w:val="20"/>
              </w:rPr>
            </w:pPr>
          </w:p>
        </w:tc>
        <w:tc>
          <w:tcPr>
            <w:tcW w:w="1440" w:type="dxa"/>
          </w:tcPr>
          <w:p w14:paraId="41FC5693" w14:textId="10D07728" w:rsidR="00140C48" w:rsidRDefault="00140C48" w:rsidP="00D9028D">
            <w:pPr>
              <w:rPr>
                <w:rFonts w:cs="Arial"/>
                <w:sz w:val="20"/>
              </w:rPr>
            </w:pPr>
            <w:r>
              <w:rPr>
                <w:rFonts w:cs="Arial"/>
                <w:sz w:val="20"/>
              </w:rPr>
              <w:t>Action</w:t>
            </w:r>
          </w:p>
        </w:tc>
        <w:tc>
          <w:tcPr>
            <w:tcW w:w="9630" w:type="dxa"/>
          </w:tcPr>
          <w:p w14:paraId="3AD3609C" w14:textId="0FC0E1C8" w:rsidR="00140C48" w:rsidRDefault="00140C48" w:rsidP="00140C48">
            <w:pPr>
              <w:rPr>
                <w:rStyle w:val="Strong"/>
                <w:rFonts w:cs="Arial"/>
                <w:sz w:val="20"/>
              </w:rPr>
            </w:pPr>
            <w:r>
              <w:rPr>
                <w:rStyle w:val="Strong"/>
                <w:rFonts w:cs="Arial"/>
                <w:sz w:val="20"/>
              </w:rPr>
              <w:t xml:space="preserve">Approve the Minutes of the April 10, 2018 Special CalACES </w:t>
            </w:r>
            <w:r w:rsidRPr="00C8533A">
              <w:rPr>
                <w:rFonts w:cs="Arial"/>
                <w:b/>
                <w:bCs/>
                <w:sz w:val="20"/>
              </w:rPr>
              <w:t xml:space="preserve">JPA </w:t>
            </w:r>
            <w:r w:rsidRPr="00E1589D">
              <w:rPr>
                <w:rFonts w:cs="Arial"/>
                <w:b/>
                <w:bCs/>
                <w:sz w:val="20"/>
              </w:rPr>
              <w:t>Board</w:t>
            </w:r>
            <w:r>
              <w:rPr>
                <w:rFonts w:cs="Arial"/>
                <w:b/>
                <w:bCs/>
                <w:sz w:val="20"/>
              </w:rPr>
              <w:t xml:space="preserve"> of Directors</w:t>
            </w:r>
            <w:r w:rsidRPr="00E1589D">
              <w:rPr>
                <w:rFonts w:cs="Arial"/>
                <w:b/>
                <w:bCs/>
                <w:sz w:val="20"/>
              </w:rPr>
              <w:t xml:space="preserve"> Meeting and update of Action Items</w:t>
            </w:r>
          </w:p>
          <w:p w14:paraId="5A2E2081" w14:textId="77777777" w:rsidR="00140C48" w:rsidRPr="00555D62" w:rsidRDefault="00140C48" w:rsidP="00140C48">
            <w:pPr>
              <w:rPr>
                <w:rStyle w:val="Strong"/>
                <w:rFonts w:cs="Arial"/>
                <w:sz w:val="14"/>
              </w:rPr>
            </w:pPr>
          </w:p>
          <w:p w14:paraId="36A1DAEB" w14:textId="1C80B1A1" w:rsidR="00140C48" w:rsidRDefault="00140C48" w:rsidP="00140C48">
            <w:pPr>
              <w:spacing w:line="200" w:lineRule="exact"/>
              <w:rPr>
                <w:sz w:val="20"/>
                <w:szCs w:val="20"/>
              </w:rPr>
            </w:pPr>
            <w:r w:rsidRPr="00533730">
              <w:rPr>
                <w:b/>
                <w:sz w:val="20"/>
                <w:szCs w:val="20"/>
              </w:rPr>
              <w:t>Summary:</w:t>
            </w:r>
            <w:r w:rsidRPr="00533730">
              <w:rPr>
                <w:sz w:val="20"/>
                <w:szCs w:val="20"/>
              </w:rPr>
              <w:t xml:space="preserve">  The Consortium is seeking Board approval of the </w:t>
            </w:r>
            <w:r>
              <w:rPr>
                <w:bCs/>
                <w:sz w:val="20"/>
                <w:szCs w:val="20"/>
              </w:rPr>
              <w:t>April</w:t>
            </w:r>
            <w:r w:rsidRPr="00E1589D">
              <w:rPr>
                <w:bCs/>
                <w:sz w:val="20"/>
                <w:szCs w:val="20"/>
              </w:rPr>
              <w:t xml:space="preserve"> </w:t>
            </w:r>
            <w:r>
              <w:rPr>
                <w:bCs/>
                <w:sz w:val="20"/>
                <w:szCs w:val="20"/>
              </w:rPr>
              <w:t>10</w:t>
            </w:r>
            <w:r w:rsidRPr="00E1589D">
              <w:rPr>
                <w:bCs/>
                <w:sz w:val="20"/>
                <w:szCs w:val="20"/>
              </w:rPr>
              <w:t>, 2018</w:t>
            </w:r>
            <w:r>
              <w:rPr>
                <w:bCs/>
                <w:sz w:val="20"/>
                <w:szCs w:val="20"/>
              </w:rPr>
              <w:t xml:space="preserve"> Special</w:t>
            </w:r>
            <w:r>
              <w:rPr>
                <w:b/>
                <w:bCs/>
                <w:sz w:val="20"/>
                <w:szCs w:val="20"/>
              </w:rPr>
              <w:t xml:space="preserve"> </w:t>
            </w:r>
            <w:r w:rsidRPr="00C8533A">
              <w:rPr>
                <w:sz w:val="20"/>
                <w:szCs w:val="20"/>
              </w:rPr>
              <w:t xml:space="preserve">JPA </w:t>
            </w:r>
            <w:r w:rsidRPr="00E1589D">
              <w:rPr>
                <w:bCs/>
                <w:sz w:val="20"/>
                <w:szCs w:val="20"/>
              </w:rPr>
              <w:t>Board Meeting</w:t>
            </w:r>
            <w:r w:rsidRPr="007069EF">
              <w:rPr>
                <w:sz w:val="20"/>
                <w:szCs w:val="20"/>
              </w:rPr>
              <w:t xml:space="preserve"> </w:t>
            </w:r>
            <w:r>
              <w:rPr>
                <w:sz w:val="20"/>
                <w:szCs w:val="20"/>
              </w:rPr>
              <w:t xml:space="preserve">Minutes. </w:t>
            </w:r>
          </w:p>
          <w:p w14:paraId="7A582BFB" w14:textId="77777777" w:rsidR="00140C48" w:rsidRPr="00555D62" w:rsidRDefault="00140C48" w:rsidP="00140C48">
            <w:pPr>
              <w:spacing w:line="200" w:lineRule="exact"/>
              <w:rPr>
                <w:sz w:val="14"/>
                <w:szCs w:val="20"/>
              </w:rPr>
            </w:pPr>
          </w:p>
          <w:p w14:paraId="089210A2" w14:textId="239C2862" w:rsidR="00140C48" w:rsidRDefault="00140C48" w:rsidP="00140C48">
            <w:pPr>
              <w:rPr>
                <w:rStyle w:val="Strong"/>
                <w:rFonts w:cs="Arial"/>
                <w:sz w:val="20"/>
              </w:rPr>
            </w:pPr>
            <w:r w:rsidRPr="00533730">
              <w:rPr>
                <w:sz w:val="20"/>
                <w:szCs w:val="20"/>
              </w:rPr>
              <w:t>(Handout)</w:t>
            </w:r>
          </w:p>
        </w:tc>
      </w:tr>
      <w:tr w:rsidR="00620F1A" w:rsidRPr="00A65C7D" w14:paraId="3BA4EEFA" w14:textId="77777777" w:rsidTr="00140C48">
        <w:trPr>
          <w:cantSplit/>
          <w:trHeight w:val="971"/>
          <w:jc w:val="center"/>
        </w:trPr>
        <w:tc>
          <w:tcPr>
            <w:tcW w:w="625" w:type="dxa"/>
          </w:tcPr>
          <w:p w14:paraId="2C9A4EB9" w14:textId="77777777" w:rsidR="00332211" w:rsidRPr="00A65C7D" w:rsidRDefault="00332211" w:rsidP="00A00991">
            <w:pPr>
              <w:numPr>
                <w:ilvl w:val="0"/>
                <w:numId w:val="1"/>
              </w:numPr>
              <w:ind w:left="0" w:firstLine="0"/>
              <w:rPr>
                <w:rFonts w:cs="Arial"/>
                <w:sz w:val="20"/>
              </w:rPr>
            </w:pPr>
          </w:p>
        </w:tc>
        <w:tc>
          <w:tcPr>
            <w:tcW w:w="1440" w:type="dxa"/>
          </w:tcPr>
          <w:p w14:paraId="36CADB8F" w14:textId="5866E58C" w:rsidR="00332211" w:rsidRDefault="00332211" w:rsidP="00D9028D">
            <w:pPr>
              <w:rPr>
                <w:rFonts w:cs="Arial"/>
                <w:sz w:val="20"/>
              </w:rPr>
            </w:pPr>
            <w:r>
              <w:rPr>
                <w:rFonts w:cs="Arial"/>
                <w:sz w:val="20"/>
              </w:rPr>
              <w:t>Action</w:t>
            </w:r>
          </w:p>
        </w:tc>
        <w:tc>
          <w:tcPr>
            <w:tcW w:w="9630" w:type="dxa"/>
          </w:tcPr>
          <w:p w14:paraId="31AA82F1" w14:textId="1C4F73F6" w:rsidR="00332211" w:rsidRPr="00222A1E" w:rsidRDefault="00332211" w:rsidP="00DE5752">
            <w:pPr>
              <w:pStyle w:val="ListParagraph"/>
              <w:numPr>
                <w:ilvl w:val="0"/>
                <w:numId w:val="49"/>
              </w:numPr>
              <w:ind w:left="336"/>
              <w:rPr>
                <w:rStyle w:val="Strong"/>
                <w:rFonts w:cs="Arial"/>
                <w:sz w:val="20"/>
              </w:rPr>
            </w:pPr>
            <w:r w:rsidRPr="00222A1E">
              <w:rPr>
                <w:rStyle w:val="Strong"/>
                <w:rFonts w:cs="Arial"/>
                <w:sz w:val="20"/>
              </w:rPr>
              <w:t>Approve First Data C-IV Change Order CO-</w:t>
            </w:r>
            <w:r w:rsidR="003D5C2B" w:rsidRPr="00222A1E">
              <w:rPr>
                <w:rStyle w:val="Strong"/>
                <w:rFonts w:cs="Arial"/>
                <w:sz w:val="20"/>
              </w:rPr>
              <w:t>049 – CalSAWS Migration Planning</w:t>
            </w:r>
          </w:p>
          <w:p w14:paraId="74802211" w14:textId="00A069F5" w:rsidR="00332211" w:rsidRDefault="00332211" w:rsidP="002C1EDC">
            <w:pPr>
              <w:rPr>
                <w:rStyle w:val="Strong"/>
                <w:rFonts w:cs="Arial"/>
                <w:sz w:val="20"/>
              </w:rPr>
            </w:pPr>
          </w:p>
          <w:p w14:paraId="25E26D43" w14:textId="77777777" w:rsidR="001A547E" w:rsidRPr="001A547E" w:rsidRDefault="00615FA7" w:rsidP="005F7E72">
            <w:pPr>
              <w:ind w:left="12"/>
              <w:rPr>
                <w:rStyle w:val="Strong"/>
                <w:rFonts w:cs="Arial"/>
                <w:b w:val="0"/>
                <w:sz w:val="20"/>
              </w:rPr>
            </w:pPr>
            <w:r w:rsidRPr="009F6503">
              <w:rPr>
                <w:rStyle w:val="Strong"/>
                <w:rFonts w:cs="Arial"/>
                <w:sz w:val="20"/>
              </w:rPr>
              <w:t>Summary:</w:t>
            </w:r>
            <w:r w:rsidRPr="009F6503">
              <w:rPr>
                <w:rStyle w:val="Strong"/>
                <w:rFonts w:cs="Arial"/>
                <w:b w:val="0"/>
                <w:sz w:val="20"/>
              </w:rPr>
              <w:t xml:space="preserve"> </w:t>
            </w:r>
            <w:r w:rsidR="001A547E" w:rsidRPr="001A547E">
              <w:rPr>
                <w:rStyle w:val="Strong"/>
                <w:rFonts w:cs="Arial"/>
                <w:b w:val="0"/>
                <w:sz w:val="20"/>
              </w:rPr>
              <w:t xml:space="preserve">The Consortium currently has two automated welfare systems, the Los Angeles Eligibility, Automated Determination, Evaluation and Reporting (“LEADER”) Replacement System (“LRS”) and the Consortium IV (“C-IV”) System. The Consortium is planning to migrate the counties into a combined 40-county system (“CalACES”) with </w:t>
            </w:r>
            <w:proofErr w:type="gramStart"/>
            <w:r w:rsidR="001A547E" w:rsidRPr="001A547E">
              <w:rPr>
                <w:rStyle w:val="Strong"/>
                <w:rFonts w:cs="Arial"/>
                <w:b w:val="0"/>
                <w:sz w:val="20"/>
              </w:rPr>
              <w:t>a future plan</w:t>
            </w:r>
            <w:proofErr w:type="gramEnd"/>
            <w:r w:rsidR="001A547E" w:rsidRPr="001A547E">
              <w:rPr>
                <w:rStyle w:val="Strong"/>
                <w:rFonts w:cs="Arial"/>
                <w:b w:val="0"/>
                <w:sz w:val="20"/>
              </w:rPr>
              <w:t xml:space="preserve"> to migrate all California counties into a combined 58-county system (“CalSAWS”). Federal sponsors, both Food and Nutrition Service (“FNS”) and the Centers for Medicare and Medicaid Services (“CMS”), have requested additional information and analysis surrounding the requirements and cost estimates for C-IV migration to CalACES, which will become the future CalSAWS to support and approve the Implementation </w:t>
            </w:r>
            <w:proofErr w:type="gramStart"/>
            <w:r w:rsidR="001A547E" w:rsidRPr="001A547E">
              <w:rPr>
                <w:rStyle w:val="Strong"/>
                <w:rFonts w:cs="Arial"/>
                <w:b w:val="0"/>
                <w:sz w:val="20"/>
              </w:rPr>
              <w:t>Advance Planning</w:t>
            </w:r>
            <w:proofErr w:type="gramEnd"/>
            <w:r w:rsidR="001A547E" w:rsidRPr="001A547E">
              <w:rPr>
                <w:rStyle w:val="Strong"/>
                <w:rFonts w:cs="Arial"/>
                <w:b w:val="0"/>
                <w:sz w:val="20"/>
              </w:rPr>
              <w:t xml:space="preserve"> Document (“IAPD”) for the CalACES Migration Development and Implementation (“D&amp;I”) project to proceed. As part of the CalSAWS Migration Planning effort, a validation of requirements for C-IV migration to CalACES and CalSAWS must be performed. High-level estimates for migration one-time costs and steady-state costs for CalSAWS must be developed. Additionally, the migration plan details such as procurement strategy for the development and implementation activities, sequencing, and implementation timelines must be developed.</w:t>
            </w:r>
          </w:p>
          <w:p w14:paraId="7A866E91" w14:textId="77777777" w:rsidR="001A547E" w:rsidRPr="001A547E" w:rsidRDefault="001A547E" w:rsidP="005F7E72">
            <w:pPr>
              <w:ind w:left="12"/>
              <w:rPr>
                <w:rStyle w:val="Strong"/>
                <w:rFonts w:cs="Arial"/>
                <w:b w:val="0"/>
                <w:sz w:val="20"/>
              </w:rPr>
            </w:pPr>
          </w:p>
          <w:p w14:paraId="5BC09796" w14:textId="124C989B" w:rsidR="00615FA7" w:rsidRPr="00C45BA7" w:rsidRDefault="001A547E" w:rsidP="005F7E72">
            <w:pPr>
              <w:ind w:left="12"/>
              <w:rPr>
                <w:sz w:val="20"/>
              </w:rPr>
            </w:pPr>
            <w:r w:rsidRPr="001A547E">
              <w:rPr>
                <w:rStyle w:val="Strong"/>
                <w:rFonts w:cs="Arial"/>
                <w:b w:val="0"/>
                <w:sz w:val="20"/>
              </w:rPr>
              <w:t>This Change Order outlines the staffing requirements, costs, and timeline for First Data and/or its subcontractors to conduct a validation of requirements for C-IV migration to CalACES and CalSAWS, develop high-level estimates for migration, and develop a procurement strategy for the development and implementation activities, sequencing, and implementation timelines.</w:t>
            </w:r>
          </w:p>
          <w:p w14:paraId="250D9C5F" w14:textId="77777777" w:rsidR="00615FA7" w:rsidRDefault="00615FA7" w:rsidP="002C1EDC">
            <w:pPr>
              <w:rPr>
                <w:rStyle w:val="Strong"/>
                <w:rFonts w:cs="Arial"/>
                <w:sz w:val="20"/>
              </w:rPr>
            </w:pPr>
          </w:p>
          <w:p w14:paraId="4DA5C48F" w14:textId="77777777" w:rsidR="00615FA7" w:rsidRDefault="00615FA7" w:rsidP="00615FA7">
            <w:pPr>
              <w:rPr>
                <w:rFonts w:cs="Arial"/>
                <w:bCs/>
                <w:color w:val="000000"/>
                <w:sz w:val="20"/>
                <w:szCs w:val="20"/>
              </w:rPr>
            </w:pPr>
            <w:r>
              <w:rPr>
                <w:rStyle w:val="Strong"/>
                <w:rFonts w:cs="Arial"/>
                <w:sz w:val="20"/>
              </w:rPr>
              <w:t>Total Change Order Costs:</w:t>
            </w:r>
          </w:p>
          <w:tbl>
            <w:tblPr>
              <w:tblW w:w="6193" w:type="dxa"/>
              <w:tblLayout w:type="fixed"/>
              <w:tblLook w:val="04A0" w:firstRow="1" w:lastRow="0" w:firstColumn="1" w:lastColumn="0" w:noHBand="0" w:noVBand="1"/>
            </w:tblPr>
            <w:tblGrid>
              <w:gridCol w:w="1726"/>
              <w:gridCol w:w="1407"/>
              <w:gridCol w:w="1440"/>
              <w:gridCol w:w="1620"/>
            </w:tblGrid>
            <w:tr w:rsidR="005F7E72" w:rsidRPr="00570E76" w14:paraId="4EBEAE44" w14:textId="77777777" w:rsidTr="005F7E72">
              <w:trPr>
                <w:trHeight w:val="20"/>
              </w:trPr>
              <w:tc>
                <w:tcPr>
                  <w:tcW w:w="1726" w:type="dxa"/>
                  <w:tcBorders>
                    <w:top w:val="single" w:sz="4" w:space="0" w:color="auto"/>
                    <w:left w:val="single" w:sz="4" w:space="0" w:color="auto"/>
                    <w:bottom w:val="nil"/>
                    <w:right w:val="single" w:sz="4" w:space="0" w:color="auto"/>
                  </w:tcBorders>
                  <w:shd w:val="clear" w:color="auto" w:fill="1F497D"/>
                  <w:noWrap/>
                  <w:vAlign w:val="center"/>
                  <w:hideMark/>
                </w:tcPr>
                <w:p w14:paraId="71DD061A" w14:textId="77777777" w:rsidR="005F7E72" w:rsidRPr="00342F69" w:rsidRDefault="005F7E72" w:rsidP="005F7E72">
                  <w:pPr>
                    <w:rPr>
                      <w:rFonts w:cstheme="minorHAnsi"/>
                      <w:b/>
                      <w:bCs/>
                      <w:color w:val="FFFFFF"/>
                    </w:rPr>
                  </w:pPr>
                  <w:r w:rsidRPr="00342F69">
                    <w:rPr>
                      <w:rFonts w:cstheme="minorHAnsi"/>
                      <w:b/>
                      <w:bCs/>
                      <w:color w:val="FFFFFF"/>
                    </w:rPr>
                    <w:t>SFY Summary</w:t>
                  </w:r>
                </w:p>
              </w:tc>
              <w:tc>
                <w:tcPr>
                  <w:tcW w:w="1407" w:type="dxa"/>
                  <w:tcBorders>
                    <w:top w:val="single" w:sz="4" w:space="0" w:color="auto"/>
                    <w:left w:val="nil"/>
                    <w:bottom w:val="single" w:sz="4" w:space="0" w:color="auto"/>
                    <w:right w:val="nil"/>
                  </w:tcBorders>
                  <w:shd w:val="clear" w:color="auto" w:fill="1F497D"/>
                  <w:vAlign w:val="center"/>
                  <w:hideMark/>
                </w:tcPr>
                <w:p w14:paraId="474019B7" w14:textId="77777777" w:rsidR="005F7E72" w:rsidRPr="00342F69" w:rsidRDefault="005F7E72" w:rsidP="005F7E72">
                  <w:pPr>
                    <w:jc w:val="center"/>
                    <w:rPr>
                      <w:rFonts w:cstheme="minorHAnsi"/>
                      <w:b/>
                      <w:bCs/>
                      <w:color w:val="FFFFFF"/>
                    </w:rPr>
                  </w:pPr>
                  <w:r w:rsidRPr="00342F69">
                    <w:rPr>
                      <w:rFonts w:cstheme="minorHAnsi"/>
                      <w:b/>
                      <w:bCs/>
                      <w:color w:val="FFFFFF"/>
                    </w:rPr>
                    <w:t>SFY 17/18</w:t>
                  </w:r>
                </w:p>
              </w:tc>
              <w:tc>
                <w:tcPr>
                  <w:tcW w:w="1440" w:type="dxa"/>
                  <w:tcBorders>
                    <w:top w:val="single" w:sz="4" w:space="0" w:color="auto"/>
                    <w:left w:val="single" w:sz="4" w:space="0" w:color="auto"/>
                    <w:bottom w:val="single" w:sz="4" w:space="0" w:color="auto"/>
                    <w:right w:val="nil"/>
                  </w:tcBorders>
                  <w:shd w:val="clear" w:color="auto" w:fill="1F497D"/>
                  <w:vAlign w:val="center"/>
                  <w:hideMark/>
                </w:tcPr>
                <w:p w14:paraId="01276E81" w14:textId="77777777" w:rsidR="005F7E72" w:rsidRPr="00342F69" w:rsidRDefault="005F7E72" w:rsidP="005F7E72">
                  <w:pPr>
                    <w:jc w:val="center"/>
                    <w:rPr>
                      <w:rFonts w:cstheme="minorHAnsi"/>
                      <w:b/>
                      <w:bCs/>
                      <w:color w:val="FFFFFF"/>
                    </w:rPr>
                  </w:pPr>
                  <w:r w:rsidRPr="00342F69">
                    <w:rPr>
                      <w:rFonts w:cstheme="minorHAnsi"/>
                      <w:b/>
                      <w:bCs/>
                      <w:color w:val="FFFFFF"/>
                    </w:rPr>
                    <w:t>SFY 18/19</w:t>
                  </w:r>
                </w:p>
              </w:tc>
              <w:tc>
                <w:tcPr>
                  <w:tcW w:w="1620" w:type="dxa"/>
                  <w:tcBorders>
                    <w:top w:val="single" w:sz="4" w:space="0" w:color="auto"/>
                    <w:left w:val="single" w:sz="4" w:space="0" w:color="auto"/>
                    <w:bottom w:val="single" w:sz="4" w:space="0" w:color="auto"/>
                    <w:right w:val="nil"/>
                  </w:tcBorders>
                  <w:shd w:val="clear" w:color="auto" w:fill="1F497D"/>
                  <w:vAlign w:val="center"/>
                  <w:hideMark/>
                </w:tcPr>
                <w:p w14:paraId="60C7095A" w14:textId="77777777" w:rsidR="005F7E72" w:rsidRPr="00342F69" w:rsidRDefault="005F7E72" w:rsidP="005F7E72">
                  <w:pPr>
                    <w:jc w:val="center"/>
                    <w:rPr>
                      <w:rFonts w:cstheme="minorHAnsi"/>
                      <w:b/>
                      <w:bCs/>
                      <w:color w:val="FFFFFF"/>
                    </w:rPr>
                  </w:pPr>
                  <w:r w:rsidRPr="00342F69">
                    <w:rPr>
                      <w:rFonts w:cstheme="minorHAnsi"/>
                      <w:b/>
                      <w:bCs/>
                      <w:color w:val="FFFFFF"/>
                    </w:rPr>
                    <w:t xml:space="preserve">Total Cost </w:t>
                  </w:r>
                </w:p>
              </w:tc>
            </w:tr>
            <w:tr w:rsidR="005F7E72" w:rsidRPr="00570E76" w14:paraId="68269CE7" w14:textId="77777777" w:rsidTr="005F7E72">
              <w:trPr>
                <w:trHeight w:val="20"/>
              </w:trPr>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05394" w14:textId="77777777" w:rsidR="005F7E72" w:rsidRPr="00342F69" w:rsidRDefault="005F7E72" w:rsidP="005F7E72">
                  <w:pPr>
                    <w:rPr>
                      <w:rFonts w:cstheme="minorHAnsi"/>
                      <w:color w:val="000000"/>
                    </w:rPr>
                  </w:pPr>
                  <w:r w:rsidRPr="00342F69">
                    <w:rPr>
                      <w:rFonts w:cstheme="minorHAnsi"/>
                      <w:color w:val="000000"/>
                    </w:rPr>
                    <w:t>Deliverables</w:t>
                  </w:r>
                </w:p>
              </w:tc>
              <w:tc>
                <w:tcPr>
                  <w:tcW w:w="1407" w:type="dxa"/>
                  <w:tcBorders>
                    <w:top w:val="nil"/>
                    <w:left w:val="nil"/>
                    <w:bottom w:val="single" w:sz="4" w:space="0" w:color="auto"/>
                    <w:right w:val="single" w:sz="4" w:space="0" w:color="auto"/>
                  </w:tcBorders>
                  <w:shd w:val="clear" w:color="auto" w:fill="auto"/>
                  <w:noWrap/>
                  <w:vAlign w:val="bottom"/>
                </w:tcPr>
                <w:p w14:paraId="4D030552" w14:textId="77777777" w:rsidR="005F7E72" w:rsidRPr="00342F69" w:rsidRDefault="005F7E72" w:rsidP="005F7E72">
                  <w:pPr>
                    <w:jc w:val="right"/>
                    <w:rPr>
                      <w:rFonts w:cstheme="minorHAnsi"/>
                    </w:rPr>
                  </w:pPr>
                  <w:r w:rsidRPr="00342F69">
                    <w:rPr>
                      <w:rFonts w:cstheme="minorHAnsi"/>
                    </w:rPr>
                    <w:t>$1,041,350</w:t>
                  </w:r>
                </w:p>
              </w:tc>
              <w:tc>
                <w:tcPr>
                  <w:tcW w:w="1440" w:type="dxa"/>
                  <w:tcBorders>
                    <w:top w:val="nil"/>
                    <w:left w:val="nil"/>
                    <w:bottom w:val="single" w:sz="4" w:space="0" w:color="auto"/>
                    <w:right w:val="single" w:sz="4" w:space="0" w:color="auto"/>
                  </w:tcBorders>
                  <w:shd w:val="clear" w:color="auto" w:fill="auto"/>
                  <w:noWrap/>
                  <w:vAlign w:val="bottom"/>
                </w:tcPr>
                <w:p w14:paraId="07EFE93E" w14:textId="77777777" w:rsidR="005F7E72" w:rsidRPr="00342F69" w:rsidRDefault="005F7E72" w:rsidP="005F7E72">
                  <w:pPr>
                    <w:jc w:val="right"/>
                    <w:rPr>
                      <w:rFonts w:cstheme="minorHAnsi"/>
                    </w:rPr>
                  </w:pPr>
                  <w:r w:rsidRPr="00342F69">
                    <w:rPr>
                      <w:rFonts w:cstheme="minorHAnsi"/>
                    </w:rPr>
                    <w:t>$</w:t>
                  </w:r>
                  <w:r>
                    <w:rPr>
                      <w:rFonts w:cstheme="minorHAnsi"/>
                    </w:rPr>
                    <w:t>4,345,350</w:t>
                  </w:r>
                </w:p>
              </w:tc>
              <w:tc>
                <w:tcPr>
                  <w:tcW w:w="1620" w:type="dxa"/>
                  <w:tcBorders>
                    <w:top w:val="nil"/>
                    <w:left w:val="nil"/>
                    <w:bottom w:val="single" w:sz="4" w:space="0" w:color="auto"/>
                    <w:right w:val="single" w:sz="4" w:space="0" w:color="auto"/>
                  </w:tcBorders>
                  <w:shd w:val="clear" w:color="auto" w:fill="auto"/>
                  <w:noWrap/>
                  <w:vAlign w:val="center"/>
                </w:tcPr>
                <w:p w14:paraId="19D3A9D2" w14:textId="77777777" w:rsidR="005F7E72" w:rsidRPr="00342F69" w:rsidRDefault="005F7E72" w:rsidP="005F7E72">
                  <w:pPr>
                    <w:jc w:val="right"/>
                    <w:rPr>
                      <w:rFonts w:cstheme="minorHAnsi"/>
                      <w:b/>
                      <w:bCs/>
                      <w:color w:val="000000"/>
                    </w:rPr>
                  </w:pPr>
                  <w:r>
                    <w:rPr>
                      <w:rFonts w:cstheme="minorHAnsi"/>
                      <w:b/>
                      <w:bCs/>
                      <w:color w:val="000000"/>
                    </w:rPr>
                    <w:t>$5,386,</w:t>
                  </w:r>
                  <w:r w:rsidRPr="00342F69">
                    <w:rPr>
                      <w:rFonts w:cstheme="minorHAnsi"/>
                      <w:b/>
                      <w:bCs/>
                      <w:color w:val="000000"/>
                    </w:rPr>
                    <w:t>700</w:t>
                  </w:r>
                </w:p>
              </w:tc>
            </w:tr>
          </w:tbl>
          <w:p w14:paraId="55E32E0A" w14:textId="53085C06" w:rsidR="00332211" w:rsidRDefault="00332211" w:rsidP="002C1EDC">
            <w:pPr>
              <w:rPr>
                <w:rStyle w:val="Strong"/>
                <w:rFonts w:cs="Arial"/>
                <w:sz w:val="20"/>
              </w:rPr>
            </w:pPr>
          </w:p>
          <w:p w14:paraId="4DCC1EF5" w14:textId="77777777" w:rsidR="005F7E72" w:rsidRDefault="005F7E72" w:rsidP="005F7E72">
            <w:pPr>
              <w:rPr>
                <w:rStyle w:val="Strong"/>
                <w:rFonts w:cs="Arial"/>
                <w:b w:val="0"/>
                <w:sz w:val="20"/>
              </w:rPr>
            </w:pPr>
            <w:r w:rsidRPr="00D93208">
              <w:rPr>
                <w:rStyle w:val="Strong"/>
                <w:rFonts w:cs="Arial"/>
                <w:b w:val="0"/>
                <w:sz w:val="20"/>
              </w:rPr>
              <w:t>All costs associated with this Change Order are covered through CalACES LRS/C-IV Migration funding and are accounted for in the FY 2018/19 CalACES Project Budget approved September 21, 2017.</w:t>
            </w:r>
          </w:p>
          <w:p w14:paraId="526DBB62" w14:textId="00B7C054" w:rsidR="00DE5752" w:rsidRDefault="00DE5752" w:rsidP="002C1EDC">
            <w:pPr>
              <w:rPr>
                <w:rStyle w:val="Strong"/>
                <w:rFonts w:cs="Arial"/>
                <w:sz w:val="20"/>
              </w:rPr>
            </w:pPr>
          </w:p>
          <w:p w14:paraId="66D4FAAE" w14:textId="4E1E59C0" w:rsidR="00DE5752" w:rsidRDefault="00DE5752" w:rsidP="002C1EDC">
            <w:pPr>
              <w:rPr>
                <w:rStyle w:val="Strong"/>
                <w:rFonts w:cs="Arial"/>
                <w:sz w:val="20"/>
              </w:rPr>
            </w:pPr>
          </w:p>
          <w:p w14:paraId="77ADB59D" w14:textId="77777777" w:rsidR="00DE5752" w:rsidRDefault="00DE5752" w:rsidP="00DE5752">
            <w:pPr>
              <w:rPr>
                <w:rStyle w:val="Strong"/>
                <w:rFonts w:cs="Arial"/>
                <w:sz w:val="20"/>
              </w:rPr>
            </w:pPr>
            <w:r>
              <w:rPr>
                <w:rStyle w:val="Strong"/>
                <w:rFonts w:cs="Arial"/>
                <w:sz w:val="20"/>
              </w:rPr>
              <w:t xml:space="preserve">(B) </w:t>
            </w:r>
            <w:r w:rsidRPr="00BA3AB6">
              <w:rPr>
                <w:rStyle w:val="Strong"/>
                <w:rFonts w:cs="Arial"/>
                <w:sz w:val="20"/>
              </w:rPr>
              <w:t>Approve</w:t>
            </w:r>
            <w:r>
              <w:rPr>
                <w:rStyle w:val="Strong"/>
                <w:rFonts w:cs="Arial"/>
                <w:sz w:val="20"/>
              </w:rPr>
              <w:t xml:space="preserve"> </w:t>
            </w:r>
            <w:r w:rsidRPr="00332211">
              <w:rPr>
                <w:rStyle w:val="Strong"/>
                <w:rFonts w:cs="Arial"/>
                <w:sz w:val="20"/>
              </w:rPr>
              <w:t>First Dat</w:t>
            </w:r>
            <w:r>
              <w:rPr>
                <w:rStyle w:val="Strong"/>
                <w:rFonts w:cs="Arial"/>
                <w:sz w:val="20"/>
              </w:rPr>
              <w:t>a C-IV Contract Amendment No. SIXTY and Updates to Exhibit A</w:t>
            </w:r>
          </w:p>
          <w:p w14:paraId="5E1D417E" w14:textId="77777777" w:rsidR="00DE5752" w:rsidRDefault="00DE5752" w:rsidP="00DE5752">
            <w:pPr>
              <w:rPr>
                <w:rStyle w:val="Strong"/>
                <w:rFonts w:cs="Arial"/>
                <w:sz w:val="20"/>
              </w:rPr>
            </w:pPr>
          </w:p>
          <w:p w14:paraId="2366698C" w14:textId="77777777" w:rsidR="00DE5752" w:rsidRDefault="00DE5752" w:rsidP="00DE5752">
            <w:pPr>
              <w:rPr>
                <w:rFonts w:cs="Arial"/>
                <w:bCs/>
                <w:sz w:val="20"/>
              </w:rPr>
            </w:pPr>
            <w:r>
              <w:rPr>
                <w:rStyle w:val="Strong"/>
                <w:rFonts w:cs="Arial"/>
                <w:sz w:val="20"/>
              </w:rPr>
              <w:t>Summary:</w:t>
            </w:r>
            <w:r>
              <w:rPr>
                <w:rStyle w:val="Strong"/>
                <w:rFonts w:cs="Arial"/>
                <w:b w:val="0"/>
                <w:sz w:val="20"/>
              </w:rPr>
              <w:t xml:space="preserve"> </w:t>
            </w:r>
            <w:r w:rsidRPr="00615FA7">
              <w:rPr>
                <w:rFonts w:cs="Arial"/>
                <w:bCs/>
                <w:sz w:val="20"/>
              </w:rPr>
              <w:t xml:space="preserve">The following items are being requested to be amended into the First Data Agreement via </w:t>
            </w:r>
            <w:r>
              <w:rPr>
                <w:rFonts w:cs="Arial"/>
                <w:bCs/>
                <w:sz w:val="20"/>
              </w:rPr>
              <w:t>Contract Amendment No. SIXTY</w:t>
            </w:r>
            <w:r w:rsidRPr="00615FA7">
              <w:rPr>
                <w:rFonts w:cs="Arial"/>
                <w:bCs/>
                <w:sz w:val="20"/>
              </w:rPr>
              <w:t>:</w:t>
            </w:r>
          </w:p>
          <w:p w14:paraId="2AEBF37B" w14:textId="070EE1A1" w:rsidR="00DE5752" w:rsidRPr="00615FA7" w:rsidRDefault="00DE5752" w:rsidP="005F7E72">
            <w:pPr>
              <w:pStyle w:val="ListParagraph"/>
              <w:numPr>
                <w:ilvl w:val="0"/>
                <w:numId w:val="47"/>
              </w:numPr>
              <w:rPr>
                <w:rFonts w:cs="Arial"/>
                <w:bCs/>
                <w:sz w:val="20"/>
              </w:rPr>
            </w:pPr>
            <w:r>
              <w:rPr>
                <w:rFonts w:cs="Arial"/>
                <w:bCs/>
                <w:sz w:val="20"/>
              </w:rPr>
              <w:t>Change Order CO-</w:t>
            </w:r>
            <w:r w:rsidR="005F7E72" w:rsidRPr="005F7E72">
              <w:rPr>
                <w:rStyle w:val="Strong"/>
                <w:rFonts w:cs="Arial"/>
                <w:b w:val="0"/>
                <w:sz w:val="20"/>
              </w:rPr>
              <w:t>049 – CalSAWS Migration Planning</w:t>
            </w:r>
            <w:r w:rsidR="005F7E72">
              <w:rPr>
                <w:rStyle w:val="Strong"/>
                <w:rFonts w:cs="Arial"/>
                <w:b w:val="0"/>
                <w:sz w:val="20"/>
              </w:rPr>
              <w:t xml:space="preserve"> increases the Total Contract Value by $5,386,700. This Change Order outlines </w:t>
            </w:r>
            <w:r w:rsidR="005F7E72" w:rsidRPr="005F7E72">
              <w:rPr>
                <w:rStyle w:val="Strong"/>
                <w:rFonts w:cs="Arial"/>
                <w:b w:val="0"/>
                <w:sz w:val="20"/>
              </w:rPr>
              <w:t>the staffing requirements, costs, and timeline for First Data and/or its subcontractors to conduct a validation of requirements for C-IV migration to CalACES and CalSAWS, develop high-level estimates for migration, and develop a procurement strategy for the development and implementation activities, sequencing, and implementation timelines.</w:t>
            </w:r>
          </w:p>
          <w:p w14:paraId="38E8846F" w14:textId="77777777" w:rsidR="00DE5752" w:rsidRPr="002C1EDC" w:rsidRDefault="00DE5752" w:rsidP="00DE5752">
            <w:pPr>
              <w:rPr>
                <w:rStyle w:val="Strong"/>
                <w:rFonts w:cs="Arial"/>
                <w:b w:val="0"/>
                <w:sz w:val="20"/>
              </w:rPr>
            </w:pPr>
          </w:p>
          <w:p w14:paraId="4B2D6C7E" w14:textId="504489F9" w:rsidR="00DE5752" w:rsidRPr="00A86D5F" w:rsidRDefault="005F7E72" w:rsidP="00DE5752">
            <w:pPr>
              <w:rPr>
                <w:rFonts w:cs="Arial"/>
                <w:b/>
                <w:bCs/>
                <w:sz w:val="20"/>
              </w:rPr>
            </w:pPr>
            <w:r>
              <w:rPr>
                <w:rFonts w:cs="Arial"/>
                <w:b/>
                <w:bCs/>
                <w:sz w:val="20"/>
              </w:rPr>
              <w:t>Amendment No. SIXTY</w:t>
            </w:r>
            <w:r w:rsidR="00DE5752">
              <w:rPr>
                <w:rFonts w:cs="Arial"/>
                <w:b/>
                <w:bCs/>
                <w:sz w:val="20"/>
              </w:rPr>
              <w:t xml:space="preserve"> </w:t>
            </w:r>
            <w:r w:rsidR="00DE5752" w:rsidRPr="00A86D5F">
              <w:rPr>
                <w:rFonts w:cs="Arial"/>
                <w:b/>
                <w:bCs/>
                <w:sz w:val="20"/>
              </w:rPr>
              <w:t xml:space="preserve">increases the Total Contract Value </w:t>
            </w:r>
            <w:r w:rsidR="00DE5752" w:rsidRPr="007302EB">
              <w:rPr>
                <w:rFonts w:cs="Arial"/>
                <w:b/>
                <w:bCs/>
                <w:sz w:val="20"/>
              </w:rPr>
              <w:t>by $</w:t>
            </w:r>
            <w:r w:rsidRPr="007302EB">
              <w:rPr>
                <w:rFonts w:cs="Arial"/>
                <w:b/>
                <w:bCs/>
                <w:sz w:val="20"/>
              </w:rPr>
              <w:t>5,386,700</w:t>
            </w:r>
            <w:r w:rsidR="00DE5752" w:rsidRPr="007302EB">
              <w:rPr>
                <w:rFonts w:cs="Arial"/>
                <w:b/>
                <w:bCs/>
                <w:sz w:val="20"/>
              </w:rPr>
              <w:t>.</w:t>
            </w:r>
          </w:p>
          <w:p w14:paraId="7D65EC1E" w14:textId="5E0AC527" w:rsidR="00DE5752" w:rsidRDefault="00DE5752" w:rsidP="002C1EDC">
            <w:pPr>
              <w:rPr>
                <w:rStyle w:val="Strong"/>
                <w:rFonts w:cs="Arial"/>
                <w:sz w:val="20"/>
              </w:rPr>
            </w:pPr>
          </w:p>
          <w:p w14:paraId="1F55DA50" w14:textId="31F30BA1" w:rsidR="00332211" w:rsidRPr="00BA3AB6" w:rsidRDefault="00332211" w:rsidP="002C1EDC">
            <w:pPr>
              <w:rPr>
                <w:rStyle w:val="Strong"/>
                <w:rFonts w:cs="Arial"/>
                <w:sz w:val="20"/>
              </w:rPr>
            </w:pPr>
            <w:r w:rsidRPr="00533730">
              <w:rPr>
                <w:sz w:val="20"/>
                <w:szCs w:val="20"/>
              </w:rPr>
              <w:t>(Handout)</w:t>
            </w:r>
          </w:p>
        </w:tc>
      </w:tr>
      <w:tr w:rsidR="00140C48" w:rsidRPr="00A65C7D" w14:paraId="426269E9" w14:textId="77777777" w:rsidTr="00140C48">
        <w:trPr>
          <w:cantSplit/>
          <w:trHeight w:val="971"/>
          <w:jc w:val="center"/>
        </w:trPr>
        <w:tc>
          <w:tcPr>
            <w:tcW w:w="625" w:type="dxa"/>
          </w:tcPr>
          <w:p w14:paraId="48675414" w14:textId="77777777" w:rsidR="00140C48" w:rsidRPr="00A65C7D" w:rsidRDefault="00140C48" w:rsidP="00A00991">
            <w:pPr>
              <w:numPr>
                <w:ilvl w:val="0"/>
                <w:numId w:val="1"/>
              </w:numPr>
              <w:ind w:left="0" w:firstLine="0"/>
              <w:rPr>
                <w:rFonts w:cs="Arial"/>
                <w:sz w:val="20"/>
              </w:rPr>
            </w:pPr>
          </w:p>
        </w:tc>
        <w:tc>
          <w:tcPr>
            <w:tcW w:w="1440" w:type="dxa"/>
          </w:tcPr>
          <w:p w14:paraId="3F114CC5" w14:textId="2D213A29" w:rsidR="00140C48" w:rsidRDefault="00140C48" w:rsidP="00D9028D">
            <w:pPr>
              <w:rPr>
                <w:rFonts w:cs="Arial"/>
                <w:sz w:val="20"/>
              </w:rPr>
            </w:pPr>
            <w:r>
              <w:rPr>
                <w:rFonts w:cs="Arial"/>
                <w:sz w:val="20"/>
              </w:rPr>
              <w:t>Action</w:t>
            </w:r>
          </w:p>
        </w:tc>
        <w:tc>
          <w:tcPr>
            <w:tcW w:w="9630" w:type="dxa"/>
          </w:tcPr>
          <w:p w14:paraId="11F6B477" w14:textId="2F0B8C22" w:rsidR="00140C48" w:rsidRDefault="00140C48" w:rsidP="00140C48">
            <w:pPr>
              <w:rPr>
                <w:rStyle w:val="Strong"/>
                <w:rFonts w:cs="Arial"/>
                <w:sz w:val="20"/>
              </w:rPr>
            </w:pPr>
            <w:r>
              <w:rPr>
                <w:rStyle w:val="Strong"/>
                <w:rFonts w:cs="Arial"/>
                <w:sz w:val="20"/>
              </w:rPr>
              <w:t>Approve CalACES RGS Amendment No. 20</w:t>
            </w:r>
          </w:p>
          <w:p w14:paraId="690BCCB1" w14:textId="27B47755" w:rsidR="00140C48" w:rsidRDefault="00140C48" w:rsidP="00140C48">
            <w:pPr>
              <w:rPr>
                <w:rStyle w:val="Strong"/>
                <w:rFonts w:cs="Arial"/>
                <w:sz w:val="20"/>
              </w:rPr>
            </w:pPr>
          </w:p>
          <w:p w14:paraId="1D591950" w14:textId="1DBFCA7E" w:rsidR="00140C48" w:rsidRDefault="00140C48" w:rsidP="00140C48">
            <w:pPr>
              <w:rPr>
                <w:rStyle w:val="Strong"/>
                <w:rFonts w:cs="Arial"/>
                <w:b w:val="0"/>
                <w:sz w:val="20"/>
              </w:rPr>
            </w:pPr>
            <w:r>
              <w:rPr>
                <w:rStyle w:val="Strong"/>
                <w:rFonts w:cs="Arial"/>
                <w:sz w:val="20"/>
              </w:rPr>
              <w:t>Summary:</w:t>
            </w:r>
            <w:r w:rsidR="005F7E72">
              <w:rPr>
                <w:rStyle w:val="Strong"/>
                <w:rFonts w:cs="Arial"/>
                <w:sz w:val="20"/>
              </w:rPr>
              <w:t xml:space="preserve"> </w:t>
            </w:r>
            <w:r w:rsidR="005F7E72" w:rsidRPr="005F7E72">
              <w:rPr>
                <w:rStyle w:val="Strong"/>
                <w:rFonts w:cs="Arial"/>
                <w:b w:val="0"/>
                <w:sz w:val="20"/>
              </w:rPr>
              <w:t>Regional Government Services (RGS) is a Joint Powers Authority that provides staff</w:t>
            </w:r>
            <w:r w:rsidR="005F7E72">
              <w:rPr>
                <w:rStyle w:val="Strong"/>
                <w:rFonts w:cs="Arial"/>
                <w:b w:val="0"/>
                <w:sz w:val="20"/>
              </w:rPr>
              <w:t xml:space="preserve">ing services to CalACES North. </w:t>
            </w:r>
          </w:p>
          <w:p w14:paraId="01143D74" w14:textId="26A00E3C" w:rsidR="00140C48" w:rsidRDefault="00140C48" w:rsidP="00140C48">
            <w:pPr>
              <w:rPr>
                <w:rStyle w:val="Strong"/>
                <w:rFonts w:cs="Arial"/>
                <w:b w:val="0"/>
                <w:sz w:val="20"/>
              </w:rPr>
            </w:pPr>
          </w:p>
          <w:p w14:paraId="05A908A1" w14:textId="77777777" w:rsidR="005F7E72" w:rsidRPr="005F7E72" w:rsidRDefault="005F7E72" w:rsidP="005F7E72">
            <w:pPr>
              <w:rPr>
                <w:rFonts w:cs="Arial"/>
                <w:bCs/>
                <w:sz w:val="20"/>
              </w:rPr>
            </w:pPr>
            <w:r w:rsidRPr="005F7E72">
              <w:rPr>
                <w:rFonts w:cs="Arial"/>
                <w:bCs/>
                <w:sz w:val="20"/>
              </w:rPr>
              <w:t>The Agreement is amended by:</w:t>
            </w:r>
          </w:p>
          <w:p w14:paraId="40BCC2C8" w14:textId="77777777" w:rsidR="005F7E72" w:rsidRPr="005F7E72" w:rsidRDefault="005F7E72" w:rsidP="005F7E72">
            <w:pPr>
              <w:numPr>
                <w:ilvl w:val="0"/>
                <w:numId w:val="45"/>
              </w:numPr>
              <w:rPr>
                <w:rFonts w:cs="Arial"/>
                <w:bCs/>
                <w:sz w:val="20"/>
              </w:rPr>
            </w:pPr>
            <w:r w:rsidRPr="005F7E72">
              <w:rPr>
                <w:rFonts w:cs="Arial"/>
                <w:bCs/>
                <w:sz w:val="20"/>
              </w:rPr>
              <w:t>Replacing Exhibit A: Scope of Services, in its entirety, and;</w:t>
            </w:r>
          </w:p>
          <w:p w14:paraId="248958A3" w14:textId="2DF0F797" w:rsidR="005F7E72" w:rsidRPr="005F7E72" w:rsidRDefault="005F7E72" w:rsidP="005F7E72">
            <w:pPr>
              <w:numPr>
                <w:ilvl w:val="0"/>
                <w:numId w:val="45"/>
              </w:numPr>
              <w:rPr>
                <w:rFonts w:cs="Arial"/>
                <w:bCs/>
                <w:sz w:val="20"/>
              </w:rPr>
            </w:pPr>
            <w:r w:rsidRPr="005F7E72">
              <w:rPr>
                <w:rFonts w:cs="Arial"/>
                <w:bCs/>
                <w:sz w:val="20"/>
              </w:rPr>
              <w:t>Replacing Exhibit A: Table 1, Rates for Personnel and Travel Reimbursement Policies, in its entirety, and;</w:t>
            </w:r>
          </w:p>
          <w:p w14:paraId="441A20DC" w14:textId="484C4256" w:rsidR="005F7E72" w:rsidRPr="005F7E72" w:rsidRDefault="005F7E72" w:rsidP="005F7E72">
            <w:pPr>
              <w:numPr>
                <w:ilvl w:val="0"/>
                <w:numId w:val="45"/>
              </w:numPr>
              <w:rPr>
                <w:rFonts w:cs="Arial"/>
                <w:bCs/>
                <w:sz w:val="20"/>
              </w:rPr>
            </w:pPr>
            <w:r w:rsidRPr="005F7E72">
              <w:rPr>
                <w:rFonts w:cs="Arial"/>
                <w:bCs/>
                <w:sz w:val="20"/>
              </w:rPr>
              <w:t>Replacing Exhibit A: Table 2, Staff Salary Rate Schedule, in its entirety, and;</w:t>
            </w:r>
          </w:p>
          <w:p w14:paraId="396B61E0" w14:textId="77777777" w:rsidR="005F7E72" w:rsidRPr="005F7E72" w:rsidRDefault="005F7E72" w:rsidP="005F7E72">
            <w:pPr>
              <w:numPr>
                <w:ilvl w:val="0"/>
                <w:numId w:val="45"/>
              </w:numPr>
              <w:rPr>
                <w:rFonts w:cs="Arial"/>
                <w:bCs/>
                <w:sz w:val="20"/>
              </w:rPr>
            </w:pPr>
            <w:r w:rsidRPr="005F7E72">
              <w:rPr>
                <w:rFonts w:cs="Arial"/>
                <w:bCs/>
                <w:sz w:val="20"/>
              </w:rPr>
              <w:t>Replacing Exhibit B: Job Descriptions in its entirety, and;</w:t>
            </w:r>
          </w:p>
          <w:p w14:paraId="6796B2ED" w14:textId="0A83BCB6" w:rsidR="005F7E72" w:rsidRDefault="005F7E72" w:rsidP="005F7E72">
            <w:pPr>
              <w:numPr>
                <w:ilvl w:val="0"/>
                <w:numId w:val="45"/>
              </w:numPr>
              <w:rPr>
                <w:rFonts w:cs="Arial"/>
                <w:bCs/>
                <w:sz w:val="20"/>
              </w:rPr>
            </w:pPr>
            <w:r w:rsidRPr="005F7E72">
              <w:rPr>
                <w:rFonts w:cs="Arial"/>
                <w:bCs/>
                <w:sz w:val="20"/>
              </w:rPr>
              <w:t>Replacing Exhibit C: RGS Recruitment Services in its entirety</w:t>
            </w:r>
          </w:p>
          <w:p w14:paraId="7AEB4AC2" w14:textId="5CED0445" w:rsidR="00611F21" w:rsidRPr="005F7E72" w:rsidRDefault="00611F21" w:rsidP="005F7E72">
            <w:pPr>
              <w:numPr>
                <w:ilvl w:val="0"/>
                <w:numId w:val="45"/>
              </w:numPr>
              <w:rPr>
                <w:rFonts w:cs="Arial"/>
                <w:bCs/>
                <w:sz w:val="20"/>
              </w:rPr>
            </w:pPr>
            <w:r>
              <w:rPr>
                <w:rFonts w:cs="Arial"/>
                <w:bCs/>
                <w:sz w:val="20"/>
              </w:rPr>
              <w:t>Adding request for proposal services not to exceed $8,000.00 excluding advertising costs.</w:t>
            </w:r>
          </w:p>
          <w:p w14:paraId="1B5B2529" w14:textId="77777777" w:rsidR="005F7E72" w:rsidRPr="005F7E72" w:rsidRDefault="005F7E72" w:rsidP="005F7E72">
            <w:pPr>
              <w:rPr>
                <w:rFonts w:cs="Arial"/>
                <w:bCs/>
                <w:sz w:val="20"/>
              </w:rPr>
            </w:pPr>
          </w:p>
          <w:p w14:paraId="12AD616D" w14:textId="1AB67C33" w:rsidR="005F7E72" w:rsidRPr="005F7E72" w:rsidRDefault="005F7E72" w:rsidP="005F7E72">
            <w:pPr>
              <w:rPr>
                <w:rFonts w:cs="Arial"/>
                <w:bCs/>
                <w:sz w:val="20"/>
              </w:rPr>
            </w:pPr>
            <w:r w:rsidRPr="005F7E72">
              <w:rPr>
                <w:rFonts w:cs="Arial"/>
                <w:bCs/>
                <w:sz w:val="20"/>
              </w:rPr>
              <w:t xml:space="preserve">All costs associated with this Amendment are covered through </w:t>
            </w:r>
            <w:r w:rsidR="00651D4F">
              <w:rPr>
                <w:rFonts w:cs="Arial"/>
                <w:bCs/>
                <w:sz w:val="20"/>
              </w:rPr>
              <w:t xml:space="preserve">C-IV M&amp;O and </w:t>
            </w:r>
            <w:r w:rsidR="00FD6392" w:rsidRPr="00FD6392">
              <w:rPr>
                <w:rFonts w:cs="Arial"/>
                <w:bCs/>
                <w:sz w:val="20"/>
              </w:rPr>
              <w:t xml:space="preserve">CalACES LRS/C-IV Migration funding </w:t>
            </w:r>
            <w:r w:rsidRPr="005F7E72">
              <w:rPr>
                <w:rFonts w:cs="Arial"/>
                <w:bCs/>
                <w:sz w:val="20"/>
              </w:rPr>
              <w:t>and are accounted for in the FY 2017/18 Project Budget.</w:t>
            </w:r>
          </w:p>
          <w:p w14:paraId="572924F2" w14:textId="77777777" w:rsidR="00140C48" w:rsidRPr="00140C48" w:rsidRDefault="00140C48" w:rsidP="00140C48">
            <w:pPr>
              <w:rPr>
                <w:rStyle w:val="Strong"/>
                <w:rFonts w:cs="Arial"/>
                <w:b w:val="0"/>
                <w:sz w:val="20"/>
              </w:rPr>
            </w:pPr>
          </w:p>
          <w:p w14:paraId="15BB02AD" w14:textId="3D06A530" w:rsidR="00140C48" w:rsidRPr="006E6CE1" w:rsidRDefault="00140C48" w:rsidP="00140C48">
            <w:pPr>
              <w:rPr>
                <w:rStyle w:val="Strong"/>
                <w:rFonts w:cs="Arial"/>
                <w:sz w:val="20"/>
              </w:rPr>
            </w:pPr>
            <w:r w:rsidRPr="00140C48">
              <w:rPr>
                <w:rStyle w:val="Strong"/>
                <w:rFonts w:cs="Arial"/>
                <w:b w:val="0"/>
                <w:sz w:val="20"/>
              </w:rPr>
              <w:t>(Handout)</w:t>
            </w:r>
          </w:p>
        </w:tc>
      </w:tr>
      <w:tr w:rsidR="00140C48" w:rsidRPr="00A65C7D" w14:paraId="72A99E1A" w14:textId="77777777" w:rsidTr="00140C48">
        <w:trPr>
          <w:cantSplit/>
          <w:trHeight w:val="971"/>
          <w:jc w:val="center"/>
        </w:trPr>
        <w:tc>
          <w:tcPr>
            <w:tcW w:w="625" w:type="dxa"/>
          </w:tcPr>
          <w:p w14:paraId="509C26BE" w14:textId="77777777" w:rsidR="00140C48" w:rsidRPr="00A65C7D" w:rsidRDefault="00140C48" w:rsidP="00A00991">
            <w:pPr>
              <w:numPr>
                <w:ilvl w:val="0"/>
                <w:numId w:val="1"/>
              </w:numPr>
              <w:ind w:left="0" w:firstLine="0"/>
              <w:rPr>
                <w:rFonts w:cs="Arial"/>
                <w:sz w:val="20"/>
              </w:rPr>
            </w:pPr>
          </w:p>
        </w:tc>
        <w:tc>
          <w:tcPr>
            <w:tcW w:w="1440" w:type="dxa"/>
          </w:tcPr>
          <w:p w14:paraId="118730D3" w14:textId="38801537" w:rsidR="00140C48" w:rsidRDefault="00140C48" w:rsidP="00D9028D">
            <w:pPr>
              <w:rPr>
                <w:rFonts w:cs="Arial"/>
                <w:sz w:val="20"/>
              </w:rPr>
            </w:pPr>
            <w:r>
              <w:rPr>
                <w:rFonts w:cs="Arial"/>
                <w:sz w:val="20"/>
              </w:rPr>
              <w:t>Action</w:t>
            </w:r>
          </w:p>
        </w:tc>
        <w:tc>
          <w:tcPr>
            <w:tcW w:w="9630" w:type="dxa"/>
          </w:tcPr>
          <w:p w14:paraId="66C23AD5" w14:textId="77777777" w:rsidR="00140C48" w:rsidRDefault="00140C48" w:rsidP="000445C0">
            <w:pPr>
              <w:rPr>
                <w:rStyle w:val="Strong"/>
                <w:rFonts w:cs="Arial"/>
                <w:sz w:val="20"/>
              </w:rPr>
            </w:pPr>
            <w:r w:rsidRPr="00140C48">
              <w:rPr>
                <w:rStyle w:val="Strong"/>
                <w:rFonts w:cs="Arial"/>
                <w:sz w:val="20"/>
              </w:rPr>
              <w:t>Approve Memorandum of Understanding between the California Automated Consortium Eligibility System (“CalACES”) Joint Powers Authority and Welfare Client Data Systems (“WCDS”) Consortium</w:t>
            </w:r>
          </w:p>
          <w:p w14:paraId="3F765BE8" w14:textId="32439268" w:rsidR="00FD255D" w:rsidRDefault="00FD255D" w:rsidP="000445C0">
            <w:pPr>
              <w:rPr>
                <w:rStyle w:val="Strong"/>
                <w:rFonts w:cs="Arial"/>
                <w:sz w:val="20"/>
              </w:rPr>
            </w:pPr>
          </w:p>
          <w:p w14:paraId="65546563" w14:textId="444B989B" w:rsidR="0044501E" w:rsidRDefault="0044501E" w:rsidP="000445C0">
            <w:pPr>
              <w:rPr>
                <w:rFonts w:cs="Arial"/>
                <w:bCs/>
                <w:sz w:val="20"/>
              </w:rPr>
            </w:pPr>
            <w:r w:rsidRPr="0044501E">
              <w:rPr>
                <w:rFonts w:cs="Arial"/>
                <w:bCs/>
                <w:sz w:val="20"/>
              </w:rPr>
              <w:t>This Memorandum of Understanding (“MOU”) is between the Consortium and the WCDS Consortium (collectively, “Parties”).  This MOU serves as a non-binding reflection of the Parties’ initial agreement regarding the establishment of a new combined 58-county consortium governance model and summarizes the efforts that the Parties will make toward addressing the State and Federal strategy of consolidating SAWS into a single system to support all 58 California counties.</w:t>
            </w:r>
          </w:p>
          <w:p w14:paraId="232A3E4A" w14:textId="77777777" w:rsidR="0044501E" w:rsidRPr="0044501E" w:rsidRDefault="0044501E" w:rsidP="000445C0">
            <w:pPr>
              <w:rPr>
                <w:b/>
              </w:rPr>
            </w:pPr>
          </w:p>
          <w:p w14:paraId="0A68D46A" w14:textId="2463FCDC" w:rsidR="00FD255D" w:rsidRPr="006E6CE1" w:rsidRDefault="00FD255D" w:rsidP="000445C0">
            <w:pPr>
              <w:rPr>
                <w:rStyle w:val="Strong"/>
                <w:rFonts w:cs="Arial"/>
                <w:sz w:val="20"/>
              </w:rPr>
            </w:pPr>
            <w:r w:rsidRPr="000445C0">
              <w:rPr>
                <w:rStyle w:val="Strong"/>
                <w:rFonts w:cs="Arial"/>
                <w:b w:val="0"/>
                <w:sz w:val="20"/>
              </w:rPr>
              <w:t>(Handout)</w:t>
            </w:r>
          </w:p>
        </w:tc>
      </w:tr>
      <w:tr w:rsidR="006E6CE1" w:rsidRPr="00A65C7D" w14:paraId="3A691511" w14:textId="77777777" w:rsidTr="00140C48">
        <w:trPr>
          <w:cantSplit/>
          <w:trHeight w:val="971"/>
          <w:jc w:val="center"/>
        </w:trPr>
        <w:tc>
          <w:tcPr>
            <w:tcW w:w="625" w:type="dxa"/>
          </w:tcPr>
          <w:p w14:paraId="40423072" w14:textId="77777777" w:rsidR="006E6CE1" w:rsidRPr="00A65C7D" w:rsidRDefault="006E6CE1" w:rsidP="00A00991">
            <w:pPr>
              <w:numPr>
                <w:ilvl w:val="0"/>
                <w:numId w:val="1"/>
              </w:numPr>
              <w:ind w:left="0" w:firstLine="0"/>
              <w:rPr>
                <w:rFonts w:cs="Arial"/>
                <w:sz w:val="20"/>
              </w:rPr>
            </w:pPr>
          </w:p>
        </w:tc>
        <w:tc>
          <w:tcPr>
            <w:tcW w:w="1440" w:type="dxa"/>
          </w:tcPr>
          <w:p w14:paraId="46496133" w14:textId="08E277FA" w:rsidR="006E6CE1" w:rsidRDefault="006E6CE1" w:rsidP="00D9028D">
            <w:pPr>
              <w:rPr>
                <w:rFonts w:cs="Arial"/>
                <w:sz w:val="20"/>
              </w:rPr>
            </w:pPr>
            <w:r>
              <w:rPr>
                <w:rFonts w:cs="Arial"/>
                <w:sz w:val="20"/>
              </w:rPr>
              <w:t>Action</w:t>
            </w:r>
          </w:p>
        </w:tc>
        <w:tc>
          <w:tcPr>
            <w:tcW w:w="9630" w:type="dxa"/>
          </w:tcPr>
          <w:p w14:paraId="2CB8B954" w14:textId="77777777" w:rsidR="000445C0" w:rsidRDefault="000445C0" w:rsidP="000445C0">
            <w:pPr>
              <w:rPr>
                <w:rStyle w:val="Strong"/>
                <w:rFonts w:cs="Arial"/>
                <w:sz w:val="20"/>
              </w:rPr>
            </w:pPr>
            <w:r w:rsidRPr="006E6CE1">
              <w:rPr>
                <w:rStyle w:val="Strong"/>
                <w:rFonts w:cs="Arial"/>
                <w:sz w:val="20"/>
              </w:rPr>
              <w:t>Approve Hannibal’s Catering &amp; Event Contract for the June 22, 2018 Member Representative Meeting (Exhibit A Included)</w:t>
            </w:r>
          </w:p>
          <w:p w14:paraId="14D0B9D4" w14:textId="5D8B3994" w:rsidR="006E6CE1" w:rsidRDefault="006E6CE1" w:rsidP="0024229D">
            <w:pPr>
              <w:rPr>
                <w:rStyle w:val="Strong"/>
                <w:rFonts w:cs="Arial"/>
                <w:sz w:val="20"/>
              </w:rPr>
            </w:pPr>
          </w:p>
          <w:p w14:paraId="199EDAF3" w14:textId="67F48196" w:rsidR="00915CEA" w:rsidRPr="005F7E72" w:rsidRDefault="0044501E" w:rsidP="00915CEA">
            <w:pPr>
              <w:rPr>
                <w:rFonts w:cs="Arial"/>
                <w:bCs/>
                <w:sz w:val="20"/>
              </w:rPr>
            </w:pPr>
            <w:r>
              <w:rPr>
                <w:rFonts w:cs="Arial"/>
                <w:bCs/>
                <w:sz w:val="20"/>
              </w:rPr>
              <w:t xml:space="preserve">Contract includes lunch, beverages, catering staff, and linens at a cost of $2,015.66. </w:t>
            </w:r>
            <w:r w:rsidR="00915CEA">
              <w:rPr>
                <w:rFonts w:cs="Arial"/>
                <w:bCs/>
                <w:sz w:val="20"/>
              </w:rPr>
              <w:t>All costs associated with this contract will be</w:t>
            </w:r>
            <w:r w:rsidR="00915CEA" w:rsidRPr="005F7E72">
              <w:rPr>
                <w:rFonts w:cs="Arial"/>
                <w:bCs/>
                <w:sz w:val="20"/>
              </w:rPr>
              <w:t xml:space="preserve"> covered through </w:t>
            </w:r>
            <w:r w:rsidR="00915CEA">
              <w:rPr>
                <w:rFonts w:cs="Arial"/>
                <w:bCs/>
                <w:sz w:val="20"/>
              </w:rPr>
              <w:t>registration fees</w:t>
            </w:r>
            <w:r w:rsidR="00915CEA" w:rsidRPr="005F7E72">
              <w:rPr>
                <w:rFonts w:cs="Arial"/>
                <w:bCs/>
                <w:sz w:val="20"/>
              </w:rPr>
              <w:t>.</w:t>
            </w:r>
          </w:p>
          <w:p w14:paraId="412CC9A4" w14:textId="77777777" w:rsidR="00915CEA" w:rsidRDefault="00915CEA" w:rsidP="0024229D">
            <w:pPr>
              <w:rPr>
                <w:rStyle w:val="Strong"/>
                <w:rFonts w:cs="Arial"/>
                <w:sz w:val="20"/>
              </w:rPr>
            </w:pPr>
          </w:p>
          <w:p w14:paraId="0822CEED" w14:textId="0EE4EA35" w:rsidR="000445C0" w:rsidRPr="000445C0" w:rsidRDefault="000445C0" w:rsidP="0024229D">
            <w:pPr>
              <w:rPr>
                <w:rStyle w:val="Strong"/>
                <w:rFonts w:cs="Arial"/>
                <w:b w:val="0"/>
                <w:sz w:val="20"/>
              </w:rPr>
            </w:pPr>
            <w:r w:rsidRPr="000445C0">
              <w:rPr>
                <w:rStyle w:val="Strong"/>
                <w:rFonts w:cs="Arial"/>
                <w:b w:val="0"/>
                <w:sz w:val="20"/>
              </w:rPr>
              <w:t>(Handout)</w:t>
            </w:r>
          </w:p>
        </w:tc>
      </w:tr>
      <w:tr w:rsidR="00DE5752" w:rsidRPr="00A65C7D" w14:paraId="322AB3F9" w14:textId="77777777" w:rsidTr="00140C48">
        <w:trPr>
          <w:cantSplit/>
          <w:trHeight w:val="971"/>
          <w:jc w:val="center"/>
        </w:trPr>
        <w:tc>
          <w:tcPr>
            <w:tcW w:w="625" w:type="dxa"/>
          </w:tcPr>
          <w:p w14:paraId="3B748DA7" w14:textId="77777777" w:rsidR="00DE5752" w:rsidRPr="00A65C7D" w:rsidRDefault="00DE5752" w:rsidP="00A00991">
            <w:pPr>
              <w:numPr>
                <w:ilvl w:val="0"/>
                <w:numId w:val="1"/>
              </w:numPr>
              <w:ind w:left="0" w:firstLine="0"/>
              <w:rPr>
                <w:rFonts w:cs="Arial"/>
                <w:sz w:val="20"/>
              </w:rPr>
            </w:pPr>
          </w:p>
        </w:tc>
        <w:tc>
          <w:tcPr>
            <w:tcW w:w="1440" w:type="dxa"/>
          </w:tcPr>
          <w:p w14:paraId="016B1F9E" w14:textId="183D77DE" w:rsidR="00DE5752" w:rsidRDefault="00DE5752" w:rsidP="00D9028D">
            <w:pPr>
              <w:rPr>
                <w:rFonts w:cs="Arial"/>
                <w:sz w:val="20"/>
              </w:rPr>
            </w:pPr>
            <w:r>
              <w:rPr>
                <w:rFonts w:cs="Arial"/>
                <w:sz w:val="20"/>
              </w:rPr>
              <w:t>Action</w:t>
            </w:r>
          </w:p>
        </w:tc>
        <w:tc>
          <w:tcPr>
            <w:tcW w:w="9630" w:type="dxa"/>
          </w:tcPr>
          <w:p w14:paraId="4C2F4035" w14:textId="77777777" w:rsidR="00501E43" w:rsidRDefault="00DE5752" w:rsidP="000445C0">
            <w:pPr>
              <w:rPr>
                <w:rFonts w:cs="Arial"/>
                <w:b/>
                <w:bCs/>
                <w:sz w:val="20"/>
              </w:rPr>
            </w:pPr>
            <w:r w:rsidRPr="00DE5752">
              <w:rPr>
                <w:rFonts w:cs="Arial"/>
                <w:b/>
                <w:bCs/>
                <w:sz w:val="20"/>
              </w:rPr>
              <w:t xml:space="preserve">Approve McClellan Conference Center Contract for Requirements Gathering Sessions </w:t>
            </w:r>
          </w:p>
          <w:p w14:paraId="75AE7D41" w14:textId="77777777" w:rsidR="00DE5752" w:rsidRDefault="00DE5752" w:rsidP="000445C0">
            <w:pPr>
              <w:rPr>
                <w:rFonts w:cs="Arial"/>
                <w:b/>
                <w:bCs/>
                <w:sz w:val="20"/>
              </w:rPr>
            </w:pPr>
            <w:r w:rsidRPr="00DE5752">
              <w:rPr>
                <w:rFonts w:cs="Arial"/>
                <w:b/>
                <w:bCs/>
                <w:sz w:val="20"/>
              </w:rPr>
              <w:t>May 14, 2018 – June 21, 2018</w:t>
            </w:r>
          </w:p>
          <w:p w14:paraId="3C17A56A" w14:textId="45239349" w:rsidR="00FD255D" w:rsidRDefault="00FD255D" w:rsidP="000445C0">
            <w:pPr>
              <w:rPr>
                <w:b/>
              </w:rPr>
            </w:pPr>
          </w:p>
          <w:p w14:paraId="00D64345" w14:textId="0F789B36" w:rsidR="00FD255D" w:rsidRPr="004D430E" w:rsidRDefault="00FD255D" w:rsidP="000445C0">
            <w:r w:rsidRPr="00FD255D">
              <w:rPr>
                <w:b/>
                <w:sz w:val="20"/>
              </w:rPr>
              <w:t>Summary:</w:t>
            </w:r>
            <w:r>
              <w:rPr>
                <w:sz w:val="20"/>
              </w:rPr>
              <w:t xml:space="preserve"> </w:t>
            </w:r>
            <w:r w:rsidRPr="004D430E">
              <w:rPr>
                <w:sz w:val="20"/>
              </w:rPr>
              <w:t xml:space="preserve">This contract is for </w:t>
            </w:r>
            <w:r w:rsidR="006A7848" w:rsidRPr="004D430E">
              <w:rPr>
                <w:sz w:val="20"/>
              </w:rPr>
              <w:t xml:space="preserve">acquiring facilities </w:t>
            </w:r>
            <w:r w:rsidR="004E7BC1" w:rsidRPr="004D430E">
              <w:rPr>
                <w:sz w:val="20"/>
              </w:rPr>
              <w:t xml:space="preserve">and catering </w:t>
            </w:r>
            <w:r w:rsidR="006A7848" w:rsidRPr="004D430E">
              <w:rPr>
                <w:sz w:val="20"/>
              </w:rPr>
              <w:t>at the McClellan Conference Center to host the Requirements Gathering Sessions for a 6-week period (dates noted above).</w:t>
            </w:r>
          </w:p>
          <w:p w14:paraId="72DE0C34" w14:textId="021C51DB" w:rsidR="00FD255D" w:rsidRDefault="00FD255D" w:rsidP="000445C0">
            <w:pPr>
              <w:rPr>
                <w:b/>
              </w:rPr>
            </w:pPr>
          </w:p>
          <w:tbl>
            <w:tblPr>
              <w:tblStyle w:val="TableGrid"/>
              <w:tblW w:w="0" w:type="auto"/>
              <w:tblLayout w:type="fixed"/>
              <w:tblLook w:val="04A0" w:firstRow="1" w:lastRow="0" w:firstColumn="1" w:lastColumn="0" w:noHBand="0" w:noVBand="1"/>
            </w:tblPr>
            <w:tblGrid>
              <w:gridCol w:w="2496"/>
              <w:gridCol w:w="1260"/>
            </w:tblGrid>
            <w:tr w:rsidR="004D430E" w:rsidRPr="004D430E" w14:paraId="4F68279D" w14:textId="77777777" w:rsidTr="004D430E">
              <w:tc>
                <w:tcPr>
                  <w:tcW w:w="2496" w:type="dxa"/>
                </w:tcPr>
                <w:p w14:paraId="59FE88F1" w14:textId="44AEC097" w:rsidR="004D430E" w:rsidRPr="004D430E" w:rsidRDefault="004D430E" w:rsidP="004D430E">
                  <w:pPr>
                    <w:jc w:val="right"/>
                    <w:rPr>
                      <w:sz w:val="20"/>
                    </w:rPr>
                  </w:pPr>
                  <w:r>
                    <w:rPr>
                      <w:sz w:val="20"/>
                    </w:rPr>
                    <w:t>Facilities</w:t>
                  </w:r>
                </w:p>
              </w:tc>
              <w:tc>
                <w:tcPr>
                  <w:tcW w:w="1260" w:type="dxa"/>
                </w:tcPr>
                <w:p w14:paraId="14D8775F" w14:textId="0F6F5791" w:rsidR="004D430E" w:rsidRPr="004D430E" w:rsidRDefault="004D430E" w:rsidP="00A82298">
                  <w:pPr>
                    <w:rPr>
                      <w:sz w:val="20"/>
                    </w:rPr>
                  </w:pPr>
                  <w:r>
                    <w:rPr>
                      <w:sz w:val="20"/>
                    </w:rPr>
                    <w:t>$16,</w:t>
                  </w:r>
                  <w:r w:rsidRPr="004D430E">
                    <w:rPr>
                      <w:sz w:val="20"/>
                    </w:rPr>
                    <w:t>431.96</w:t>
                  </w:r>
                </w:p>
              </w:tc>
            </w:tr>
            <w:tr w:rsidR="004D430E" w:rsidRPr="004D430E" w14:paraId="7AE8A16A" w14:textId="77777777" w:rsidTr="004D430E">
              <w:tc>
                <w:tcPr>
                  <w:tcW w:w="2496" w:type="dxa"/>
                </w:tcPr>
                <w:p w14:paraId="69C4A366" w14:textId="0AFA31F2" w:rsidR="004D430E" w:rsidRPr="004D430E" w:rsidRDefault="004D430E" w:rsidP="004D430E">
                  <w:pPr>
                    <w:jc w:val="right"/>
                    <w:rPr>
                      <w:sz w:val="20"/>
                    </w:rPr>
                  </w:pPr>
                  <w:r>
                    <w:rPr>
                      <w:sz w:val="20"/>
                    </w:rPr>
                    <w:t>Catering (not to exceed)</w:t>
                  </w:r>
                </w:p>
              </w:tc>
              <w:tc>
                <w:tcPr>
                  <w:tcW w:w="1260" w:type="dxa"/>
                </w:tcPr>
                <w:p w14:paraId="37BD7970" w14:textId="5408F63E" w:rsidR="004D430E" w:rsidRPr="004D430E" w:rsidRDefault="004D430E" w:rsidP="00A82298">
                  <w:pPr>
                    <w:rPr>
                      <w:sz w:val="20"/>
                    </w:rPr>
                  </w:pPr>
                  <w:r>
                    <w:rPr>
                      <w:sz w:val="20"/>
                    </w:rPr>
                    <w:t>$32,</w:t>
                  </w:r>
                  <w:r w:rsidRPr="004D430E">
                    <w:rPr>
                      <w:sz w:val="20"/>
                    </w:rPr>
                    <w:t>400.00</w:t>
                  </w:r>
                </w:p>
              </w:tc>
            </w:tr>
            <w:tr w:rsidR="004D430E" w:rsidRPr="004D430E" w14:paraId="674E8314" w14:textId="77777777" w:rsidTr="004D430E">
              <w:tc>
                <w:tcPr>
                  <w:tcW w:w="2496" w:type="dxa"/>
                </w:tcPr>
                <w:p w14:paraId="45B9CB35" w14:textId="2CD7F20D" w:rsidR="004D430E" w:rsidRPr="004D430E" w:rsidRDefault="004D430E" w:rsidP="004D430E">
                  <w:pPr>
                    <w:jc w:val="right"/>
                    <w:rPr>
                      <w:b/>
                      <w:sz w:val="20"/>
                    </w:rPr>
                  </w:pPr>
                  <w:r w:rsidRPr="004D430E">
                    <w:rPr>
                      <w:b/>
                      <w:sz w:val="20"/>
                    </w:rPr>
                    <w:t>Total</w:t>
                  </w:r>
                  <w:r>
                    <w:rPr>
                      <w:b/>
                      <w:sz w:val="20"/>
                    </w:rPr>
                    <w:t xml:space="preserve"> Contract Value</w:t>
                  </w:r>
                </w:p>
              </w:tc>
              <w:tc>
                <w:tcPr>
                  <w:tcW w:w="1260" w:type="dxa"/>
                </w:tcPr>
                <w:p w14:paraId="03B58F7E" w14:textId="6AEA95F3" w:rsidR="004D430E" w:rsidRPr="004D430E" w:rsidRDefault="004D430E" w:rsidP="00A82298">
                  <w:pPr>
                    <w:rPr>
                      <w:b/>
                      <w:sz w:val="20"/>
                    </w:rPr>
                  </w:pPr>
                  <w:r w:rsidRPr="004D430E">
                    <w:rPr>
                      <w:b/>
                      <w:sz w:val="20"/>
                    </w:rPr>
                    <w:t>$48,831.96</w:t>
                  </w:r>
                </w:p>
              </w:tc>
            </w:tr>
          </w:tbl>
          <w:p w14:paraId="5A7E42D1" w14:textId="77777777" w:rsidR="004D430E" w:rsidRPr="004D430E" w:rsidRDefault="004D430E" w:rsidP="000445C0">
            <w:pPr>
              <w:rPr>
                <w:b/>
              </w:rPr>
            </w:pPr>
          </w:p>
          <w:p w14:paraId="16EB8704" w14:textId="0E93537C" w:rsidR="00915CEA" w:rsidRPr="005F7E72" w:rsidRDefault="00915CEA" w:rsidP="00915CEA">
            <w:pPr>
              <w:rPr>
                <w:rFonts w:cs="Arial"/>
                <w:bCs/>
                <w:sz w:val="20"/>
              </w:rPr>
            </w:pPr>
            <w:r w:rsidRPr="004D430E">
              <w:rPr>
                <w:rFonts w:cs="Arial"/>
                <w:bCs/>
                <w:sz w:val="20"/>
              </w:rPr>
              <w:t>All costs associated with this contract are covered through CalACES LRS/C-IV Migration funding and are accounted for in the FY 2017/18 Project Budget.</w:t>
            </w:r>
            <w:r w:rsidR="004E7BC1" w:rsidRPr="004D430E">
              <w:rPr>
                <w:rFonts w:cs="Arial"/>
                <w:bCs/>
                <w:sz w:val="20"/>
              </w:rPr>
              <w:t xml:space="preserve"> Catering costs will be covered through registration fees.</w:t>
            </w:r>
          </w:p>
          <w:p w14:paraId="4AA5CBAC" w14:textId="77777777" w:rsidR="00915CEA" w:rsidRDefault="00915CEA" w:rsidP="000445C0">
            <w:pPr>
              <w:rPr>
                <w:b/>
              </w:rPr>
            </w:pPr>
          </w:p>
          <w:p w14:paraId="53D38CB3" w14:textId="13418B28" w:rsidR="00FD255D" w:rsidRDefault="00FD255D" w:rsidP="000445C0">
            <w:pPr>
              <w:rPr>
                <w:b/>
                <w:sz w:val="20"/>
              </w:rPr>
            </w:pPr>
            <w:r w:rsidRPr="00FD255D">
              <w:rPr>
                <w:b/>
                <w:sz w:val="20"/>
              </w:rPr>
              <w:t>Total Cost:</w:t>
            </w:r>
            <w:r>
              <w:rPr>
                <w:b/>
                <w:sz w:val="20"/>
              </w:rPr>
              <w:t xml:space="preserve"> $</w:t>
            </w:r>
            <w:r w:rsidR="004D430E" w:rsidRPr="004D430E">
              <w:rPr>
                <w:b/>
                <w:sz w:val="20"/>
              </w:rPr>
              <w:t>48,831</w:t>
            </w:r>
            <w:r w:rsidRPr="004D430E">
              <w:rPr>
                <w:b/>
                <w:sz w:val="20"/>
              </w:rPr>
              <w:t>.96</w:t>
            </w:r>
          </w:p>
          <w:p w14:paraId="5A35061D" w14:textId="77777777" w:rsidR="00FD255D" w:rsidRDefault="00FD255D" w:rsidP="000445C0">
            <w:pPr>
              <w:rPr>
                <w:b/>
              </w:rPr>
            </w:pPr>
          </w:p>
          <w:p w14:paraId="05A8A766" w14:textId="7A6A6BC5" w:rsidR="00FD255D" w:rsidRPr="00DE5752" w:rsidRDefault="00FD255D" w:rsidP="000445C0">
            <w:pPr>
              <w:rPr>
                <w:rStyle w:val="Strong"/>
                <w:rFonts w:cs="Arial"/>
                <w:b w:val="0"/>
                <w:sz w:val="20"/>
              </w:rPr>
            </w:pPr>
            <w:r w:rsidRPr="000445C0">
              <w:rPr>
                <w:rStyle w:val="Strong"/>
                <w:rFonts w:cs="Arial"/>
                <w:b w:val="0"/>
                <w:sz w:val="20"/>
              </w:rPr>
              <w:t>(Handout)</w:t>
            </w:r>
          </w:p>
        </w:tc>
      </w:tr>
      <w:tr w:rsidR="00DE5752" w:rsidRPr="00A65C7D" w14:paraId="45FC1F4E" w14:textId="77777777" w:rsidTr="00140C48">
        <w:trPr>
          <w:cantSplit/>
          <w:trHeight w:val="971"/>
          <w:jc w:val="center"/>
        </w:trPr>
        <w:tc>
          <w:tcPr>
            <w:tcW w:w="625" w:type="dxa"/>
          </w:tcPr>
          <w:p w14:paraId="7DAA0D5E" w14:textId="77777777" w:rsidR="00DE5752" w:rsidRPr="00A65C7D" w:rsidRDefault="00DE5752" w:rsidP="00A00991">
            <w:pPr>
              <w:numPr>
                <w:ilvl w:val="0"/>
                <w:numId w:val="1"/>
              </w:numPr>
              <w:ind w:left="0" w:firstLine="0"/>
              <w:rPr>
                <w:rFonts w:cs="Arial"/>
                <w:sz w:val="20"/>
              </w:rPr>
            </w:pPr>
          </w:p>
        </w:tc>
        <w:tc>
          <w:tcPr>
            <w:tcW w:w="1440" w:type="dxa"/>
          </w:tcPr>
          <w:p w14:paraId="7FCFB8F2" w14:textId="62A71EE5" w:rsidR="00DE5752" w:rsidRDefault="00DE5752" w:rsidP="00D9028D">
            <w:pPr>
              <w:rPr>
                <w:rFonts w:cs="Arial"/>
                <w:sz w:val="20"/>
              </w:rPr>
            </w:pPr>
            <w:r>
              <w:rPr>
                <w:rFonts w:cs="Arial"/>
                <w:sz w:val="20"/>
              </w:rPr>
              <w:t>Action</w:t>
            </w:r>
          </w:p>
        </w:tc>
        <w:tc>
          <w:tcPr>
            <w:tcW w:w="9630" w:type="dxa"/>
          </w:tcPr>
          <w:p w14:paraId="0FE4B11B" w14:textId="77777777" w:rsidR="00501E43" w:rsidRDefault="00DE5752" w:rsidP="000445C0">
            <w:pPr>
              <w:rPr>
                <w:rFonts w:cs="Arial"/>
                <w:b/>
                <w:bCs/>
                <w:sz w:val="20"/>
              </w:rPr>
            </w:pPr>
            <w:r w:rsidRPr="00DE5752">
              <w:rPr>
                <w:rFonts w:cs="Arial"/>
                <w:b/>
                <w:bCs/>
                <w:sz w:val="20"/>
              </w:rPr>
              <w:t xml:space="preserve">Approve Sight &amp; Sound Audio Visual Contract for Requirements Gathering Sessions </w:t>
            </w:r>
          </w:p>
          <w:p w14:paraId="4AB53C4E" w14:textId="77777777" w:rsidR="00DE5752" w:rsidRDefault="00DE5752" w:rsidP="000445C0">
            <w:pPr>
              <w:rPr>
                <w:rFonts w:cs="Arial"/>
                <w:b/>
                <w:bCs/>
                <w:sz w:val="20"/>
              </w:rPr>
            </w:pPr>
            <w:r w:rsidRPr="00DE5752">
              <w:rPr>
                <w:rFonts w:cs="Arial"/>
                <w:b/>
                <w:bCs/>
                <w:sz w:val="20"/>
              </w:rPr>
              <w:t>May 14, 2018 – June 21, 2018</w:t>
            </w:r>
          </w:p>
          <w:p w14:paraId="7BCDD3E1" w14:textId="30809CCE" w:rsidR="00FD255D" w:rsidRDefault="00FD255D" w:rsidP="000445C0">
            <w:pPr>
              <w:rPr>
                <w:b/>
              </w:rPr>
            </w:pPr>
          </w:p>
          <w:p w14:paraId="510C4FC5" w14:textId="58F65858" w:rsidR="00FD255D" w:rsidRDefault="00FD255D" w:rsidP="000445C0">
            <w:pPr>
              <w:rPr>
                <w:sz w:val="20"/>
              </w:rPr>
            </w:pPr>
            <w:r w:rsidRPr="00FD255D">
              <w:rPr>
                <w:b/>
                <w:sz w:val="20"/>
              </w:rPr>
              <w:t>Summary:</w:t>
            </w:r>
            <w:r>
              <w:rPr>
                <w:sz w:val="20"/>
              </w:rPr>
              <w:t xml:space="preserve"> This contract incorporates the equipment and services needed for Wi-Fi at the McClellan Conference Center for the 6-week period</w:t>
            </w:r>
            <w:r w:rsidR="006A7848">
              <w:rPr>
                <w:sz w:val="20"/>
              </w:rPr>
              <w:t xml:space="preserve"> (dates noted above)</w:t>
            </w:r>
            <w:r>
              <w:rPr>
                <w:sz w:val="20"/>
              </w:rPr>
              <w:t xml:space="preserve"> to facilitate the Requirements Gathering Sessions.</w:t>
            </w:r>
          </w:p>
          <w:p w14:paraId="05E62C5D" w14:textId="77777777" w:rsidR="00FD255D" w:rsidRPr="00FD255D" w:rsidRDefault="00FD255D" w:rsidP="000445C0">
            <w:pPr>
              <w:rPr>
                <w:sz w:val="20"/>
              </w:rPr>
            </w:pPr>
          </w:p>
          <w:p w14:paraId="31E84496" w14:textId="77777777" w:rsidR="00BB1190" w:rsidRPr="005F7E72" w:rsidRDefault="00BB1190" w:rsidP="00BB1190">
            <w:pPr>
              <w:rPr>
                <w:rFonts w:cs="Arial"/>
                <w:bCs/>
                <w:sz w:val="20"/>
              </w:rPr>
            </w:pPr>
            <w:r w:rsidRPr="00915CEA">
              <w:rPr>
                <w:rFonts w:cs="Arial"/>
                <w:bCs/>
                <w:sz w:val="20"/>
              </w:rPr>
              <w:t>All costs associated w</w:t>
            </w:r>
            <w:bookmarkStart w:id="0" w:name="_GoBack"/>
            <w:bookmarkEnd w:id="0"/>
            <w:r w:rsidRPr="00915CEA">
              <w:rPr>
                <w:rFonts w:cs="Arial"/>
                <w:bCs/>
                <w:sz w:val="20"/>
              </w:rPr>
              <w:t xml:space="preserve">ith this </w:t>
            </w:r>
            <w:r>
              <w:rPr>
                <w:rFonts w:cs="Arial"/>
                <w:bCs/>
                <w:sz w:val="20"/>
              </w:rPr>
              <w:t>contract</w:t>
            </w:r>
            <w:r w:rsidRPr="00915CEA">
              <w:rPr>
                <w:rFonts w:cs="Arial"/>
                <w:bCs/>
                <w:sz w:val="20"/>
              </w:rPr>
              <w:t xml:space="preserve"> are covered through CalACES LRS/C-IV Migration funding and are accounted for in the FY 2017/18 Project Budget.</w:t>
            </w:r>
          </w:p>
          <w:p w14:paraId="3FE83B2B" w14:textId="77777777" w:rsidR="00BB1190" w:rsidRDefault="00BB1190" w:rsidP="000445C0">
            <w:pPr>
              <w:rPr>
                <w:b/>
                <w:sz w:val="20"/>
              </w:rPr>
            </w:pPr>
          </w:p>
          <w:p w14:paraId="69C6EA60" w14:textId="5188DC41" w:rsidR="00FD255D" w:rsidRDefault="00FD255D" w:rsidP="000445C0">
            <w:pPr>
              <w:rPr>
                <w:b/>
                <w:sz w:val="20"/>
              </w:rPr>
            </w:pPr>
            <w:r w:rsidRPr="00FD255D">
              <w:rPr>
                <w:b/>
                <w:sz w:val="20"/>
              </w:rPr>
              <w:t>Total Cost:</w:t>
            </w:r>
            <w:r>
              <w:rPr>
                <w:b/>
                <w:sz w:val="20"/>
              </w:rPr>
              <w:t xml:space="preserve"> $</w:t>
            </w:r>
            <w:r w:rsidR="004D430E">
              <w:rPr>
                <w:b/>
                <w:sz w:val="20"/>
              </w:rPr>
              <w:t>1,840.00</w:t>
            </w:r>
          </w:p>
          <w:p w14:paraId="683028DE" w14:textId="77777777" w:rsidR="00FD255D" w:rsidRDefault="00FD255D" w:rsidP="000445C0">
            <w:pPr>
              <w:rPr>
                <w:b/>
                <w:sz w:val="20"/>
              </w:rPr>
            </w:pPr>
          </w:p>
          <w:p w14:paraId="5EF70809" w14:textId="77689545" w:rsidR="00FD255D" w:rsidRPr="00DE5752" w:rsidRDefault="00FD255D" w:rsidP="000445C0">
            <w:pPr>
              <w:rPr>
                <w:rStyle w:val="Strong"/>
                <w:rFonts w:cs="Arial"/>
                <w:b w:val="0"/>
                <w:sz w:val="20"/>
              </w:rPr>
            </w:pPr>
            <w:r w:rsidRPr="000445C0">
              <w:rPr>
                <w:rStyle w:val="Strong"/>
                <w:rFonts w:cs="Arial"/>
                <w:b w:val="0"/>
                <w:sz w:val="20"/>
              </w:rPr>
              <w:t>(Handout)</w:t>
            </w:r>
          </w:p>
        </w:tc>
      </w:tr>
      <w:tr w:rsidR="000445C0" w:rsidRPr="00A65C7D" w14:paraId="31CAC005" w14:textId="77777777" w:rsidTr="00140C48">
        <w:trPr>
          <w:cantSplit/>
          <w:trHeight w:val="971"/>
          <w:jc w:val="center"/>
        </w:trPr>
        <w:tc>
          <w:tcPr>
            <w:tcW w:w="625" w:type="dxa"/>
          </w:tcPr>
          <w:p w14:paraId="637760BF" w14:textId="77777777" w:rsidR="000445C0" w:rsidRPr="00A65C7D" w:rsidRDefault="000445C0" w:rsidP="00A00991">
            <w:pPr>
              <w:numPr>
                <w:ilvl w:val="0"/>
                <w:numId w:val="1"/>
              </w:numPr>
              <w:ind w:left="0" w:firstLine="0"/>
              <w:rPr>
                <w:rFonts w:cs="Arial"/>
                <w:sz w:val="20"/>
              </w:rPr>
            </w:pPr>
          </w:p>
        </w:tc>
        <w:tc>
          <w:tcPr>
            <w:tcW w:w="1440" w:type="dxa"/>
          </w:tcPr>
          <w:p w14:paraId="75C77446" w14:textId="24F8ADD1" w:rsidR="000445C0" w:rsidRDefault="000445C0" w:rsidP="00D9028D">
            <w:pPr>
              <w:rPr>
                <w:rFonts w:cs="Arial"/>
                <w:sz w:val="20"/>
              </w:rPr>
            </w:pPr>
            <w:r>
              <w:rPr>
                <w:rFonts w:cs="Arial"/>
                <w:sz w:val="20"/>
              </w:rPr>
              <w:t>Action</w:t>
            </w:r>
          </w:p>
        </w:tc>
        <w:tc>
          <w:tcPr>
            <w:tcW w:w="9630" w:type="dxa"/>
          </w:tcPr>
          <w:p w14:paraId="1BB8839B" w14:textId="77777777" w:rsidR="000445C0" w:rsidRDefault="000445C0" w:rsidP="0024229D">
            <w:pPr>
              <w:rPr>
                <w:rStyle w:val="Strong"/>
                <w:rFonts w:cs="Arial"/>
                <w:sz w:val="20"/>
              </w:rPr>
            </w:pPr>
            <w:r>
              <w:rPr>
                <w:rStyle w:val="Strong"/>
                <w:rFonts w:cs="Arial"/>
                <w:sz w:val="20"/>
              </w:rPr>
              <w:t xml:space="preserve">Seeking </w:t>
            </w:r>
            <w:r w:rsidRPr="006E6CE1">
              <w:rPr>
                <w:rStyle w:val="Strong"/>
                <w:rFonts w:cs="Arial"/>
                <w:sz w:val="20"/>
              </w:rPr>
              <w:t>Approv</w:t>
            </w:r>
            <w:r>
              <w:rPr>
                <w:rStyle w:val="Strong"/>
                <w:rFonts w:cs="Arial"/>
                <w:sz w:val="20"/>
              </w:rPr>
              <w:t xml:space="preserve">al of the Board for the </w:t>
            </w:r>
            <w:r w:rsidRPr="006E6CE1">
              <w:rPr>
                <w:rStyle w:val="Strong"/>
                <w:rFonts w:cs="Arial"/>
                <w:sz w:val="20"/>
              </w:rPr>
              <w:t>CalACES Logo</w:t>
            </w:r>
          </w:p>
          <w:p w14:paraId="387D180E" w14:textId="77777777" w:rsidR="000003A1" w:rsidRDefault="000003A1" w:rsidP="0024229D">
            <w:pPr>
              <w:rPr>
                <w:rStyle w:val="Strong"/>
                <w:rFonts w:cs="Arial"/>
                <w:sz w:val="20"/>
              </w:rPr>
            </w:pPr>
          </w:p>
          <w:p w14:paraId="23613A3F" w14:textId="77777777" w:rsidR="000003A1" w:rsidRDefault="000003A1" w:rsidP="0024229D">
            <w:pPr>
              <w:rPr>
                <w:rStyle w:val="Strong"/>
                <w:rFonts w:cs="Arial"/>
                <w:b w:val="0"/>
                <w:sz w:val="20"/>
              </w:rPr>
            </w:pPr>
            <w:r>
              <w:rPr>
                <w:rStyle w:val="Strong"/>
                <w:rFonts w:cs="Arial"/>
                <w:b w:val="0"/>
                <w:sz w:val="20"/>
              </w:rPr>
              <w:t>The Project Steering Committee has reviewed the submitted logos and has voted to recommend the logo included in the slide deck.</w:t>
            </w:r>
          </w:p>
          <w:p w14:paraId="7FC4890D" w14:textId="0038F024" w:rsidR="007302EB" w:rsidRPr="000003A1" w:rsidRDefault="007302EB" w:rsidP="0024229D">
            <w:pPr>
              <w:rPr>
                <w:rStyle w:val="Strong"/>
                <w:rFonts w:cs="Arial"/>
                <w:b w:val="0"/>
                <w:sz w:val="20"/>
              </w:rPr>
            </w:pPr>
          </w:p>
        </w:tc>
      </w:tr>
      <w:tr w:rsidR="00397A4F" w:rsidRPr="00E6072B" w14:paraId="2C414B49" w14:textId="77777777" w:rsidTr="00140C48">
        <w:trPr>
          <w:cantSplit/>
          <w:trHeight w:val="287"/>
          <w:tblHeader/>
          <w:jc w:val="center"/>
        </w:trPr>
        <w:tc>
          <w:tcPr>
            <w:tcW w:w="625" w:type="dxa"/>
            <w:shd w:val="clear" w:color="auto" w:fill="1F497D" w:themeFill="text2"/>
          </w:tcPr>
          <w:p w14:paraId="47E58B88" w14:textId="77777777" w:rsidR="002D5DB2" w:rsidRPr="00E6072B" w:rsidRDefault="002D5DB2" w:rsidP="00A00991">
            <w:pPr>
              <w:rPr>
                <w:rFonts w:cs="Arial"/>
                <w:b/>
                <w:color w:val="FFFFFF" w:themeColor="background1"/>
              </w:rPr>
            </w:pPr>
            <w:r w:rsidRPr="00E6072B">
              <w:rPr>
                <w:rFonts w:cs="Arial"/>
                <w:b/>
                <w:color w:val="FFFFFF" w:themeColor="background1"/>
              </w:rPr>
              <w:t>#</w:t>
            </w:r>
          </w:p>
        </w:tc>
        <w:tc>
          <w:tcPr>
            <w:tcW w:w="1440" w:type="dxa"/>
            <w:shd w:val="clear" w:color="auto" w:fill="1F497D" w:themeFill="text2"/>
          </w:tcPr>
          <w:p w14:paraId="4C26CABB" w14:textId="77777777" w:rsidR="002D5DB2" w:rsidRPr="00E6072B" w:rsidRDefault="002D5DB2" w:rsidP="00195D1B">
            <w:pPr>
              <w:rPr>
                <w:rFonts w:cs="Arial"/>
                <w:b/>
                <w:color w:val="FFFFFF" w:themeColor="background1"/>
              </w:rPr>
            </w:pPr>
            <w:r w:rsidRPr="00E6072B">
              <w:rPr>
                <w:rFonts w:cs="Arial"/>
                <w:b/>
                <w:color w:val="FFFFFF" w:themeColor="background1"/>
              </w:rPr>
              <w:t>Type of Item</w:t>
            </w:r>
          </w:p>
        </w:tc>
        <w:tc>
          <w:tcPr>
            <w:tcW w:w="9630" w:type="dxa"/>
            <w:shd w:val="clear" w:color="auto" w:fill="1F497D" w:themeFill="text2"/>
          </w:tcPr>
          <w:p w14:paraId="073C381C" w14:textId="380CB523" w:rsidR="002D5DB2" w:rsidRPr="00E6072B" w:rsidRDefault="002C1EDC" w:rsidP="002D5DB2">
            <w:pPr>
              <w:jc w:val="center"/>
              <w:rPr>
                <w:rFonts w:cs="Arial"/>
                <w:b/>
                <w:color w:val="FFFFFF" w:themeColor="background1"/>
              </w:rPr>
            </w:pPr>
            <w:r>
              <w:rPr>
                <w:rFonts w:cs="Arial"/>
                <w:b/>
                <w:color w:val="FFFFFF" w:themeColor="background1"/>
              </w:rPr>
              <w:t>JPA Board</w:t>
            </w:r>
            <w:r w:rsidR="002D5DB2">
              <w:rPr>
                <w:rFonts w:cs="Arial"/>
                <w:b/>
                <w:color w:val="FFFFFF" w:themeColor="background1"/>
              </w:rPr>
              <w:t xml:space="preserve"> Informational Items</w:t>
            </w:r>
          </w:p>
        </w:tc>
      </w:tr>
      <w:tr w:rsidR="00620F1A" w:rsidRPr="00A65C7D" w14:paraId="200CFC57" w14:textId="77777777" w:rsidTr="00140C48">
        <w:trPr>
          <w:cantSplit/>
          <w:trHeight w:val="557"/>
          <w:jc w:val="center"/>
        </w:trPr>
        <w:tc>
          <w:tcPr>
            <w:tcW w:w="625" w:type="dxa"/>
          </w:tcPr>
          <w:p w14:paraId="4736288D" w14:textId="77777777" w:rsidR="002D5DB2" w:rsidRPr="00A65C7D" w:rsidRDefault="002D5DB2" w:rsidP="00A00991">
            <w:pPr>
              <w:numPr>
                <w:ilvl w:val="0"/>
                <w:numId w:val="1"/>
              </w:numPr>
              <w:ind w:left="0" w:firstLine="0"/>
              <w:rPr>
                <w:rFonts w:cs="Arial"/>
                <w:sz w:val="20"/>
              </w:rPr>
            </w:pPr>
          </w:p>
        </w:tc>
        <w:tc>
          <w:tcPr>
            <w:tcW w:w="1440" w:type="dxa"/>
          </w:tcPr>
          <w:p w14:paraId="03BE756E" w14:textId="01CA80DE" w:rsidR="002D5DB2" w:rsidRDefault="002D5DB2" w:rsidP="00F57A57">
            <w:pPr>
              <w:rPr>
                <w:rFonts w:cs="Arial"/>
                <w:sz w:val="20"/>
              </w:rPr>
            </w:pPr>
            <w:r>
              <w:rPr>
                <w:rFonts w:cs="Arial"/>
                <w:sz w:val="20"/>
              </w:rPr>
              <w:t>Informational</w:t>
            </w:r>
          </w:p>
        </w:tc>
        <w:tc>
          <w:tcPr>
            <w:tcW w:w="9630" w:type="dxa"/>
          </w:tcPr>
          <w:p w14:paraId="756D8252" w14:textId="75AF7E5B" w:rsidR="002D5DB2" w:rsidRDefault="002D5DB2" w:rsidP="00F57A57">
            <w:pPr>
              <w:rPr>
                <w:rFonts w:cs="Arial"/>
                <w:b/>
                <w:bCs/>
                <w:sz w:val="20"/>
                <w:szCs w:val="20"/>
              </w:rPr>
            </w:pPr>
            <w:r w:rsidRPr="002D5DB2">
              <w:rPr>
                <w:rFonts w:cs="Arial"/>
                <w:b/>
                <w:bCs/>
                <w:sz w:val="20"/>
                <w:szCs w:val="20"/>
              </w:rPr>
              <w:t>CalSAWS</w:t>
            </w:r>
            <w:r w:rsidR="00DB5873">
              <w:rPr>
                <w:rFonts w:cs="Arial"/>
                <w:b/>
                <w:bCs/>
                <w:sz w:val="20"/>
                <w:szCs w:val="20"/>
              </w:rPr>
              <w:t xml:space="preserve"> Leadership Team</w:t>
            </w:r>
            <w:r w:rsidRPr="002D5DB2">
              <w:rPr>
                <w:rFonts w:cs="Arial"/>
                <w:b/>
                <w:bCs/>
                <w:sz w:val="20"/>
                <w:szCs w:val="20"/>
              </w:rPr>
              <w:t xml:space="preserve"> </w:t>
            </w:r>
            <w:r w:rsidR="00DB5873">
              <w:rPr>
                <w:rFonts w:cs="Arial"/>
                <w:b/>
                <w:bCs/>
                <w:sz w:val="20"/>
                <w:szCs w:val="20"/>
              </w:rPr>
              <w:t>Update</w:t>
            </w:r>
          </w:p>
          <w:p w14:paraId="4C1479E1" w14:textId="77777777" w:rsidR="002D5DB2" w:rsidRDefault="002D5DB2" w:rsidP="00F57A57">
            <w:pPr>
              <w:rPr>
                <w:rFonts w:cs="Arial"/>
                <w:b/>
                <w:bCs/>
                <w:sz w:val="20"/>
                <w:szCs w:val="20"/>
              </w:rPr>
            </w:pPr>
          </w:p>
          <w:p w14:paraId="37B49F84" w14:textId="03F26500" w:rsidR="002D5DB2" w:rsidRPr="0048474E" w:rsidRDefault="002D5DB2" w:rsidP="00F57A57">
            <w:pPr>
              <w:rPr>
                <w:rFonts w:cs="Arial"/>
                <w:bCs/>
                <w:sz w:val="20"/>
                <w:szCs w:val="20"/>
              </w:rPr>
            </w:pPr>
            <w:r>
              <w:rPr>
                <w:rFonts w:cs="Arial"/>
                <w:b/>
                <w:bCs/>
                <w:sz w:val="20"/>
                <w:szCs w:val="20"/>
              </w:rPr>
              <w:t>Summary:</w:t>
            </w:r>
            <w:r w:rsidR="0048474E">
              <w:rPr>
                <w:rFonts w:cs="Arial"/>
                <w:b/>
                <w:bCs/>
                <w:sz w:val="20"/>
                <w:szCs w:val="20"/>
              </w:rPr>
              <w:t xml:space="preserve"> </w:t>
            </w:r>
            <w:r w:rsidR="0048474E" w:rsidRPr="0048474E">
              <w:rPr>
                <w:rFonts w:cs="Arial"/>
                <w:bCs/>
                <w:sz w:val="20"/>
                <w:szCs w:val="20"/>
              </w:rPr>
              <w:t xml:space="preserve">Scott </w:t>
            </w:r>
            <w:proofErr w:type="spellStart"/>
            <w:r w:rsidR="0048474E" w:rsidRPr="0048474E">
              <w:rPr>
                <w:rFonts w:cs="Arial"/>
                <w:bCs/>
                <w:sz w:val="20"/>
                <w:szCs w:val="20"/>
              </w:rPr>
              <w:t>Pettygrove</w:t>
            </w:r>
            <w:proofErr w:type="spellEnd"/>
            <w:r w:rsidR="0048474E" w:rsidRPr="0048474E">
              <w:rPr>
                <w:rFonts w:cs="Arial"/>
                <w:bCs/>
                <w:sz w:val="20"/>
                <w:szCs w:val="20"/>
              </w:rPr>
              <w:t xml:space="preserve">, Antonia Jimenez, </w:t>
            </w:r>
            <w:r w:rsidR="000003A1">
              <w:rPr>
                <w:rFonts w:cs="Arial"/>
                <w:bCs/>
                <w:sz w:val="20"/>
                <w:szCs w:val="20"/>
              </w:rPr>
              <w:t xml:space="preserve">and </w:t>
            </w:r>
            <w:r w:rsidR="0048474E" w:rsidRPr="0048474E">
              <w:rPr>
                <w:rFonts w:cs="Arial"/>
                <w:bCs/>
                <w:sz w:val="20"/>
                <w:szCs w:val="20"/>
              </w:rPr>
              <w:t xml:space="preserve">Susan von </w:t>
            </w:r>
            <w:proofErr w:type="spellStart"/>
            <w:r w:rsidR="0048474E" w:rsidRPr="0048474E">
              <w:rPr>
                <w:rFonts w:cs="Arial"/>
                <w:bCs/>
                <w:sz w:val="20"/>
                <w:szCs w:val="20"/>
              </w:rPr>
              <w:t>Zabern</w:t>
            </w:r>
            <w:proofErr w:type="spellEnd"/>
            <w:r w:rsidR="0048474E" w:rsidRPr="0048474E">
              <w:rPr>
                <w:rFonts w:cs="Arial"/>
                <w:bCs/>
                <w:sz w:val="20"/>
                <w:szCs w:val="20"/>
              </w:rPr>
              <w:t xml:space="preserve"> will provide updates regarding recent activities and discussions of the CalSAWS </w:t>
            </w:r>
            <w:r w:rsidR="00612A21">
              <w:rPr>
                <w:rFonts w:cs="Arial"/>
                <w:bCs/>
                <w:sz w:val="20"/>
                <w:szCs w:val="20"/>
              </w:rPr>
              <w:t>Leadership</w:t>
            </w:r>
            <w:r w:rsidR="0048474E" w:rsidRPr="0048474E">
              <w:rPr>
                <w:rFonts w:cs="Arial"/>
                <w:bCs/>
                <w:sz w:val="20"/>
                <w:szCs w:val="20"/>
              </w:rPr>
              <w:t xml:space="preserve"> Team.</w:t>
            </w:r>
          </w:p>
          <w:p w14:paraId="77112AA1" w14:textId="77777777" w:rsidR="002D5DB2" w:rsidRDefault="002D5DB2" w:rsidP="00F57A57">
            <w:pPr>
              <w:rPr>
                <w:rFonts w:cs="Arial"/>
                <w:bCs/>
                <w:sz w:val="20"/>
                <w:szCs w:val="20"/>
              </w:rPr>
            </w:pPr>
          </w:p>
          <w:p w14:paraId="3CABA606" w14:textId="3A0A5F57" w:rsidR="002D5DB2" w:rsidRPr="002D5DB2" w:rsidRDefault="002D5DB2" w:rsidP="00F57A57">
            <w:pPr>
              <w:rPr>
                <w:rFonts w:cs="Arial"/>
                <w:bCs/>
                <w:sz w:val="20"/>
                <w:szCs w:val="20"/>
              </w:rPr>
            </w:pPr>
          </w:p>
        </w:tc>
      </w:tr>
      <w:tr w:rsidR="00620F1A" w:rsidRPr="00A65C7D" w14:paraId="566E1B9D" w14:textId="77777777" w:rsidTr="00140C48">
        <w:trPr>
          <w:cantSplit/>
          <w:trHeight w:val="557"/>
          <w:jc w:val="center"/>
        </w:trPr>
        <w:tc>
          <w:tcPr>
            <w:tcW w:w="625" w:type="dxa"/>
          </w:tcPr>
          <w:p w14:paraId="74CE160C" w14:textId="77777777" w:rsidR="000D0617" w:rsidRPr="00A65C7D" w:rsidRDefault="000D0617" w:rsidP="00A00991">
            <w:pPr>
              <w:numPr>
                <w:ilvl w:val="0"/>
                <w:numId w:val="1"/>
              </w:numPr>
              <w:ind w:left="0" w:firstLine="0"/>
              <w:rPr>
                <w:rFonts w:cs="Arial"/>
                <w:sz w:val="20"/>
              </w:rPr>
            </w:pPr>
          </w:p>
        </w:tc>
        <w:tc>
          <w:tcPr>
            <w:tcW w:w="1440" w:type="dxa"/>
          </w:tcPr>
          <w:p w14:paraId="2130C279" w14:textId="1A8954DA" w:rsidR="000D0617" w:rsidRDefault="000D0617" w:rsidP="00F57A57">
            <w:pPr>
              <w:rPr>
                <w:rFonts w:cs="Arial"/>
                <w:sz w:val="20"/>
              </w:rPr>
            </w:pPr>
            <w:r>
              <w:rPr>
                <w:rFonts w:cs="Arial"/>
                <w:sz w:val="20"/>
              </w:rPr>
              <w:t>Informational</w:t>
            </w:r>
          </w:p>
        </w:tc>
        <w:tc>
          <w:tcPr>
            <w:tcW w:w="9630" w:type="dxa"/>
          </w:tcPr>
          <w:p w14:paraId="6070AC21" w14:textId="77777777" w:rsidR="000D0617" w:rsidRDefault="000D0617" w:rsidP="00F57A57">
            <w:pPr>
              <w:rPr>
                <w:rFonts w:cs="Arial"/>
                <w:b/>
                <w:bCs/>
                <w:sz w:val="20"/>
                <w:szCs w:val="20"/>
              </w:rPr>
            </w:pPr>
            <w:r w:rsidRPr="000D0617">
              <w:rPr>
                <w:rFonts w:cs="Arial"/>
                <w:b/>
                <w:bCs/>
                <w:sz w:val="20"/>
                <w:szCs w:val="20"/>
              </w:rPr>
              <w:t>CalACES Extended Planning</w:t>
            </w:r>
          </w:p>
          <w:p w14:paraId="5F2E60B7" w14:textId="77777777" w:rsidR="000D0617" w:rsidRDefault="000D0617" w:rsidP="00F57A57">
            <w:pPr>
              <w:rPr>
                <w:rFonts w:cs="Arial"/>
                <w:b/>
                <w:bCs/>
                <w:sz w:val="20"/>
                <w:szCs w:val="20"/>
              </w:rPr>
            </w:pPr>
          </w:p>
          <w:p w14:paraId="435B8A8B" w14:textId="292651E8" w:rsidR="006E6CE1" w:rsidRDefault="000D0617" w:rsidP="006E6CE1">
            <w:pPr>
              <w:rPr>
                <w:rFonts w:cs="Arial"/>
                <w:bCs/>
                <w:sz w:val="20"/>
                <w:szCs w:val="20"/>
              </w:rPr>
            </w:pPr>
            <w:r>
              <w:rPr>
                <w:rFonts w:cs="Arial"/>
                <w:b/>
                <w:bCs/>
                <w:sz w:val="20"/>
                <w:szCs w:val="20"/>
              </w:rPr>
              <w:t>Summary:</w:t>
            </w:r>
            <w:r w:rsidR="0048474E">
              <w:rPr>
                <w:rFonts w:cs="Arial"/>
                <w:b/>
                <w:bCs/>
                <w:sz w:val="20"/>
                <w:szCs w:val="20"/>
              </w:rPr>
              <w:t xml:space="preserve"> </w:t>
            </w:r>
            <w:r w:rsidR="0048474E" w:rsidRPr="0048474E">
              <w:rPr>
                <w:rFonts w:cs="Arial"/>
                <w:bCs/>
                <w:sz w:val="20"/>
                <w:szCs w:val="20"/>
              </w:rPr>
              <w:t>John Boule</w:t>
            </w:r>
            <w:r w:rsidR="00D1507D">
              <w:rPr>
                <w:rFonts w:cs="Arial"/>
                <w:bCs/>
                <w:sz w:val="20"/>
                <w:szCs w:val="20"/>
              </w:rPr>
              <w:t xml:space="preserve">, </w:t>
            </w:r>
            <w:r w:rsidR="002C1EDC">
              <w:rPr>
                <w:rFonts w:cs="Arial"/>
                <w:bCs/>
                <w:sz w:val="20"/>
                <w:szCs w:val="20"/>
              </w:rPr>
              <w:t xml:space="preserve">Thomas Hartman, June Hutchison </w:t>
            </w:r>
            <w:r w:rsidR="00D1507D">
              <w:rPr>
                <w:rFonts w:cs="Arial"/>
                <w:bCs/>
                <w:sz w:val="20"/>
                <w:szCs w:val="20"/>
              </w:rPr>
              <w:t>and Laura Chavez</w:t>
            </w:r>
            <w:r w:rsidR="0048474E">
              <w:rPr>
                <w:rFonts w:cs="Arial"/>
                <w:bCs/>
                <w:sz w:val="20"/>
                <w:szCs w:val="20"/>
              </w:rPr>
              <w:t xml:space="preserve"> will provide the following updates regarding the CalACES Extended Planning Project:</w:t>
            </w:r>
          </w:p>
          <w:p w14:paraId="31D18DC5" w14:textId="77777777" w:rsidR="00501E43" w:rsidRPr="00501E43" w:rsidRDefault="00501E43" w:rsidP="00501E43">
            <w:pPr>
              <w:pStyle w:val="ListParagraph"/>
              <w:numPr>
                <w:ilvl w:val="0"/>
                <w:numId w:val="48"/>
              </w:numPr>
              <w:rPr>
                <w:rFonts w:cs="Arial"/>
                <w:bCs/>
                <w:sz w:val="20"/>
                <w:szCs w:val="20"/>
              </w:rPr>
            </w:pPr>
            <w:r w:rsidRPr="00501E43">
              <w:rPr>
                <w:rFonts w:cs="Arial"/>
                <w:bCs/>
                <w:sz w:val="20"/>
                <w:szCs w:val="20"/>
              </w:rPr>
              <w:t>CalACES-CalSAWS Progress</w:t>
            </w:r>
          </w:p>
          <w:p w14:paraId="4F389256" w14:textId="77777777" w:rsidR="00501E43" w:rsidRPr="00501E43" w:rsidRDefault="00501E43" w:rsidP="00501E43">
            <w:pPr>
              <w:pStyle w:val="ListParagraph"/>
              <w:numPr>
                <w:ilvl w:val="0"/>
                <w:numId w:val="48"/>
              </w:numPr>
              <w:rPr>
                <w:rFonts w:cs="Arial"/>
                <w:bCs/>
                <w:sz w:val="20"/>
                <w:szCs w:val="20"/>
              </w:rPr>
            </w:pPr>
            <w:r w:rsidRPr="00501E43">
              <w:rPr>
                <w:rFonts w:cs="Arial"/>
                <w:bCs/>
                <w:sz w:val="20"/>
                <w:szCs w:val="20"/>
              </w:rPr>
              <w:t>CalACES-CalSAWS Planning Timeline</w:t>
            </w:r>
          </w:p>
          <w:p w14:paraId="4852C9EE" w14:textId="77777777" w:rsidR="00501E43" w:rsidRPr="00501E43" w:rsidRDefault="00501E43" w:rsidP="00501E43">
            <w:pPr>
              <w:pStyle w:val="ListParagraph"/>
              <w:numPr>
                <w:ilvl w:val="0"/>
                <w:numId w:val="48"/>
              </w:numPr>
              <w:rPr>
                <w:rFonts w:cs="Arial"/>
                <w:bCs/>
                <w:sz w:val="20"/>
                <w:szCs w:val="20"/>
              </w:rPr>
            </w:pPr>
            <w:r w:rsidRPr="00501E43">
              <w:rPr>
                <w:rFonts w:cs="Arial"/>
                <w:bCs/>
                <w:sz w:val="20"/>
                <w:szCs w:val="20"/>
              </w:rPr>
              <w:t>CalSAWS User Labs Update</w:t>
            </w:r>
          </w:p>
          <w:p w14:paraId="2B197D63" w14:textId="77777777" w:rsidR="00501E43" w:rsidRPr="00501E43" w:rsidRDefault="00501E43" w:rsidP="00501E43">
            <w:pPr>
              <w:pStyle w:val="ListParagraph"/>
              <w:numPr>
                <w:ilvl w:val="0"/>
                <w:numId w:val="48"/>
              </w:numPr>
              <w:rPr>
                <w:rFonts w:cs="Arial"/>
                <w:bCs/>
                <w:sz w:val="20"/>
                <w:szCs w:val="20"/>
              </w:rPr>
            </w:pPr>
            <w:r w:rsidRPr="00501E43">
              <w:rPr>
                <w:rFonts w:cs="Arial"/>
                <w:bCs/>
                <w:sz w:val="20"/>
                <w:szCs w:val="20"/>
              </w:rPr>
              <w:t>Requirements Gathering Status</w:t>
            </w:r>
          </w:p>
          <w:p w14:paraId="74495922" w14:textId="77777777" w:rsidR="006E6CE1" w:rsidRDefault="006E6CE1" w:rsidP="00F57A57">
            <w:pPr>
              <w:rPr>
                <w:rFonts w:cs="Arial"/>
                <w:bCs/>
                <w:sz w:val="20"/>
                <w:szCs w:val="20"/>
              </w:rPr>
            </w:pPr>
          </w:p>
          <w:p w14:paraId="66A15606" w14:textId="0E7331C7" w:rsidR="000D0617" w:rsidRPr="000D0617" w:rsidRDefault="0048474E" w:rsidP="00F57A57">
            <w:pPr>
              <w:rPr>
                <w:rFonts w:cs="Arial"/>
                <w:bCs/>
                <w:sz w:val="20"/>
                <w:szCs w:val="20"/>
              </w:rPr>
            </w:pPr>
            <w:r w:rsidRPr="00DB5873">
              <w:rPr>
                <w:rFonts w:cs="Arial"/>
                <w:bCs/>
                <w:sz w:val="20"/>
                <w:szCs w:val="20"/>
              </w:rPr>
              <w:t>(Handout)</w:t>
            </w:r>
          </w:p>
        </w:tc>
      </w:tr>
      <w:tr w:rsidR="00620F1A" w:rsidRPr="00A65C7D" w14:paraId="15CB5638" w14:textId="77777777" w:rsidTr="00140C48">
        <w:trPr>
          <w:cantSplit/>
          <w:trHeight w:val="557"/>
          <w:jc w:val="center"/>
        </w:trPr>
        <w:tc>
          <w:tcPr>
            <w:tcW w:w="625" w:type="dxa"/>
          </w:tcPr>
          <w:p w14:paraId="626AE72B" w14:textId="77777777" w:rsidR="000D0617" w:rsidRPr="00A65C7D" w:rsidRDefault="000D0617" w:rsidP="00A00991">
            <w:pPr>
              <w:numPr>
                <w:ilvl w:val="0"/>
                <w:numId w:val="1"/>
              </w:numPr>
              <w:ind w:left="0" w:firstLine="0"/>
              <w:rPr>
                <w:rFonts w:cs="Arial"/>
                <w:sz w:val="20"/>
              </w:rPr>
            </w:pPr>
          </w:p>
        </w:tc>
        <w:tc>
          <w:tcPr>
            <w:tcW w:w="1440" w:type="dxa"/>
          </w:tcPr>
          <w:p w14:paraId="3A3340F3" w14:textId="50368DF4" w:rsidR="000D0617" w:rsidRDefault="000D0617" w:rsidP="00F57A57">
            <w:pPr>
              <w:rPr>
                <w:rFonts w:cs="Arial"/>
                <w:sz w:val="20"/>
              </w:rPr>
            </w:pPr>
            <w:r>
              <w:rPr>
                <w:rFonts w:cs="Arial"/>
                <w:sz w:val="20"/>
              </w:rPr>
              <w:t>Informational</w:t>
            </w:r>
          </w:p>
        </w:tc>
        <w:tc>
          <w:tcPr>
            <w:tcW w:w="9630" w:type="dxa"/>
          </w:tcPr>
          <w:p w14:paraId="59FDFE64" w14:textId="73EE6C86" w:rsidR="000D0617" w:rsidRDefault="00501E43" w:rsidP="00F57A57">
            <w:pPr>
              <w:rPr>
                <w:rFonts w:cs="Arial"/>
                <w:b/>
                <w:bCs/>
                <w:sz w:val="20"/>
                <w:szCs w:val="20"/>
              </w:rPr>
            </w:pPr>
            <w:r>
              <w:rPr>
                <w:rFonts w:cs="Arial"/>
                <w:b/>
                <w:bCs/>
                <w:sz w:val="20"/>
                <w:szCs w:val="20"/>
              </w:rPr>
              <w:t>M&amp;</w:t>
            </w:r>
            <w:r w:rsidR="000D0617" w:rsidRPr="000D0617">
              <w:rPr>
                <w:rFonts w:cs="Arial"/>
                <w:b/>
                <w:bCs/>
                <w:sz w:val="20"/>
                <w:szCs w:val="20"/>
              </w:rPr>
              <w:t>O Application</w:t>
            </w:r>
            <w:r>
              <w:rPr>
                <w:rFonts w:cs="Arial"/>
                <w:b/>
                <w:bCs/>
                <w:sz w:val="20"/>
                <w:szCs w:val="20"/>
              </w:rPr>
              <w:t xml:space="preserve"> &amp; Policy</w:t>
            </w:r>
            <w:r w:rsidR="000D0617" w:rsidRPr="000D0617">
              <w:rPr>
                <w:rFonts w:cs="Arial"/>
                <w:b/>
                <w:bCs/>
                <w:sz w:val="20"/>
                <w:szCs w:val="20"/>
              </w:rPr>
              <w:t xml:space="preserve"> Update</w:t>
            </w:r>
          </w:p>
          <w:p w14:paraId="4242B07B" w14:textId="77777777" w:rsidR="000D0617" w:rsidRDefault="000D0617" w:rsidP="00F57A57">
            <w:pPr>
              <w:rPr>
                <w:rFonts w:cs="Arial"/>
                <w:b/>
                <w:bCs/>
                <w:sz w:val="20"/>
                <w:szCs w:val="20"/>
              </w:rPr>
            </w:pPr>
          </w:p>
          <w:p w14:paraId="2059F481" w14:textId="1717A143" w:rsidR="000D0617" w:rsidRDefault="000D0617" w:rsidP="00F57A57">
            <w:pPr>
              <w:rPr>
                <w:rFonts w:cs="Arial"/>
                <w:bCs/>
                <w:sz w:val="20"/>
                <w:szCs w:val="20"/>
              </w:rPr>
            </w:pPr>
            <w:r>
              <w:rPr>
                <w:rFonts w:cs="Arial"/>
                <w:b/>
                <w:bCs/>
                <w:sz w:val="20"/>
                <w:szCs w:val="20"/>
              </w:rPr>
              <w:t>Summary:</w:t>
            </w:r>
            <w:r w:rsidR="00302094">
              <w:rPr>
                <w:rFonts w:cs="Arial"/>
                <w:b/>
                <w:bCs/>
                <w:sz w:val="20"/>
                <w:szCs w:val="20"/>
              </w:rPr>
              <w:t xml:space="preserve"> </w:t>
            </w:r>
            <w:r w:rsidR="00302094">
              <w:rPr>
                <w:rFonts w:cs="Arial"/>
                <w:bCs/>
                <w:sz w:val="20"/>
                <w:szCs w:val="20"/>
              </w:rPr>
              <w:t>M</w:t>
            </w:r>
            <w:r w:rsidR="002C1EDC">
              <w:rPr>
                <w:rFonts w:cs="Arial"/>
                <w:bCs/>
                <w:sz w:val="20"/>
                <w:szCs w:val="20"/>
              </w:rPr>
              <w:t xml:space="preserve">ichele Peterson </w:t>
            </w:r>
            <w:r w:rsidR="00302094">
              <w:rPr>
                <w:rFonts w:cs="Arial"/>
                <w:bCs/>
                <w:sz w:val="20"/>
                <w:szCs w:val="20"/>
              </w:rPr>
              <w:t>and Kelly Young</w:t>
            </w:r>
            <w:r w:rsidR="00302094" w:rsidRPr="00302094">
              <w:rPr>
                <w:rFonts w:cs="Arial"/>
                <w:bCs/>
                <w:sz w:val="20"/>
                <w:szCs w:val="20"/>
              </w:rPr>
              <w:t xml:space="preserve"> will provide an update on recent M&amp;O Project activities.</w:t>
            </w:r>
          </w:p>
          <w:p w14:paraId="02A9AE9A" w14:textId="754BDDB4" w:rsidR="00DB5873" w:rsidRPr="00DB5873" w:rsidRDefault="00DB5873" w:rsidP="00DB5873">
            <w:pPr>
              <w:pStyle w:val="ListParagraph"/>
              <w:numPr>
                <w:ilvl w:val="0"/>
                <w:numId w:val="38"/>
              </w:numPr>
              <w:rPr>
                <w:rFonts w:cs="Arial"/>
                <w:bCs/>
                <w:sz w:val="20"/>
                <w:szCs w:val="20"/>
              </w:rPr>
            </w:pPr>
            <w:r w:rsidRPr="00302094">
              <w:rPr>
                <w:rFonts w:cs="Arial"/>
                <w:bCs/>
                <w:sz w:val="20"/>
                <w:szCs w:val="20"/>
              </w:rPr>
              <w:t>Policy Changes</w:t>
            </w:r>
          </w:p>
          <w:p w14:paraId="2E7DC0E9" w14:textId="77777777" w:rsidR="000D0617" w:rsidRDefault="000D0617" w:rsidP="00F57A57">
            <w:pPr>
              <w:rPr>
                <w:rFonts w:cs="Arial"/>
                <w:bCs/>
                <w:sz w:val="20"/>
                <w:szCs w:val="20"/>
              </w:rPr>
            </w:pPr>
          </w:p>
          <w:p w14:paraId="5B4F8C6F" w14:textId="024F3DF7" w:rsidR="000D0617" w:rsidRPr="000D0617" w:rsidRDefault="000D0617" w:rsidP="00F57A57">
            <w:pPr>
              <w:rPr>
                <w:rFonts w:cs="Arial"/>
                <w:bCs/>
                <w:sz w:val="20"/>
                <w:szCs w:val="20"/>
              </w:rPr>
            </w:pPr>
            <w:r>
              <w:rPr>
                <w:rFonts w:cs="Arial"/>
                <w:bCs/>
                <w:sz w:val="20"/>
                <w:szCs w:val="20"/>
              </w:rPr>
              <w:t>(Handout)</w:t>
            </w:r>
          </w:p>
        </w:tc>
      </w:tr>
      <w:tr w:rsidR="00140C48" w:rsidRPr="00A65C7D" w14:paraId="7F05B94D" w14:textId="77777777" w:rsidTr="00140C48">
        <w:trPr>
          <w:cantSplit/>
          <w:trHeight w:val="557"/>
          <w:jc w:val="center"/>
        </w:trPr>
        <w:tc>
          <w:tcPr>
            <w:tcW w:w="625" w:type="dxa"/>
          </w:tcPr>
          <w:p w14:paraId="1895F59B" w14:textId="77777777" w:rsidR="00140C48" w:rsidRPr="00A65C7D" w:rsidRDefault="00140C48" w:rsidP="00A00991">
            <w:pPr>
              <w:numPr>
                <w:ilvl w:val="0"/>
                <w:numId w:val="1"/>
              </w:numPr>
              <w:ind w:left="0" w:firstLine="0"/>
              <w:rPr>
                <w:rFonts w:cs="Arial"/>
                <w:sz w:val="20"/>
              </w:rPr>
            </w:pPr>
          </w:p>
        </w:tc>
        <w:tc>
          <w:tcPr>
            <w:tcW w:w="1440" w:type="dxa"/>
          </w:tcPr>
          <w:p w14:paraId="4BFBF5E7" w14:textId="581DCA74" w:rsidR="00140C48" w:rsidRDefault="00140C48" w:rsidP="00F57A57">
            <w:pPr>
              <w:rPr>
                <w:rFonts w:cs="Arial"/>
                <w:sz w:val="20"/>
              </w:rPr>
            </w:pPr>
            <w:r>
              <w:rPr>
                <w:rFonts w:cs="Arial"/>
                <w:sz w:val="20"/>
              </w:rPr>
              <w:t>Informational</w:t>
            </w:r>
          </w:p>
        </w:tc>
        <w:tc>
          <w:tcPr>
            <w:tcW w:w="9630" w:type="dxa"/>
          </w:tcPr>
          <w:p w14:paraId="7E1CC409" w14:textId="7DE6DDD1" w:rsidR="00140C48" w:rsidRPr="00140C48" w:rsidRDefault="00140C48" w:rsidP="00140C48">
            <w:pPr>
              <w:rPr>
                <w:rFonts w:cs="Arial"/>
                <w:b/>
                <w:bCs/>
                <w:sz w:val="20"/>
                <w:szCs w:val="20"/>
              </w:rPr>
            </w:pPr>
            <w:r w:rsidRPr="00140C48">
              <w:rPr>
                <w:rFonts w:cs="Arial"/>
                <w:b/>
                <w:bCs/>
                <w:sz w:val="20"/>
                <w:szCs w:val="20"/>
              </w:rPr>
              <w:t>Review Draft Agenda</w:t>
            </w:r>
          </w:p>
          <w:p w14:paraId="0BFA5015" w14:textId="77777777" w:rsidR="00140C48" w:rsidRDefault="00140C48" w:rsidP="00140C48">
            <w:pPr>
              <w:pStyle w:val="ListParagraph"/>
              <w:numPr>
                <w:ilvl w:val="0"/>
                <w:numId w:val="38"/>
              </w:numPr>
              <w:rPr>
                <w:rFonts w:cs="Arial"/>
                <w:bCs/>
                <w:sz w:val="20"/>
                <w:szCs w:val="20"/>
              </w:rPr>
            </w:pPr>
            <w:r w:rsidRPr="00140C48">
              <w:rPr>
                <w:rFonts w:cs="Arial"/>
                <w:bCs/>
                <w:sz w:val="20"/>
                <w:szCs w:val="20"/>
              </w:rPr>
              <w:t>June 22, 2018 Member Representative Meeting</w:t>
            </w:r>
          </w:p>
          <w:p w14:paraId="1C157A68" w14:textId="64F0FBD7" w:rsidR="00140C48" w:rsidRPr="00140C48" w:rsidRDefault="00140C48" w:rsidP="00140C48">
            <w:pPr>
              <w:pStyle w:val="ListParagraph"/>
              <w:rPr>
                <w:rFonts w:cs="Arial"/>
                <w:bCs/>
                <w:sz w:val="20"/>
                <w:szCs w:val="20"/>
              </w:rPr>
            </w:pPr>
          </w:p>
        </w:tc>
      </w:tr>
      <w:tr w:rsidR="00620F1A" w:rsidRPr="00A65C7D" w14:paraId="6AF81C1D" w14:textId="77777777" w:rsidTr="00140C48">
        <w:trPr>
          <w:cantSplit/>
          <w:trHeight w:val="557"/>
          <w:jc w:val="center"/>
        </w:trPr>
        <w:tc>
          <w:tcPr>
            <w:tcW w:w="625" w:type="dxa"/>
          </w:tcPr>
          <w:p w14:paraId="35121531" w14:textId="77777777" w:rsidR="000D0617" w:rsidRPr="00A65C7D" w:rsidRDefault="000D0617" w:rsidP="00A00991">
            <w:pPr>
              <w:numPr>
                <w:ilvl w:val="0"/>
                <w:numId w:val="1"/>
              </w:numPr>
              <w:ind w:left="0" w:firstLine="0"/>
              <w:rPr>
                <w:rFonts w:cs="Arial"/>
                <w:sz w:val="20"/>
              </w:rPr>
            </w:pPr>
          </w:p>
        </w:tc>
        <w:tc>
          <w:tcPr>
            <w:tcW w:w="1440" w:type="dxa"/>
          </w:tcPr>
          <w:p w14:paraId="52596B23" w14:textId="77777777" w:rsidR="000D0617" w:rsidRDefault="000D0617" w:rsidP="000D0617">
            <w:pPr>
              <w:rPr>
                <w:rFonts w:cs="Arial"/>
                <w:sz w:val="20"/>
              </w:rPr>
            </w:pPr>
            <w:r>
              <w:rPr>
                <w:rFonts w:cs="Arial"/>
                <w:sz w:val="20"/>
              </w:rPr>
              <w:t>Informational/</w:t>
            </w:r>
          </w:p>
          <w:p w14:paraId="11C3C5FB" w14:textId="4B6FF41B" w:rsidR="000D0617" w:rsidRDefault="000D0617" w:rsidP="000D0617">
            <w:pPr>
              <w:rPr>
                <w:rFonts w:cs="Arial"/>
                <w:sz w:val="20"/>
              </w:rPr>
            </w:pPr>
            <w:r>
              <w:rPr>
                <w:rFonts w:cs="Arial"/>
                <w:sz w:val="20"/>
              </w:rPr>
              <w:t>Procedural</w:t>
            </w:r>
          </w:p>
        </w:tc>
        <w:tc>
          <w:tcPr>
            <w:tcW w:w="9630" w:type="dxa"/>
          </w:tcPr>
          <w:p w14:paraId="1E8EE51C" w14:textId="7118DD3E" w:rsidR="000D0617" w:rsidRPr="000D0617" w:rsidRDefault="000D0617" w:rsidP="00F57A57">
            <w:pPr>
              <w:rPr>
                <w:rFonts w:cs="Arial"/>
                <w:b/>
                <w:bCs/>
                <w:sz w:val="20"/>
                <w:szCs w:val="20"/>
              </w:rPr>
            </w:pPr>
            <w:r>
              <w:rPr>
                <w:rFonts w:cs="Arial"/>
                <w:b/>
                <w:bCs/>
                <w:sz w:val="20"/>
                <w:szCs w:val="20"/>
              </w:rPr>
              <w:t>Public Comment</w:t>
            </w:r>
          </w:p>
        </w:tc>
      </w:tr>
      <w:tr w:rsidR="00620F1A" w:rsidRPr="00A65C7D" w14:paraId="4C821CD7" w14:textId="77777777" w:rsidTr="00140C48">
        <w:trPr>
          <w:cantSplit/>
          <w:trHeight w:val="557"/>
          <w:jc w:val="center"/>
        </w:trPr>
        <w:tc>
          <w:tcPr>
            <w:tcW w:w="625" w:type="dxa"/>
          </w:tcPr>
          <w:p w14:paraId="094BBC9E" w14:textId="77777777" w:rsidR="00F57A57" w:rsidRPr="00A65C7D" w:rsidRDefault="00F57A57" w:rsidP="00A00991">
            <w:pPr>
              <w:numPr>
                <w:ilvl w:val="0"/>
                <w:numId w:val="1"/>
              </w:numPr>
              <w:ind w:left="0" w:firstLine="0"/>
              <w:rPr>
                <w:rFonts w:cs="Arial"/>
                <w:sz w:val="20"/>
              </w:rPr>
            </w:pPr>
          </w:p>
        </w:tc>
        <w:tc>
          <w:tcPr>
            <w:tcW w:w="1440" w:type="dxa"/>
          </w:tcPr>
          <w:p w14:paraId="398FBEEF" w14:textId="77777777" w:rsidR="00F57A57" w:rsidRDefault="00F57A57" w:rsidP="00F57A57">
            <w:pPr>
              <w:rPr>
                <w:rFonts w:cs="Arial"/>
                <w:sz w:val="20"/>
              </w:rPr>
            </w:pPr>
            <w:r>
              <w:rPr>
                <w:rFonts w:cs="Arial"/>
                <w:sz w:val="20"/>
              </w:rPr>
              <w:t>Informational/</w:t>
            </w:r>
          </w:p>
          <w:p w14:paraId="5A9C9FE1" w14:textId="77777777" w:rsidR="00F57A57" w:rsidRDefault="00F57A57" w:rsidP="00F57A57">
            <w:pPr>
              <w:rPr>
                <w:rFonts w:cs="Arial"/>
                <w:sz w:val="20"/>
              </w:rPr>
            </w:pPr>
            <w:r>
              <w:rPr>
                <w:rFonts w:cs="Arial"/>
                <w:sz w:val="20"/>
              </w:rPr>
              <w:t>Procedural</w:t>
            </w:r>
          </w:p>
        </w:tc>
        <w:tc>
          <w:tcPr>
            <w:tcW w:w="9630" w:type="dxa"/>
          </w:tcPr>
          <w:p w14:paraId="69EB8BA6" w14:textId="77777777" w:rsidR="00F57A57" w:rsidRDefault="00F57A57" w:rsidP="00F57A57">
            <w:pPr>
              <w:rPr>
                <w:rFonts w:cs="Arial"/>
                <w:b/>
                <w:bCs/>
                <w:sz w:val="20"/>
                <w:szCs w:val="20"/>
              </w:rPr>
            </w:pPr>
            <w:r>
              <w:rPr>
                <w:rFonts w:cs="Arial"/>
                <w:b/>
                <w:bCs/>
                <w:sz w:val="20"/>
                <w:szCs w:val="20"/>
              </w:rPr>
              <w:t>Adjourn Meeting</w:t>
            </w:r>
          </w:p>
          <w:p w14:paraId="7379C389" w14:textId="77777777" w:rsidR="00302094" w:rsidRDefault="00302094" w:rsidP="00F57A57">
            <w:pPr>
              <w:rPr>
                <w:rFonts w:cs="Arial"/>
                <w:b/>
                <w:bCs/>
                <w:sz w:val="20"/>
                <w:szCs w:val="20"/>
              </w:rPr>
            </w:pPr>
          </w:p>
          <w:p w14:paraId="45AE5866" w14:textId="5337ED7F" w:rsidR="00302094" w:rsidRDefault="00302094" w:rsidP="00BA3AB6">
            <w:pPr>
              <w:rPr>
                <w:rFonts w:cs="Arial"/>
                <w:b/>
                <w:bCs/>
                <w:sz w:val="20"/>
                <w:szCs w:val="20"/>
              </w:rPr>
            </w:pPr>
            <w:r w:rsidRPr="00302094">
              <w:rPr>
                <w:rFonts w:cs="Arial"/>
                <w:b/>
                <w:bCs/>
                <w:sz w:val="20"/>
                <w:szCs w:val="20"/>
              </w:rPr>
              <w:t xml:space="preserve">Summary: </w:t>
            </w:r>
            <w:r w:rsidRPr="00302094">
              <w:rPr>
                <w:rFonts w:cs="Arial"/>
                <w:bCs/>
                <w:sz w:val="20"/>
                <w:szCs w:val="20"/>
              </w:rPr>
              <w:t>CalACES Board</w:t>
            </w:r>
            <w:r>
              <w:rPr>
                <w:rFonts w:cs="Arial"/>
                <w:b/>
                <w:bCs/>
                <w:sz w:val="20"/>
                <w:szCs w:val="20"/>
              </w:rPr>
              <w:t xml:space="preserve"> </w:t>
            </w:r>
            <w:r w:rsidRPr="00302094">
              <w:rPr>
                <w:rFonts w:cs="Arial"/>
                <w:bCs/>
                <w:sz w:val="20"/>
                <w:szCs w:val="20"/>
              </w:rPr>
              <w:t>Chair</w:t>
            </w:r>
            <w:r>
              <w:rPr>
                <w:rFonts w:cs="Arial"/>
                <w:bCs/>
                <w:sz w:val="20"/>
                <w:szCs w:val="20"/>
              </w:rPr>
              <w:t xml:space="preserve">, </w:t>
            </w:r>
            <w:r w:rsidRPr="00302094">
              <w:rPr>
                <w:rFonts w:cs="Arial"/>
                <w:bCs/>
                <w:sz w:val="20"/>
                <w:szCs w:val="20"/>
              </w:rPr>
              <w:t>Scott Pettygrove will adjourn the JPA Board Meeting.</w:t>
            </w:r>
          </w:p>
        </w:tc>
      </w:tr>
    </w:tbl>
    <w:p w14:paraId="36995180" w14:textId="77777777" w:rsidR="008D2FD3" w:rsidRPr="008D2FD3" w:rsidRDefault="008D2FD3" w:rsidP="008D2FD3">
      <w:pPr>
        <w:tabs>
          <w:tab w:val="left" w:pos="2550"/>
        </w:tabs>
      </w:pPr>
    </w:p>
    <w:sectPr w:rsidR="008D2FD3" w:rsidRPr="008D2FD3" w:rsidSect="00A00991">
      <w:headerReference w:type="default" r:id="rId8"/>
      <w:footerReference w:type="default" r:id="rId9"/>
      <w:type w:val="continuous"/>
      <w:pgSz w:w="12240" w:h="15840" w:code="1"/>
      <w:pgMar w:top="187" w:right="1440" w:bottom="720" w:left="144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8AD02" w14:textId="77777777" w:rsidR="00292FD9" w:rsidRDefault="00292FD9" w:rsidP="00225400">
      <w:pPr>
        <w:spacing w:after="0" w:line="240" w:lineRule="auto"/>
      </w:pPr>
      <w:r>
        <w:separator/>
      </w:r>
    </w:p>
  </w:endnote>
  <w:endnote w:type="continuationSeparator" w:id="0">
    <w:p w14:paraId="5E31389A" w14:textId="77777777" w:rsidR="00292FD9" w:rsidRDefault="00292FD9" w:rsidP="00225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923498"/>
      <w:docPartObj>
        <w:docPartGallery w:val="Page Numbers (Bottom of Page)"/>
        <w:docPartUnique/>
      </w:docPartObj>
    </w:sdtPr>
    <w:sdtEndPr>
      <w:rPr>
        <w:noProof/>
      </w:rPr>
    </w:sdtEndPr>
    <w:sdtContent>
      <w:p w14:paraId="60DB90BF" w14:textId="7606044E" w:rsidR="00DE2C84" w:rsidRDefault="00DE2C84">
        <w:pPr>
          <w:pStyle w:val="Footer"/>
          <w:jc w:val="right"/>
        </w:pPr>
        <w:r>
          <w:fldChar w:fldCharType="begin"/>
        </w:r>
        <w:r>
          <w:instrText xml:space="preserve"> PAGE   \* MERGEFORMAT </w:instrText>
        </w:r>
        <w:r>
          <w:fldChar w:fldCharType="separate"/>
        </w:r>
        <w:r w:rsidR="004D430E">
          <w:rPr>
            <w:noProof/>
          </w:rPr>
          <w:t>3</w:t>
        </w:r>
        <w:r>
          <w:rPr>
            <w:noProof/>
          </w:rPr>
          <w:fldChar w:fldCharType="end"/>
        </w:r>
      </w:p>
    </w:sdtContent>
  </w:sdt>
  <w:p w14:paraId="624CEC5E" w14:textId="77777777" w:rsidR="00DE2C84" w:rsidRDefault="00DE2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62DDE" w14:textId="77777777" w:rsidR="00292FD9" w:rsidRDefault="00292FD9" w:rsidP="00225400">
      <w:pPr>
        <w:spacing w:after="0" w:line="240" w:lineRule="auto"/>
      </w:pPr>
      <w:r>
        <w:separator/>
      </w:r>
    </w:p>
  </w:footnote>
  <w:footnote w:type="continuationSeparator" w:id="0">
    <w:p w14:paraId="509FE853" w14:textId="77777777" w:rsidR="00292FD9" w:rsidRDefault="00292FD9" w:rsidP="00225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778BD" w14:textId="703BC414" w:rsidR="00620F1A" w:rsidRPr="00620F1A" w:rsidRDefault="00620F1A" w:rsidP="00620F1A">
    <w:pPr>
      <w:pStyle w:val="Header"/>
      <w:jc w:val="center"/>
      <w:rPr>
        <w:b/>
        <w:bCs/>
      </w:rPr>
    </w:pPr>
    <w:r w:rsidRPr="00620F1A">
      <w:rPr>
        <w:b/>
        <w:bCs/>
      </w:rPr>
      <w:t>Executive Summary for the</w:t>
    </w:r>
  </w:p>
  <w:p w14:paraId="25AFDE0D" w14:textId="0836C992" w:rsidR="00620F1A" w:rsidRPr="00620F1A" w:rsidRDefault="00620F1A" w:rsidP="00620F1A">
    <w:pPr>
      <w:pStyle w:val="Header"/>
      <w:jc w:val="center"/>
      <w:rPr>
        <w:b/>
        <w:bCs/>
      </w:rPr>
    </w:pPr>
    <w:r w:rsidRPr="00620F1A">
      <w:rPr>
        <w:b/>
        <w:bCs/>
      </w:rPr>
      <w:t>California Automated Consortium Eligibility System (“CalACES”)</w:t>
    </w:r>
  </w:p>
  <w:p w14:paraId="70A6A124" w14:textId="7D07F9E8" w:rsidR="00620F1A" w:rsidRDefault="00620F1A" w:rsidP="00620F1A">
    <w:pPr>
      <w:pStyle w:val="Header"/>
      <w:jc w:val="center"/>
      <w:rPr>
        <w:b/>
        <w:bCs/>
      </w:rPr>
    </w:pPr>
    <w:r w:rsidRPr="00620F1A">
      <w:rPr>
        <w:b/>
        <w:bCs/>
      </w:rPr>
      <w:t>Meeting o</w:t>
    </w:r>
    <w:r w:rsidR="006E6CE1">
      <w:rPr>
        <w:b/>
        <w:bCs/>
      </w:rPr>
      <w:t>f the Board of Directors - April</w:t>
    </w:r>
    <w:r w:rsidRPr="00620F1A">
      <w:rPr>
        <w:b/>
        <w:bCs/>
      </w:rPr>
      <w:t xml:space="preserve"> 2</w:t>
    </w:r>
    <w:r w:rsidR="006E6CE1">
      <w:rPr>
        <w:b/>
        <w:bCs/>
      </w:rPr>
      <w:t>6</w:t>
    </w:r>
    <w:r w:rsidRPr="00620F1A">
      <w:rPr>
        <w:b/>
        <w:bCs/>
      </w:rPr>
      <w:t>, 2018</w:t>
    </w:r>
  </w:p>
  <w:p w14:paraId="1430935E" w14:textId="77777777" w:rsidR="00620F1A" w:rsidRDefault="00620F1A" w:rsidP="00620F1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0336"/>
    <w:multiLevelType w:val="hybridMultilevel"/>
    <w:tmpl w:val="5302F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06103"/>
    <w:multiLevelType w:val="hybridMultilevel"/>
    <w:tmpl w:val="ED5C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F2D53"/>
    <w:multiLevelType w:val="hybridMultilevel"/>
    <w:tmpl w:val="12F83C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D15FF"/>
    <w:multiLevelType w:val="hybridMultilevel"/>
    <w:tmpl w:val="00FE5F2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34255"/>
    <w:multiLevelType w:val="hybridMultilevel"/>
    <w:tmpl w:val="09C66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75F24"/>
    <w:multiLevelType w:val="hybridMultilevel"/>
    <w:tmpl w:val="AE883B96"/>
    <w:lvl w:ilvl="0" w:tplc="ED965750">
      <w:start w:val="1"/>
      <w:numFmt w:val="bullet"/>
      <w:lvlText w:val=""/>
      <w:lvlJc w:val="left"/>
      <w:pPr>
        <w:ind w:left="1186"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A7A65"/>
    <w:multiLevelType w:val="hybridMultilevel"/>
    <w:tmpl w:val="DFC0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43052"/>
    <w:multiLevelType w:val="hybridMultilevel"/>
    <w:tmpl w:val="505EB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B1EE1"/>
    <w:multiLevelType w:val="hybridMultilevel"/>
    <w:tmpl w:val="1A6C0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3700A"/>
    <w:multiLevelType w:val="hybridMultilevel"/>
    <w:tmpl w:val="E1E0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2A14AB"/>
    <w:multiLevelType w:val="hybridMultilevel"/>
    <w:tmpl w:val="4FFA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015EB5"/>
    <w:multiLevelType w:val="hybridMultilevel"/>
    <w:tmpl w:val="42E8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C2018"/>
    <w:multiLevelType w:val="hybridMultilevel"/>
    <w:tmpl w:val="3DF8E7CA"/>
    <w:lvl w:ilvl="0" w:tplc="ED965750">
      <w:start w:val="1"/>
      <w:numFmt w:val="bullet"/>
      <w:lvlText w:val=""/>
      <w:lvlJc w:val="left"/>
      <w:pPr>
        <w:ind w:left="1186"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851809"/>
    <w:multiLevelType w:val="hybridMultilevel"/>
    <w:tmpl w:val="033C7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212AC"/>
    <w:multiLevelType w:val="hybridMultilevel"/>
    <w:tmpl w:val="84342FD2"/>
    <w:lvl w:ilvl="0" w:tplc="039482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577257"/>
    <w:multiLevelType w:val="hybridMultilevel"/>
    <w:tmpl w:val="6660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65037B"/>
    <w:multiLevelType w:val="hybridMultilevel"/>
    <w:tmpl w:val="588C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6B72EE"/>
    <w:multiLevelType w:val="hybridMultilevel"/>
    <w:tmpl w:val="DBE6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1F0783"/>
    <w:multiLevelType w:val="hybridMultilevel"/>
    <w:tmpl w:val="52DE9CBC"/>
    <w:lvl w:ilvl="0" w:tplc="A38A87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A86CF4"/>
    <w:multiLevelType w:val="hybridMultilevel"/>
    <w:tmpl w:val="2B9C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33EC3"/>
    <w:multiLevelType w:val="hybridMultilevel"/>
    <w:tmpl w:val="14B25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DF3F68"/>
    <w:multiLevelType w:val="hybridMultilevel"/>
    <w:tmpl w:val="871A8656"/>
    <w:lvl w:ilvl="0" w:tplc="04090001">
      <w:start w:val="1"/>
      <w:numFmt w:val="bullet"/>
      <w:lvlText w:val=""/>
      <w:lvlJc w:val="left"/>
      <w:pPr>
        <w:ind w:left="1186" w:hanging="360"/>
      </w:pPr>
      <w:rPr>
        <w:rFonts w:ascii="Symbol" w:hAnsi="Symbol"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22" w15:restartNumberingAfterBreak="0">
    <w:nsid w:val="3A4061EC"/>
    <w:multiLevelType w:val="hybridMultilevel"/>
    <w:tmpl w:val="F1E2ED72"/>
    <w:lvl w:ilvl="0" w:tplc="04090001">
      <w:start w:val="1"/>
      <w:numFmt w:val="bullet"/>
      <w:lvlText w:val=""/>
      <w:lvlJc w:val="left"/>
      <w:pPr>
        <w:ind w:left="1186" w:hanging="360"/>
      </w:pPr>
      <w:rPr>
        <w:rFonts w:ascii="Symbol" w:hAnsi="Symbol"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23" w15:restartNumberingAfterBreak="0">
    <w:nsid w:val="40E01A6B"/>
    <w:multiLevelType w:val="hybridMultilevel"/>
    <w:tmpl w:val="5D226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8E37DA"/>
    <w:multiLevelType w:val="hybridMultilevel"/>
    <w:tmpl w:val="28F4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384F35"/>
    <w:multiLevelType w:val="hybridMultilevel"/>
    <w:tmpl w:val="3DF66D6C"/>
    <w:lvl w:ilvl="0" w:tplc="0409000F">
      <w:start w:val="1"/>
      <w:numFmt w:val="decimal"/>
      <w:lvlText w:val="%1."/>
      <w:lvlJc w:val="left"/>
      <w:pPr>
        <w:tabs>
          <w:tab w:val="num" w:pos="1080"/>
        </w:tabs>
        <w:ind w:left="1080" w:hanging="360"/>
      </w:pPr>
      <w:rPr>
        <w:rFonts w:cs="Times New Roman"/>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4DBD0757"/>
    <w:multiLevelType w:val="hybridMultilevel"/>
    <w:tmpl w:val="AFACE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4E241C"/>
    <w:multiLevelType w:val="hybridMultilevel"/>
    <w:tmpl w:val="DC9A8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EB4014"/>
    <w:multiLevelType w:val="hybridMultilevel"/>
    <w:tmpl w:val="B5949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1D53E8"/>
    <w:multiLevelType w:val="hybridMultilevel"/>
    <w:tmpl w:val="830E2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353A7E"/>
    <w:multiLevelType w:val="hybridMultilevel"/>
    <w:tmpl w:val="0C70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F44AC4"/>
    <w:multiLevelType w:val="hybridMultilevel"/>
    <w:tmpl w:val="FBEC29A6"/>
    <w:lvl w:ilvl="0" w:tplc="B0C63D4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94AB6"/>
    <w:multiLevelType w:val="hybridMultilevel"/>
    <w:tmpl w:val="C03EBE3E"/>
    <w:lvl w:ilvl="0" w:tplc="DEF4D414">
      <w:start w:val="1"/>
      <w:numFmt w:val="bullet"/>
      <w:lvlText w:val=""/>
      <w:lvlJc w:val="left"/>
      <w:pPr>
        <w:ind w:left="1186" w:hanging="360"/>
      </w:pPr>
      <w:rPr>
        <w:rFonts w:ascii="Symbol" w:hAnsi="Symbol" w:hint="default"/>
        <w:sz w:val="14"/>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33" w15:restartNumberingAfterBreak="0">
    <w:nsid w:val="5DE14EE9"/>
    <w:multiLevelType w:val="hybridMultilevel"/>
    <w:tmpl w:val="2DE4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FA190C"/>
    <w:multiLevelType w:val="hybridMultilevel"/>
    <w:tmpl w:val="1D72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3D26B4"/>
    <w:multiLevelType w:val="hybridMultilevel"/>
    <w:tmpl w:val="4AFC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B9410F"/>
    <w:multiLevelType w:val="hybridMultilevel"/>
    <w:tmpl w:val="1F9E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8121D0"/>
    <w:multiLevelType w:val="hybridMultilevel"/>
    <w:tmpl w:val="54B2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3919B9"/>
    <w:multiLevelType w:val="hybridMultilevel"/>
    <w:tmpl w:val="FA6833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194136"/>
    <w:multiLevelType w:val="hybridMultilevel"/>
    <w:tmpl w:val="C6A6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B6323"/>
    <w:multiLevelType w:val="hybridMultilevel"/>
    <w:tmpl w:val="B7EA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D56E7B"/>
    <w:multiLevelType w:val="hybridMultilevel"/>
    <w:tmpl w:val="75EAF9E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2" w15:restartNumberingAfterBreak="0">
    <w:nsid w:val="70483D0C"/>
    <w:multiLevelType w:val="hybridMultilevel"/>
    <w:tmpl w:val="4EC2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B57FFD"/>
    <w:multiLevelType w:val="hybridMultilevel"/>
    <w:tmpl w:val="D6EEE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9D5A7B"/>
    <w:multiLevelType w:val="hybridMultilevel"/>
    <w:tmpl w:val="B478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BB608D"/>
    <w:multiLevelType w:val="hybridMultilevel"/>
    <w:tmpl w:val="BF06E408"/>
    <w:lvl w:ilvl="0" w:tplc="B3123468">
      <w:start w:val="1"/>
      <w:numFmt w:val="decimal"/>
      <w:lvlText w:val="%1)"/>
      <w:lvlJc w:val="left"/>
      <w:pPr>
        <w:tabs>
          <w:tab w:val="num" w:pos="720"/>
        </w:tabs>
        <w:ind w:left="720" w:hanging="360"/>
      </w:pPr>
    </w:lvl>
    <w:lvl w:ilvl="1" w:tplc="C8D04A32" w:tentative="1">
      <w:start w:val="1"/>
      <w:numFmt w:val="decimal"/>
      <w:lvlText w:val="%2)"/>
      <w:lvlJc w:val="left"/>
      <w:pPr>
        <w:tabs>
          <w:tab w:val="num" w:pos="1440"/>
        </w:tabs>
        <w:ind w:left="1440" w:hanging="360"/>
      </w:pPr>
    </w:lvl>
    <w:lvl w:ilvl="2" w:tplc="ED56B370" w:tentative="1">
      <w:start w:val="1"/>
      <w:numFmt w:val="decimal"/>
      <w:lvlText w:val="%3)"/>
      <w:lvlJc w:val="left"/>
      <w:pPr>
        <w:tabs>
          <w:tab w:val="num" w:pos="2160"/>
        </w:tabs>
        <w:ind w:left="2160" w:hanging="360"/>
      </w:pPr>
    </w:lvl>
    <w:lvl w:ilvl="3" w:tplc="4838240A" w:tentative="1">
      <w:start w:val="1"/>
      <w:numFmt w:val="decimal"/>
      <w:lvlText w:val="%4)"/>
      <w:lvlJc w:val="left"/>
      <w:pPr>
        <w:tabs>
          <w:tab w:val="num" w:pos="2880"/>
        </w:tabs>
        <w:ind w:left="2880" w:hanging="360"/>
      </w:pPr>
    </w:lvl>
    <w:lvl w:ilvl="4" w:tplc="DF266762" w:tentative="1">
      <w:start w:val="1"/>
      <w:numFmt w:val="decimal"/>
      <w:lvlText w:val="%5)"/>
      <w:lvlJc w:val="left"/>
      <w:pPr>
        <w:tabs>
          <w:tab w:val="num" w:pos="3600"/>
        </w:tabs>
        <w:ind w:left="3600" w:hanging="360"/>
      </w:pPr>
    </w:lvl>
    <w:lvl w:ilvl="5" w:tplc="7F763A08" w:tentative="1">
      <w:start w:val="1"/>
      <w:numFmt w:val="decimal"/>
      <w:lvlText w:val="%6)"/>
      <w:lvlJc w:val="left"/>
      <w:pPr>
        <w:tabs>
          <w:tab w:val="num" w:pos="4320"/>
        </w:tabs>
        <w:ind w:left="4320" w:hanging="360"/>
      </w:pPr>
    </w:lvl>
    <w:lvl w:ilvl="6" w:tplc="C068D87E" w:tentative="1">
      <w:start w:val="1"/>
      <w:numFmt w:val="decimal"/>
      <w:lvlText w:val="%7)"/>
      <w:lvlJc w:val="left"/>
      <w:pPr>
        <w:tabs>
          <w:tab w:val="num" w:pos="5040"/>
        </w:tabs>
        <w:ind w:left="5040" w:hanging="360"/>
      </w:pPr>
    </w:lvl>
    <w:lvl w:ilvl="7" w:tplc="E60618BC" w:tentative="1">
      <w:start w:val="1"/>
      <w:numFmt w:val="decimal"/>
      <w:lvlText w:val="%8)"/>
      <w:lvlJc w:val="left"/>
      <w:pPr>
        <w:tabs>
          <w:tab w:val="num" w:pos="5760"/>
        </w:tabs>
        <w:ind w:left="5760" w:hanging="360"/>
      </w:pPr>
    </w:lvl>
    <w:lvl w:ilvl="8" w:tplc="46BE695C" w:tentative="1">
      <w:start w:val="1"/>
      <w:numFmt w:val="decimal"/>
      <w:lvlText w:val="%9)"/>
      <w:lvlJc w:val="left"/>
      <w:pPr>
        <w:tabs>
          <w:tab w:val="num" w:pos="6480"/>
        </w:tabs>
        <w:ind w:left="6480" w:hanging="360"/>
      </w:pPr>
    </w:lvl>
  </w:abstractNum>
  <w:abstractNum w:abstractNumId="46" w15:restartNumberingAfterBreak="0">
    <w:nsid w:val="7DAE58BA"/>
    <w:multiLevelType w:val="hybridMultilevel"/>
    <w:tmpl w:val="2180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04177B"/>
    <w:multiLevelType w:val="hybridMultilevel"/>
    <w:tmpl w:val="0346EDEE"/>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F8D1C8F"/>
    <w:multiLevelType w:val="hybridMultilevel"/>
    <w:tmpl w:val="45509C86"/>
    <w:lvl w:ilvl="0" w:tplc="B0C63D4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41"/>
  </w:num>
  <w:num w:numId="3">
    <w:abstractNumId w:val="0"/>
  </w:num>
  <w:num w:numId="4">
    <w:abstractNumId w:val="30"/>
  </w:num>
  <w:num w:numId="5">
    <w:abstractNumId w:val="20"/>
  </w:num>
  <w:num w:numId="6">
    <w:abstractNumId w:val="11"/>
  </w:num>
  <w:num w:numId="7">
    <w:abstractNumId w:val="23"/>
  </w:num>
  <w:num w:numId="8">
    <w:abstractNumId w:val="14"/>
  </w:num>
  <w:num w:numId="9">
    <w:abstractNumId w:val="13"/>
  </w:num>
  <w:num w:numId="10">
    <w:abstractNumId w:val="17"/>
  </w:num>
  <w:num w:numId="11">
    <w:abstractNumId w:val="40"/>
  </w:num>
  <w:num w:numId="12">
    <w:abstractNumId w:val="8"/>
  </w:num>
  <w:num w:numId="13">
    <w:abstractNumId w:val="38"/>
  </w:num>
  <w:num w:numId="14">
    <w:abstractNumId w:val="42"/>
  </w:num>
  <w:num w:numId="15">
    <w:abstractNumId w:val="16"/>
  </w:num>
  <w:num w:numId="16">
    <w:abstractNumId w:val="37"/>
  </w:num>
  <w:num w:numId="17">
    <w:abstractNumId w:val="26"/>
  </w:num>
  <w:num w:numId="18">
    <w:abstractNumId w:val="28"/>
  </w:num>
  <w:num w:numId="19">
    <w:abstractNumId w:val="39"/>
  </w:num>
  <w:num w:numId="20">
    <w:abstractNumId w:val="6"/>
  </w:num>
  <w:num w:numId="21">
    <w:abstractNumId w:val="29"/>
  </w:num>
  <w:num w:numId="22">
    <w:abstractNumId w:val="35"/>
  </w:num>
  <w:num w:numId="23">
    <w:abstractNumId w:val="36"/>
  </w:num>
  <w:num w:numId="24">
    <w:abstractNumId w:val="10"/>
  </w:num>
  <w:num w:numId="25">
    <w:abstractNumId w:val="22"/>
  </w:num>
  <w:num w:numId="26">
    <w:abstractNumId w:val="4"/>
  </w:num>
  <w:num w:numId="27">
    <w:abstractNumId w:val="21"/>
  </w:num>
  <w:num w:numId="28">
    <w:abstractNumId w:val="32"/>
  </w:num>
  <w:num w:numId="29">
    <w:abstractNumId w:val="12"/>
  </w:num>
  <w:num w:numId="30">
    <w:abstractNumId w:val="5"/>
  </w:num>
  <w:num w:numId="31">
    <w:abstractNumId w:val="46"/>
  </w:num>
  <w:num w:numId="32">
    <w:abstractNumId w:val="33"/>
  </w:num>
  <w:num w:numId="33">
    <w:abstractNumId w:val="7"/>
  </w:num>
  <w:num w:numId="34">
    <w:abstractNumId w:val="44"/>
  </w:num>
  <w:num w:numId="35">
    <w:abstractNumId w:val="48"/>
  </w:num>
  <w:num w:numId="36">
    <w:abstractNumId w:val="31"/>
  </w:num>
  <w:num w:numId="37">
    <w:abstractNumId w:val="3"/>
  </w:num>
  <w:num w:numId="38">
    <w:abstractNumId w:val="43"/>
  </w:num>
  <w:num w:numId="39">
    <w:abstractNumId w:val="34"/>
  </w:num>
  <w:num w:numId="40">
    <w:abstractNumId w:val="1"/>
  </w:num>
  <w:num w:numId="41">
    <w:abstractNumId w:val="25"/>
  </w:num>
  <w:num w:numId="42">
    <w:abstractNumId w:val="9"/>
  </w:num>
  <w:num w:numId="43">
    <w:abstractNumId w:val="24"/>
  </w:num>
  <w:num w:numId="44">
    <w:abstractNumId w:val="45"/>
  </w:num>
  <w:num w:numId="45">
    <w:abstractNumId w:val="15"/>
  </w:num>
  <w:num w:numId="46">
    <w:abstractNumId w:val="27"/>
  </w:num>
  <w:num w:numId="47">
    <w:abstractNumId w:val="19"/>
  </w:num>
  <w:num w:numId="48">
    <w:abstractNumId w:val="2"/>
  </w:num>
  <w:num w:numId="49">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9F"/>
    <w:rsid w:val="000003A1"/>
    <w:rsid w:val="00005804"/>
    <w:rsid w:val="000064BF"/>
    <w:rsid w:val="000178F1"/>
    <w:rsid w:val="00022237"/>
    <w:rsid w:val="00022A2B"/>
    <w:rsid w:val="00023AA0"/>
    <w:rsid w:val="00023E95"/>
    <w:rsid w:val="00024E7B"/>
    <w:rsid w:val="00031F5D"/>
    <w:rsid w:val="0003269D"/>
    <w:rsid w:val="0003709B"/>
    <w:rsid w:val="0004085D"/>
    <w:rsid w:val="00040FD7"/>
    <w:rsid w:val="000420E7"/>
    <w:rsid w:val="000445C0"/>
    <w:rsid w:val="0004656B"/>
    <w:rsid w:val="000503F1"/>
    <w:rsid w:val="00051900"/>
    <w:rsid w:val="0005528F"/>
    <w:rsid w:val="00066CF9"/>
    <w:rsid w:val="00070F2F"/>
    <w:rsid w:val="00073C65"/>
    <w:rsid w:val="00076976"/>
    <w:rsid w:val="0007788F"/>
    <w:rsid w:val="00077B59"/>
    <w:rsid w:val="00080B16"/>
    <w:rsid w:val="00087B39"/>
    <w:rsid w:val="00090618"/>
    <w:rsid w:val="00090784"/>
    <w:rsid w:val="00091A0A"/>
    <w:rsid w:val="00093EB4"/>
    <w:rsid w:val="00095841"/>
    <w:rsid w:val="00096705"/>
    <w:rsid w:val="000A115C"/>
    <w:rsid w:val="000A1285"/>
    <w:rsid w:val="000B149E"/>
    <w:rsid w:val="000B4E35"/>
    <w:rsid w:val="000C062D"/>
    <w:rsid w:val="000C2A08"/>
    <w:rsid w:val="000C2C99"/>
    <w:rsid w:val="000D0617"/>
    <w:rsid w:val="000D3460"/>
    <w:rsid w:val="000D64B0"/>
    <w:rsid w:val="000D6BA5"/>
    <w:rsid w:val="000D7070"/>
    <w:rsid w:val="000D7485"/>
    <w:rsid w:val="000E22C1"/>
    <w:rsid w:val="000E5448"/>
    <w:rsid w:val="000E7E8C"/>
    <w:rsid w:val="000F10AA"/>
    <w:rsid w:val="000F3A58"/>
    <w:rsid w:val="000F71B1"/>
    <w:rsid w:val="00100127"/>
    <w:rsid w:val="00113D7B"/>
    <w:rsid w:val="00116191"/>
    <w:rsid w:val="00131F74"/>
    <w:rsid w:val="00133293"/>
    <w:rsid w:val="00140C48"/>
    <w:rsid w:val="00145C82"/>
    <w:rsid w:val="00146F2F"/>
    <w:rsid w:val="0015108E"/>
    <w:rsid w:val="001524A6"/>
    <w:rsid w:val="00154CA5"/>
    <w:rsid w:val="0015728D"/>
    <w:rsid w:val="00157405"/>
    <w:rsid w:val="00160300"/>
    <w:rsid w:val="001639FB"/>
    <w:rsid w:val="001650C6"/>
    <w:rsid w:val="00174379"/>
    <w:rsid w:val="0017574A"/>
    <w:rsid w:val="0017679A"/>
    <w:rsid w:val="001830F4"/>
    <w:rsid w:val="001A1456"/>
    <w:rsid w:val="001A248A"/>
    <w:rsid w:val="001A547E"/>
    <w:rsid w:val="001A7269"/>
    <w:rsid w:val="001B545D"/>
    <w:rsid w:val="001C10EE"/>
    <w:rsid w:val="001C3053"/>
    <w:rsid w:val="001C325E"/>
    <w:rsid w:val="001C3C2F"/>
    <w:rsid w:val="001D4B30"/>
    <w:rsid w:val="001D6526"/>
    <w:rsid w:val="001E1053"/>
    <w:rsid w:val="001E37DC"/>
    <w:rsid w:val="001F0DB3"/>
    <w:rsid w:val="001F1325"/>
    <w:rsid w:val="001F48DC"/>
    <w:rsid w:val="00201300"/>
    <w:rsid w:val="00201C89"/>
    <w:rsid w:val="0020258E"/>
    <w:rsid w:val="00203FB1"/>
    <w:rsid w:val="0020644B"/>
    <w:rsid w:val="002077D1"/>
    <w:rsid w:val="00207E8B"/>
    <w:rsid w:val="00207F04"/>
    <w:rsid w:val="002127A8"/>
    <w:rsid w:val="00213326"/>
    <w:rsid w:val="00216963"/>
    <w:rsid w:val="0021744D"/>
    <w:rsid w:val="00222A1E"/>
    <w:rsid w:val="002247BE"/>
    <w:rsid w:val="00225400"/>
    <w:rsid w:val="00227F9B"/>
    <w:rsid w:val="002315E0"/>
    <w:rsid w:val="00233CB1"/>
    <w:rsid w:val="00235B5A"/>
    <w:rsid w:val="002366F9"/>
    <w:rsid w:val="0023730E"/>
    <w:rsid w:val="00240D81"/>
    <w:rsid w:val="0024229D"/>
    <w:rsid w:val="00246DA3"/>
    <w:rsid w:val="0024773C"/>
    <w:rsid w:val="0024782A"/>
    <w:rsid w:val="00254F16"/>
    <w:rsid w:val="00256DD9"/>
    <w:rsid w:val="0026246A"/>
    <w:rsid w:val="00271F9F"/>
    <w:rsid w:val="002748D6"/>
    <w:rsid w:val="002817BF"/>
    <w:rsid w:val="002825A7"/>
    <w:rsid w:val="00292272"/>
    <w:rsid w:val="002926CC"/>
    <w:rsid w:val="00292FD9"/>
    <w:rsid w:val="00296DCD"/>
    <w:rsid w:val="002A2716"/>
    <w:rsid w:val="002A49B6"/>
    <w:rsid w:val="002A7A8F"/>
    <w:rsid w:val="002B2153"/>
    <w:rsid w:val="002B2D08"/>
    <w:rsid w:val="002B4009"/>
    <w:rsid w:val="002C1EDC"/>
    <w:rsid w:val="002D466E"/>
    <w:rsid w:val="002D5DB2"/>
    <w:rsid w:val="002E0C03"/>
    <w:rsid w:val="002E18DC"/>
    <w:rsid w:val="002F0539"/>
    <w:rsid w:val="002F0BA1"/>
    <w:rsid w:val="002F3DDA"/>
    <w:rsid w:val="00302094"/>
    <w:rsid w:val="0031103B"/>
    <w:rsid w:val="00314B14"/>
    <w:rsid w:val="00314C6C"/>
    <w:rsid w:val="00320055"/>
    <w:rsid w:val="00326376"/>
    <w:rsid w:val="00332211"/>
    <w:rsid w:val="00342183"/>
    <w:rsid w:val="003458BF"/>
    <w:rsid w:val="00347EFA"/>
    <w:rsid w:val="00351DD4"/>
    <w:rsid w:val="003524D9"/>
    <w:rsid w:val="00355CB8"/>
    <w:rsid w:val="00360C06"/>
    <w:rsid w:val="0036242A"/>
    <w:rsid w:val="00364B6E"/>
    <w:rsid w:val="00365D56"/>
    <w:rsid w:val="00366594"/>
    <w:rsid w:val="0036749D"/>
    <w:rsid w:val="00371649"/>
    <w:rsid w:val="00372004"/>
    <w:rsid w:val="003727B2"/>
    <w:rsid w:val="0037370C"/>
    <w:rsid w:val="00374170"/>
    <w:rsid w:val="00375A02"/>
    <w:rsid w:val="00381B9E"/>
    <w:rsid w:val="00392C8F"/>
    <w:rsid w:val="00397A4F"/>
    <w:rsid w:val="00397BFD"/>
    <w:rsid w:val="003A2841"/>
    <w:rsid w:val="003A2FA4"/>
    <w:rsid w:val="003A4F3A"/>
    <w:rsid w:val="003A70F1"/>
    <w:rsid w:val="003A7323"/>
    <w:rsid w:val="003A7A56"/>
    <w:rsid w:val="003B4B8D"/>
    <w:rsid w:val="003C1C34"/>
    <w:rsid w:val="003D0669"/>
    <w:rsid w:val="003D2611"/>
    <w:rsid w:val="003D36AE"/>
    <w:rsid w:val="003D3711"/>
    <w:rsid w:val="003D5C2B"/>
    <w:rsid w:val="003D6B3A"/>
    <w:rsid w:val="003F0841"/>
    <w:rsid w:val="003F4C74"/>
    <w:rsid w:val="00400860"/>
    <w:rsid w:val="004054DD"/>
    <w:rsid w:val="00414A39"/>
    <w:rsid w:val="00414B4C"/>
    <w:rsid w:val="00414CEB"/>
    <w:rsid w:val="00415126"/>
    <w:rsid w:val="00425412"/>
    <w:rsid w:val="0043472C"/>
    <w:rsid w:val="00434D18"/>
    <w:rsid w:val="004352A5"/>
    <w:rsid w:val="00435A6F"/>
    <w:rsid w:val="00436FAA"/>
    <w:rsid w:val="004377A4"/>
    <w:rsid w:val="0044501E"/>
    <w:rsid w:val="00450978"/>
    <w:rsid w:val="00450A50"/>
    <w:rsid w:val="00451D8F"/>
    <w:rsid w:val="00452651"/>
    <w:rsid w:val="00457B5D"/>
    <w:rsid w:val="00474EA6"/>
    <w:rsid w:val="00475D4F"/>
    <w:rsid w:val="00484093"/>
    <w:rsid w:val="0048474E"/>
    <w:rsid w:val="004904EE"/>
    <w:rsid w:val="00490814"/>
    <w:rsid w:val="0049242B"/>
    <w:rsid w:val="004941A2"/>
    <w:rsid w:val="00495239"/>
    <w:rsid w:val="004964E7"/>
    <w:rsid w:val="004A0117"/>
    <w:rsid w:val="004A032C"/>
    <w:rsid w:val="004A2022"/>
    <w:rsid w:val="004A3F32"/>
    <w:rsid w:val="004B3877"/>
    <w:rsid w:val="004B6386"/>
    <w:rsid w:val="004C00E6"/>
    <w:rsid w:val="004C6CCE"/>
    <w:rsid w:val="004D19F3"/>
    <w:rsid w:val="004D430E"/>
    <w:rsid w:val="004D4474"/>
    <w:rsid w:val="004D6F50"/>
    <w:rsid w:val="004D77D8"/>
    <w:rsid w:val="004E7028"/>
    <w:rsid w:val="004E7BC1"/>
    <w:rsid w:val="004F0B35"/>
    <w:rsid w:val="004F244A"/>
    <w:rsid w:val="00501E43"/>
    <w:rsid w:val="00506A44"/>
    <w:rsid w:val="005071B5"/>
    <w:rsid w:val="00510226"/>
    <w:rsid w:val="005102DE"/>
    <w:rsid w:val="00510BC0"/>
    <w:rsid w:val="0051116E"/>
    <w:rsid w:val="005137BB"/>
    <w:rsid w:val="00513991"/>
    <w:rsid w:val="005139DF"/>
    <w:rsid w:val="00513EA3"/>
    <w:rsid w:val="00517925"/>
    <w:rsid w:val="00520117"/>
    <w:rsid w:val="0052213A"/>
    <w:rsid w:val="0052300A"/>
    <w:rsid w:val="005234BC"/>
    <w:rsid w:val="005244CB"/>
    <w:rsid w:val="00525E07"/>
    <w:rsid w:val="00526570"/>
    <w:rsid w:val="00532A89"/>
    <w:rsid w:val="00533730"/>
    <w:rsid w:val="00534964"/>
    <w:rsid w:val="0053525C"/>
    <w:rsid w:val="00537A7C"/>
    <w:rsid w:val="00540B49"/>
    <w:rsid w:val="00542793"/>
    <w:rsid w:val="00544735"/>
    <w:rsid w:val="00545296"/>
    <w:rsid w:val="00553FD9"/>
    <w:rsid w:val="005542E5"/>
    <w:rsid w:val="00554C6E"/>
    <w:rsid w:val="005554FE"/>
    <w:rsid w:val="00555D62"/>
    <w:rsid w:val="00557978"/>
    <w:rsid w:val="00557993"/>
    <w:rsid w:val="00560297"/>
    <w:rsid w:val="00560799"/>
    <w:rsid w:val="0056290F"/>
    <w:rsid w:val="00567A98"/>
    <w:rsid w:val="005701EF"/>
    <w:rsid w:val="005715B0"/>
    <w:rsid w:val="00576EA5"/>
    <w:rsid w:val="00577177"/>
    <w:rsid w:val="00580D03"/>
    <w:rsid w:val="00581104"/>
    <w:rsid w:val="0058217F"/>
    <w:rsid w:val="00583D6A"/>
    <w:rsid w:val="005852F3"/>
    <w:rsid w:val="00586186"/>
    <w:rsid w:val="00591A31"/>
    <w:rsid w:val="00591A5E"/>
    <w:rsid w:val="0059373D"/>
    <w:rsid w:val="00596C4A"/>
    <w:rsid w:val="00597226"/>
    <w:rsid w:val="005974DE"/>
    <w:rsid w:val="005A02B1"/>
    <w:rsid w:val="005A05C2"/>
    <w:rsid w:val="005A0D16"/>
    <w:rsid w:val="005A5A74"/>
    <w:rsid w:val="005B5513"/>
    <w:rsid w:val="005B7A21"/>
    <w:rsid w:val="005B7C59"/>
    <w:rsid w:val="005B7EF9"/>
    <w:rsid w:val="005C0A1B"/>
    <w:rsid w:val="005C5D5B"/>
    <w:rsid w:val="005D3D7E"/>
    <w:rsid w:val="005D7A0E"/>
    <w:rsid w:val="005E6FE4"/>
    <w:rsid w:val="005E7EB1"/>
    <w:rsid w:val="005F09B8"/>
    <w:rsid w:val="005F4B8E"/>
    <w:rsid w:val="005F551C"/>
    <w:rsid w:val="005F7648"/>
    <w:rsid w:val="005F7E72"/>
    <w:rsid w:val="006005DF"/>
    <w:rsid w:val="006008BF"/>
    <w:rsid w:val="00611BBC"/>
    <w:rsid w:val="00611F21"/>
    <w:rsid w:val="00612A21"/>
    <w:rsid w:val="00615AF4"/>
    <w:rsid w:val="00615FA7"/>
    <w:rsid w:val="00617129"/>
    <w:rsid w:val="00620F1A"/>
    <w:rsid w:val="00622249"/>
    <w:rsid w:val="0062290C"/>
    <w:rsid w:val="006272C9"/>
    <w:rsid w:val="0063594E"/>
    <w:rsid w:val="00635C5F"/>
    <w:rsid w:val="0063781E"/>
    <w:rsid w:val="006416B5"/>
    <w:rsid w:val="006438D8"/>
    <w:rsid w:val="00645840"/>
    <w:rsid w:val="00647EC8"/>
    <w:rsid w:val="00650CEE"/>
    <w:rsid w:val="00651AAD"/>
    <w:rsid w:val="00651D4F"/>
    <w:rsid w:val="006550A3"/>
    <w:rsid w:val="006567BC"/>
    <w:rsid w:val="006567C7"/>
    <w:rsid w:val="006630D9"/>
    <w:rsid w:val="006631ED"/>
    <w:rsid w:val="00664D2C"/>
    <w:rsid w:val="006655BC"/>
    <w:rsid w:val="00674D16"/>
    <w:rsid w:val="00677F19"/>
    <w:rsid w:val="00685348"/>
    <w:rsid w:val="00685360"/>
    <w:rsid w:val="006855BE"/>
    <w:rsid w:val="00695B9B"/>
    <w:rsid w:val="006A2F48"/>
    <w:rsid w:val="006A7848"/>
    <w:rsid w:val="006A7B7F"/>
    <w:rsid w:val="006C2CE8"/>
    <w:rsid w:val="006C307F"/>
    <w:rsid w:val="006C7523"/>
    <w:rsid w:val="006E0B35"/>
    <w:rsid w:val="006E156F"/>
    <w:rsid w:val="006E2875"/>
    <w:rsid w:val="006E3B37"/>
    <w:rsid w:val="006E4107"/>
    <w:rsid w:val="006E6BCE"/>
    <w:rsid w:val="006E6CE1"/>
    <w:rsid w:val="006E6DD1"/>
    <w:rsid w:val="006E7810"/>
    <w:rsid w:val="006E7D4C"/>
    <w:rsid w:val="006F094C"/>
    <w:rsid w:val="006F5FFA"/>
    <w:rsid w:val="007043DF"/>
    <w:rsid w:val="007069EF"/>
    <w:rsid w:val="00706F91"/>
    <w:rsid w:val="007072FF"/>
    <w:rsid w:val="00712572"/>
    <w:rsid w:val="0071546A"/>
    <w:rsid w:val="0072271F"/>
    <w:rsid w:val="00723014"/>
    <w:rsid w:val="00725105"/>
    <w:rsid w:val="00727518"/>
    <w:rsid w:val="007302EB"/>
    <w:rsid w:val="00736EE9"/>
    <w:rsid w:val="00737399"/>
    <w:rsid w:val="007403FF"/>
    <w:rsid w:val="007533EA"/>
    <w:rsid w:val="00760A06"/>
    <w:rsid w:val="007617D4"/>
    <w:rsid w:val="007624F2"/>
    <w:rsid w:val="00762856"/>
    <w:rsid w:val="007629DC"/>
    <w:rsid w:val="00763075"/>
    <w:rsid w:val="00770A46"/>
    <w:rsid w:val="00771865"/>
    <w:rsid w:val="007926AA"/>
    <w:rsid w:val="00792722"/>
    <w:rsid w:val="007945B5"/>
    <w:rsid w:val="007A0403"/>
    <w:rsid w:val="007A11CD"/>
    <w:rsid w:val="007A30BA"/>
    <w:rsid w:val="007A44EA"/>
    <w:rsid w:val="007A6264"/>
    <w:rsid w:val="007C4FA3"/>
    <w:rsid w:val="007C5DC8"/>
    <w:rsid w:val="007C63A9"/>
    <w:rsid w:val="007D74DD"/>
    <w:rsid w:val="007D7D94"/>
    <w:rsid w:val="007E10F4"/>
    <w:rsid w:val="007E2101"/>
    <w:rsid w:val="007E2579"/>
    <w:rsid w:val="007E446A"/>
    <w:rsid w:val="007E5C02"/>
    <w:rsid w:val="007E73DC"/>
    <w:rsid w:val="007F436C"/>
    <w:rsid w:val="007F48E5"/>
    <w:rsid w:val="007F5914"/>
    <w:rsid w:val="007F5C94"/>
    <w:rsid w:val="007F66CC"/>
    <w:rsid w:val="00800FF2"/>
    <w:rsid w:val="008065EC"/>
    <w:rsid w:val="0081232B"/>
    <w:rsid w:val="00812E33"/>
    <w:rsid w:val="00813218"/>
    <w:rsid w:val="00823DD8"/>
    <w:rsid w:val="00832DE7"/>
    <w:rsid w:val="00832F76"/>
    <w:rsid w:val="008356B2"/>
    <w:rsid w:val="00835E13"/>
    <w:rsid w:val="00835EDA"/>
    <w:rsid w:val="00840004"/>
    <w:rsid w:val="0084439C"/>
    <w:rsid w:val="00844AE9"/>
    <w:rsid w:val="0084792E"/>
    <w:rsid w:val="008524C1"/>
    <w:rsid w:val="00855E9E"/>
    <w:rsid w:val="00860860"/>
    <w:rsid w:val="00860BA2"/>
    <w:rsid w:val="00873D29"/>
    <w:rsid w:val="008753A7"/>
    <w:rsid w:val="008803E6"/>
    <w:rsid w:val="008844CF"/>
    <w:rsid w:val="00885F55"/>
    <w:rsid w:val="00886F49"/>
    <w:rsid w:val="00891D9A"/>
    <w:rsid w:val="00893A91"/>
    <w:rsid w:val="008A0E53"/>
    <w:rsid w:val="008A6895"/>
    <w:rsid w:val="008B0899"/>
    <w:rsid w:val="008B39F8"/>
    <w:rsid w:val="008C104F"/>
    <w:rsid w:val="008D2FD3"/>
    <w:rsid w:val="008D5054"/>
    <w:rsid w:val="008D57A0"/>
    <w:rsid w:val="008E07E2"/>
    <w:rsid w:val="008E23DA"/>
    <w:rsid w:val="008E4F41"/>
    <w:rsid w:val="008E7B1C"/>
    <w:rsid w:val="008F2A6D"/>
    <w:rsid w:val="008F6C57"/>
    <w:rsid w:val="008F77F0"/>
    <w:rsid w:val="00903452"/>
    <w:rsid w:val="0090560F"/>
    <w:rsid w:val="00907A25"/>
    <w:rsid w:val="00915CEA"/>
    <w:rsid w:val="00923548"/>
    <w:rsid w:val="00924895"/>
    <w:rsid w:val="00934023"/>
    <w:rsid w:val="00940488"/>
    <w:rsid w:val="00940C37"/>
    <w:rsid w:val="00943494"/>
    <w:rsid w:val="00945BA1"/>
    <w:rsid w:val="00946404"/>
    <w:rsid w:val="009574A0"/>
    <w:rsid w:val="00957E6D"/>
    <w:rsid w:val="009609B0"/>
    <w:rsid w:val="00961A3D"/>
    <w:rsid w:val="0096297C"/>
    <w:rsid w:val="0096778C"/>
    <w:rsid w:val="009720D6"/>
    <w:rsid w:val="0098184C"/>
    <w:rsid w:val="00984381"/>
    <w:rsid w:val="00984951"/>
    <w:rsid w:val="0098601D"/>
    <w:rsid w:val="009872EA"/>
    <w:rsid w:val="009A018E"/>
    <w:rsid w:val="009A1CB2"/>
    <w:rsid w:val="009A30A7"/>
    <w:rsid w:val="009B05D4"/>
    <w:rsid w:val="009B1195"/>
    <w:rsid w:val="009B42E1"/>
    <w:rsid w:val="009B69A0"/>
    <w:rsid w:val="009C1871"/>
    <w:rsid w:val="009D3D10"/>
    <w:rsid w:val="009D57A0"/>
    <w:rsid w:val="009D7A31"/>
    <w:rsid w:val="009E0D2F"/>
    <w:rsid w:val="009E3CC7"/>
    <w:rsid w:val="009E6819"/>
    <w:rsid w:val="009F6503"/>
    <w:rsid w:val="009F6BEC"/>
    <w:rsid w:val="009F76FB"/>
    <w:rsid w:val="009F7F85"/>
    <w:rsid w:val="00A00991"/>
    <w:rsid w:val="00A0511A"/>
    <w:rsid w:val="00A05566"/>
    <w:rsid w:val="00A1099A"/>
    <w:rsid w:val="00A10E4B"/>
    <w:rsid w:val="00A20D67"/>
    <w:rsid w:val="00A22EFD"/>
    <w:rsid w:val="00A26259"/>
    <w:rsid w:val="00A26D5C"/>
    <w:rsid w:val="00A31873"/>
    <w:rsid w:val="00A407CF"/>
    <w:rsid w:val="00A431F2"/>
    <w:rsid w:val="00A55A8A"/>
    <w:rsid w:val="00A56259"/>
    <w:rsid w:val="00A5632C"/>
    <w:rsid w:val="00A6142F"/>
    <w:rsid w:val="00A62999"/>
    <w:rsid w:val="00A65C7D"/>
    <w:rsid w:val="00A70E71"/>
    <w:rsid w:val="00A74FA2"/>
    <w:rsid w:val="00A81254"/>
    <w:rsid w:val="00A86D5F"/>
    <w:rsid w:val="00A91B03"/>
    <w:rsid w:val="00A932FB"/>
    <w:rsid w:val="00A95656"/>
    <w:rsid w:val="00AA03B5"/>
    <w:rsid w:val="00AA30F3"/>
    <w:rsid w:val="00AA56B3"/>
    <w:rsid w:val="00AA717E"/>
    <w:rsid w:val="00AC7B52"/>
    <w:rsid w:val="00AD03EC"/>
    <w:rsid w:val="00AD281A"/>
    <w:rsid w:val="00AD4E94"/>
    <w:rsid w:val="00AE0610"/>
    <w:rsid w:val="00AE1B40"/>
    <w:rsid w:val="00AE27C1"/>
    <w:rsid w:val="00AE3F84"/>
    <w:rsid w:val="00AE4983"/>
    <w:rsid w:val="00AE6508"/>
    <w:rsid w:val="00AF17FE"/>
    <w:rsid w:val="00AF3C7F"/>
    <w:rsid w:val="00AF40E9"/>
    <w:rsid w:val="00B039A1"/>
    <w:rsid w:val="00B03F35"/>
    <w:rsid w:val="00B04B8C"/>
    <w:rsid w:val="00B0579F"/>
    <w:rsid w:val="00B16997"/>
    <w:rsid w:val="00B16E3D"/>
    <w:rsid w:val="00B3258F"/>
    <w:rsid w:val="00B37314"/>
    <w:rsid w:val="00B37AF1"/>
    <w:rsid w:val="00B40C6D"/>
    <w:rsid w:val="00B448F6"/>
    <w:rsid w:val="00B56918"/>
    <w:rsid w:val="00B5787C"/>
    <w:rsid w:val="00B61012"/>
    <w:rsid w:val="00B62EE7"/>
    <w:rsid w:val="00B65BD0"/>
    <w:rsid w:val="00B65CDE"/>
    <w:rsid w:val="00B67224"/>
    <w:rsid w:val="00B67C07"/>
    <w:rsid w:val="00B705DE"/>
    <w:rsid w:val="00B825BD"/>
    <w:rsid w:val="00B83EBD"/>
    <w:rsid w:val="00B84D12"/>
    <w:rsid w:val="00B84DFA"/>
    <w:rsid w:val="00B906F9"/>
    <w:rsid w:val="00B91426"/>
    <w:rsid w:val="00B97C34"/>
    <w:rsid w:val="00BA0B59"/>
    <w:rsid w:val="00BA2914"/>
    <w:rsid w:val="00BA3AB6"/>
    <w:rsid w:val="00BA6E9E"/>
    <w:rsid w:val="00BA7042"/>
    <w:rsid w:val="00BB1190"/>
    <w:rsid w:val="00BB410E"/>
    <w:rsid w:val="00BB4D5B"/>
    <w:rsid w:val="00BB578E"/>
    <w:rsid w:val="00BB7272"/>
    <w:rsid w:val="00BB78F1"/>
    <w:rsid w:val="00BC149E"/>
    <w:rsid w:val="00BD2B2E"/>
    <w:rsid w:val="00BD3099"/>
    <w:rsid w:val="00BD5F41"/>
    <w:rsid w:val="00BE0385"/>
    <w:rsid w:val="00BE1CA7"/>
    <w:rsid w:val="00BE7660"/>
    <w:rsid w:val="00BF3297"/>
    <w:rsid w:val="00BF6934"/>
    <w:rsid w:val="00BF6EAE"/>
    <w:rsid w:val="00C027F5"/>
    <w:rsid w:val="00C03939"/>
    <w:rsid w:val="00C1605A"/>
    <w:rsid w:val="00C16E82"/>
    <w:rsid w:val="00C20571"/>
    <w:rsid w:val="00C20AE5"/>
    <w:rsid w:val="00C24238"/>
    <w:rsid w:val="00C30104"/>
    <w:rsid w:val="00C329FA"/>
    <w:rsid w:val="00C43CF7"/>
    <w:rsid w:val="00C45BA7"/>
    <w:rsid w:val="00C50A92"/>
    <w:rsid w:val="00C519B2"/>
    <w:rsid w:val="00C526A8"/>
    <w:rsid w:val="00C55CAA"/>
    <w:rsid w:val="00C56FE3"/>
    <w:rsid w:val="00C6146B"/>
    <w:rsid w:val="00C6358C"/>
    <w:rsid w:val="00C72197"/>
    <w:rsid w:val="00C729DC"/>
    <w:rsid w:val="00C74156"/>
    <w:rsid w:val="00C75449"/>
    <w:rsid w:val="00C76E4B"/>
    <w:rsid w:val="00C8379F"/>
    <w:rsid w:val="00C8533A"/>
    <w:rsid w:val="00CA24AC"/>
    <w:rsid w:val="00CA2E5B"/>
    <w:rsid w:val="00CA6059"/>
    <w:rsid w:val="00CB2C03"/>
    <w:rsid w:val="00CB4F23"/>
    <w:rsid w:val="00CB52E7"/>
    <w:rsid w:val="00CC07BC"/>
    <w:rsid w:val="00CC1864"/>
    <w:rsid w:val="00CC18D9"/>
    <w:rsid w:val="00CC3683"/>
    <w:rsid w:val="00CC6BDC"/>
    <w:rsid w:val="00CC6F2F"/>
    <w:rsid w:val="00CC71D0"/>
    <w:rsid w:val="00CD0BB0"/>
    <w:rsid w:val="00CD4BE6"/>
    <w:rsid w:val="00CD5299"/>
    <w:rsid w:val="00CD7058"/>
    <w:rsid w:val="00CD708B"/>
    <w:rsid w:val="00CD77C4"/>
    <w:rsid w:val="00CE28F8"/>
    <w:rsid w:val="00CE4612"/>
    <w:rsid w:val="00CE5AFE"/>
    <w:rsid w:val="00CE6344"/>
    <w:rsid w:val="00CF13ED"/>
    <w:rsid w:val="00CF28C5"/>
    <w:rsid w:val="00D0011D"/>
    <w:rsid w:val="00D01685"/>
    <w:rsid w:val="00D0394E"/>
    <w:rsid w:val="00D1006B"/>
    <w:rsid w:val="00D10DAB"/>
    <w:rsid w:val="00D1507D"/>
    <w:rsid w:val="00D20FFF"/>
    <w:rsid w:val="00D2704A"/>
    <w:rsid w:val="00D311F8"/>
    <w:rsid w:val="00D33377"/>
    <w:rsid w:val="00D34C02"/>
    <w:rsid w:val="00D36C8A"/>
    <w:rsid w:val="00D40599"/>
    <w:rsid w:val="00D45C51"/>
    <w:rsid w:val="00D5627D"/>
    <w:rsid w:val="00D639BD"/>
    <w:rsid w:val="00D64BBC"/>
    <w:rsid w:val="00D67F94"/>
    <w:rsid w:val="00D70574"/>
    <w:rsid w:val="00D733EC"/>
    <w:rsid w:val="00D7538E"/>
    <w:rsid w:val="00D75F7E"/>
    <w:rsid w:val="00D84A0E"/>
    <w:rsid w:val="00D9028D"/>
    <w:rsid w:val="00D908B7"/>
    <w:rsid w:val="00D927D4"/>
    <w:rsid w:val="00D92D33"/>
    <w:rsid w:val="00D93208"/>
    <w:rsid w:val="00DA16EB"/>
    <w:rsid w:val="00DA6098"/>
    <w:rsid w:val="00DB2C56"/>
    <w:rsid w:val="00DB3343"/>
    <w:rsid w:val="00DB5873"/>
    <w:rsid w:val="00DB6563"/>
    <w:rsid w:val="00DB7827"/>
    <w:rsid w:val="00DB7FC7"/>
    <w:rsid w:val="00DD30BF"/>
    <w:rsid w:val="00DD6193"/>
    <w:rsid w:val="00DE0BAB"/>
    <w:rsid w:val="00DE187B"/>
    <w:rsid w:val="00DE2C84"/>
    <w:rsid w:val="00DE36BC"/>
    <w:rsid w:val="00DE451E"/>
    <w:rsid w:val="00DE5752"/>
    <w:rsid w:val="00DF0C14"/>
    <w:rsid w:val="00DF0D6B"/>
    <w:rsid w:val="00DF25D8"/>
    <w:rsid w:val="00DF2CAD"/>
    <w:rsid w:val="00DF4848"/>
    <w:rsid w:val="00DF6D75"/>
    <w:rsid w:val="00DF73C3"/>
    <w:rsid w:val="00E03453"/>
    <w:rsid w:val="00E0376A"/>
    <w:rsid w:val="00E1589D"/>
    <w:rsid w:val="00E15B2E"/>
    <w:rsid w:val="00E227D8"/>
    <w:rsid w:val="00E254BA"/>
    <w:rsid w:val="00E272A7"/>
    <w:rsid w:val="00E27658"/>
    <w:rsid w:val="00E40629"/>
    <w:rsid w:val="00E41BB0"/>
    <w:rsid w:val="00E4383F"/>
    <w:rsid w:val="00E50028"/>
    <w:rsid w:val="00E50CB1"/>
    <w:rsid w:val="00E551F5"/>
    <w:rsid w:val="00E5558F"/>
    <w:rsid w:val="00E55B44"/>
    <w:rsid w:val="00E604C2"/>
    <w:rsid w:val="00E6072B"/>
    <w:rsid w:val="00E61EFC"/>
    <w:rsid w:val="00E648E4"/>
    <w:rsid w:val="00E67F5D"/>
    <w:rsid w:val="00E70E7F"/>
    <w:rsid w:val="00E74F82"/>
    <w:rsid w:val="00E77F8A"/>
    <w:rsid w:val="00E80C4E"/>
    <w:rsid w:val="00E866C9"/>
    <w:rsid w:val="00E87154"/>
    <w:rsid w:val="00E871B9"/>
    <w:rsid w:val="00E873C9"/>
    <w:rsid w:val="00E91776"/>
    <w:rsid w:val="00E9662E"/>
    <w:rsid w:val="00EA4117"/>
    <w:rsid w:val="00EA4BD3"/>
    <w:rsid w:val="00EA64D4"/>
    <w:rsid w:val="00EA70FF"/>
    <w:rsid w:val="00EB443F"/>
    <w:rsid w:val="00EB5AE7"/>
    <w:rsid w:val="00EB65B5"/>
    <w:rsid w:val="00EC0B7A"/>
    <w:rsid w:val="00EC12E1"/>
    <w:rsid w:val="00EC1472"/>
    <w:rsid w:val="00EC5F11"/>
    <w:rsid w:val="00ED0A1F"/>
    <w:rsid w:val="00ED6817"/>
    <w:rsid w:val="00EE05FD"/>
    <w:rsid w:val="00EE35DC"/>
    <w:rsid w:val="00EE47A3"/>
    <w:rsid w:val="00EE5A23"/>
    <w:rsid w:val="00EE64D0"/>
    <w:rsid w:val="00EF007A"/>
    <w:rsid w:val="00EF01C0"/>
    <w:rsid w:val="00EF2893"/>
    <w:rsid w:val="00EF29CD"/>
    <w:rsid w:val="00EF307C"/>
    <w:rsid w:val="00EF3F11"/>
    <w:rsid w:val="00EF4750"/>
    <w:rsid w:val="00F008C8"/>
    <w:rsid w:val="00F00D36"/>
    <w:rsid w:val="00F032FE"/>
    <w:rsid w:val="00F05E38"/>
    <w:rsid w:val="00F20D25"/>
    <w:rsid w:val="00F36800"/>
    <w:rsid w:val="00F4213F"/>
    <w:rsid w:val="00F44FD3"/>
    <w:rsid w:val="00F450B0"/>
    <w:rsid w:val="00F458AA"/>
    <w:rsid w:val="00F4679E"/>
    <w:rsid w:val="00F5230B"/>
    <w:rsid w:val="00F53447"/>
    <w:rsid w:val="00F57A57"/>
    <w:rsid w:val="00F6714D"/>
    <w:rsid w:val="00F82ADE"/>
    <w:rsid w:val="00F84E94"/>
    <w:rsid w:val="00F9021F"/>
    <w:rsid w:val="00F965C1"/>
    <w:rsid w:val="00F97D8D"/>
    <w:rsid w:val="00FA2034"/>
    <w:rsid w:val="00FC1B53"/>
    <w:rsid w:val="00FD255D"/>
    <w:rsid w:val="00FD2ABD"/>
    <w:rsid w:val="00FD4F17"/>
    <w:rsid w:val="00FD55E9"/>
    <w:rsid w:val="00FD6392"/>
    <w:rsid w:val="00FD6BFC"/>
    <w:rsid w:val="00FE2A09"/>
    <w:rsid w:val="00FE3B6D"/>
    <w:rsid w:val="00FE54CF"/>
    <w:rsid w:val="00FF6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8E3DF"/>
  <w15:docId w15:val="{87167A37-A37F-429A-BC34-448F74A92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FA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1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655BC"/>
    <w:rPr>
      <w:rFonts w:ascii="Arial" w:hAnsi="Arial"/>
      <w:b/>
      <w:bCs/>
      <w:sz w:val="24"/>
    </w:rPr>
  </w:style>
  <w:style w:type="paragraph" w:styleId="ListParagraph">
    <w:name w:val="List Paragraph"/>
    <w:basedOn w:val="Normal"/>
    <w:link w:val="ListParagraphChar"/>
    <w:uiPriority w:val="34"/>
    <w:qFormat/>
    <w:rsid w:val="003A4F3A"/>
    <w:pPr>
      <w:ind w:left="720"/>
      <w:contextualSpacing/>
    </w:pPr>
  </w:style>
  <w:style w:type="paragraph" w:styleId="BalloonText">
    <w:name w:val="Balloon Text"/>
    <w:basedOn w:val="Normal"/>
    <w:link w:val="BalloonTextChar"/>
    <w:uiPriority w:val="99"/>
    <w:semiHidden/>
    <w:unhideWhenUsed/>
    <w:rsid w:val="00A31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873"/>
    <w:rPr>
      <w:rFonts w:ascii="Tahoma" w:hAnsi="Tahoma" w:cs="Tahoma"/>
      <w:sz w:val="16"/>
      <w:szCs w:val="16"/>
    </w:rPr>
  </w:style>
  <w:style w:type="paragraph" w:styleId="BodyTextIndent2">
    <w:name w:val="Body Text Indent 2"/>
    <w:basedOn w:val="Normal"/>
    <w:link w:val="BodyTextIndent2Char"/>
    <w:rsid w:val="00314C6C"/>
    <w:pPr>
      <w:spacing w:after="0" w:line="240" w:lineRule="auto"/>
      <w:ind w:left="720"/>
    </w:pPr>
    <w:rPr>
      <w:rFonts w:ascii="Book Antiqua" w:eastAsia="Times New Roman" w:hAnsi="Book Antiqua" w:cs="Times New Roman"/>
      <w:szCs w:val="20"/>
    </w:rPr>
  </w:style>
  <w:style w:type="character" w:customStyle="1" w:styleId="BodyTextIndent2Char">
    <w:name w:val="Body Text Indent 2 Char"/>
    <w:basedOn w:val="DefaultParagraphFont"/>
    <w:link w:val="BodyTextIndent2"/>
    <w:rsid w:val="00314C6C"/>
    <w:rPr>
      <w:rFonts w:ascii="Book Antiqua" w:eastAsia="Times New Roman" w:hAnsi="Book Antiqua" w:cs="Times New Roman"/>
      <w:szCs w:val="20"/>
    </w:rPr>
  </w:style>
  <w:style w:type="paragraph" w:styleId="Header">
    <w:name w:val="header"/>
    <w:basedOn w:val="Normal"/>
    <w:link w:val="HeaderChar"/>
    <w:uiPriority w:val="99"/>
    <w:unhideWhenUsed/>
    <w:rsid w:val="00225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400"/>
    <w:rPr>
      <w:rFonts w:ascii="Arial" w:hAnsi="Arial"/>
    </w:rPr>
  </w:style>
  <w:style w:type="paragraph" w:styleId="Footer">
    <w:name w:val="footer"/>
    <w:basedOn w:val="Normal"/>
    <w:link w:val="FooterChar"/>
    <w:uiPriority w:val="99"/>
    <w:unhideWhenUsed/>
    <w:rsid w:val="00225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400"/>
    <w:rPr>
      <w:rFonts w:ascii="Arial" w:hAnsi="Arial"/>
    </w:rPr>
  </w:style>
  <w:style w:type="character" w:customStyle="1" w:styleId="DWTNormChar">
    <w:name w:val="DWTNorm Char"/>
    <w:basedOn w:val="DefaultParagraphFont"/>
    <w:link w:val="DWTNorm"/>
    <w:locked/>
    <w:rsid w:val="005E7EB1"/>
    <w:rPr>
      <w:sz w:val="24"/>
    </w:rPr>
  </w:style>
  <w:style w:type="paragraph" w:customStyle="1" w:styleId="DWTNorm">
    <w:name w:val="DWTNorm"/>
    <w:basedOn w:val="Normal"/>
    <w:link w:val="DWTNormChar"/>
    <w:rsid w:val="005E7EB1"/>
    <w:pPr>
      <w:spacing w:after="240" w:line="240" w:lineRule="auto"/>
      <w:ind w:firstLine="720"/>
    </w:pPr>
    <w:rPr>
      <w:rFonts w:asciiTheme="minorHAnsi" w:hAnsiTheme="minorHAnsi"/>
      <w:sz w:val="24"/>
    </w:rPr>
  </w:style>
  <w:style w:type="character" w:styleId="CommentReference">
    <w:name w:val="annotation reference"/>
    <w:basedOn w:val="DefaultParagraphFont"/>
    <w:semiHidden/>
    <w:unhideWhenUsed/>
    <w:rsid w:val="003727B2"/>
    <w:rPr>
      <w:sz w:val="16"/>
      <w:szCs w:val="16"/>
    </w:rPr>
  </w:style>
  <w:style w:type="paragraph" w:styleId="CommentText">
    <w:name w:val="annotation text"/>
    <w:basedOn w:val="Normal"/>
    <w:link w:val="CommentTextChar"/>
    <w:semiHidden/>
    <w:unhideWhenUsed/>
    <w:rsid w:val="003727B2"/>
    <w:pPr>
      <w:spacing w:line="240" w:lineRule="auto"/>
    </w:pPr>
    <w:rPr>
      <w:sz w:val="20"/>
      <w:szCs w:val="20"/>
    </w:rPr>
  </w:style>
  <w:style w:type="character" w:customStyle="1" w:styleId="CommentTextChar">
    <w:name w:val="Comment Text Char"/>
    <w:basedOn w:val="DefaultParagraphFont"/>
    <w:link w:val="CommentText"/>
    <w:uiPriority w:val="99"/>
    <w:semiHidden/>
    <w:rsid w:val="003727B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727B2"/>
    <w:rPr>
      <w:b/>
      <w:bCs/>
    </w:rPr>
  </w:style>
  <w:style w:type="character" w:customStyle="1" w:styleId="CommentSubjectChar">
    <w:name w:val="Comment Subject Char"/>
    <w:basedOn w:val="CommentTextChar"/>
    <w:link w:val="CommentSubject"/>
    <w:uiPriority w:val="99"/>
    <w:semiHidden/>
    <w:rsid w:val="003727B2"/>
    <w:rPr>
      <w:rFonts w:ascii="Arial" w:hAnsi="Arial"/>
      <w:b/>
      <w:bCs/>
      <w:sz w:val="20"/>
      <w:szCs w:val="20"/>
    </w:rPr>
  </w:style>
  <w:style w:type="paragraph" w:styleId="Revision">
    <w:name w:val="Revision"/>
    <w:hidden/>
    <w:uiPriority w:val="99"/>
    <w:semiHidden/>
    <w:rsid w:val="00650CEE"/>
    <w:pPr>
      <w:spacing w:after="0" w:line="240" w:lineRule="auto"/>
    </w:pPr>
    <w:rPr>
      <w:rFonts w:ascii="Arial" w:hAnsi="Arial"/>
    </w:rPr>
  </w:style>
  <w:style w:type="character" w:styleId="Emphasis">
    <w:name w:val="Emphasis"/>
    <w:basedOn w:val="DefaultParagraphFont"/>
    <w:qFormat/>
    <w:rsid w:val="00E272A7"/>
    <w:rPr>
      <w:i/>
      <w:iCs/>
    </w:rPr>
  </w:style>
  <w:style w:type="character" w:customStyle="1" w:styleId="ListParagraphChar">
    <w:name w:val="List Paragraph Char"/>
    <w:basedOn w:val="DefaultParagraphFont"/>
    <w:link w:val="ListParagraph"/>
    <w:uiPriority w:val="34"/>
    <w:rsid w:val="009D7A31"/>
    <w:rPr>
      <w:rFonts w:ascii="Arial" w:hAnsi="Arial"/>
    </w:rPr>
  </w:style>
  <w:style w:type="paragraph" w:styleId="NormalWeb">
    <w:name w:val="Normal (Web)"/>
    <w:basedOn w:val="Normal"/>
    <w:rsid w:val="00A6142F"/>
    <w:pPr>
      <w:spacing w:after="0" w:line="240" w:lineRule="auto"/>
    </w:pPr>
    <w:rPr>
      <w:rFonts w:ascii="Times New Roman" w:eastAsia="Times New Roman" w:hAnsi="Times New Roman" w:cs="Times New Roman"/>
      <w:sz w:val="24"/>
      <w:szCs w:val="24"/>
    </w:rPr>
  </w:style>
  <w:style w:type="paragraph" w:customStyle="1" w:styleId="Informal1">
    <w:name w:val="Informal1"/>
    <w:rsid w:val="00F450B0"/>
    <w:pPr>
      <w:spacing w:before="60" w:after="60" w:line="240" w:lineRule="auto"/>
    </w:pPr>
    <w:rPr>
      <w:rFonts w:ascii="Times New Roman" w:eastAsia="Times New Roman" w:hAnsi="Times New Roman" w:cs="Times New Roman"/>
      <w:noProof/>
      <w:sz w:val="20"/>
      <w:szCs w:val="20"/>
    </w:rPr>
  </w:style>
  <w:style w:type="paragraph" w:styleId="BodyText">
    <w:name w:val="Body Text"/>
    <w:basedOn w:val="Normal"/>
    <w:link w:val="BodyTextChar"/>
    <w:uiPriority w:val="99"/>
    <w:semiHidden/>
    <w:unhideWhenUsed/>
    <w:rsid w:val="00451D8F"/>
    <w:pPr>
      <w:spacing w:after="120"/>
    </w:pPr>
  </w:style>
  <w:style w:type="character" w:customStyle="1" w:styleId="BodyTextChar">
    <w:name w:val="Body Text Char"/>
    <w:basedOn w:val="DefaultParagraphFont"/>
    <w:link w:val="BodyText"/>
    <w:uiPriority w:val="99"/>
    <w:semiHidden/>
    <w:rsid w:val="00451D8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29530">
      <w:bodyDiv w:val="1"/>
      <w:marLeft w:val="0"/>
      <w:marRight w:val="0"/>
      <w:marTop w:val="0"/>
      <w:marBottom w:val="0"/>
      <w:divBdr>
        <w:top w:val="none" w:sz="0" w:space="0" w:color="auto"/>
        <w:left w:val="none" w:sz="0" w:space="0" w:color="auto"/>
        <w:bottom w:val="none" w:sz="0" w:space="0" w:color="auto"/>
        <w:right w:val="none" w:sz="0" w:space="0" w:color="auto"/>
      </w:divBdr>
    </w:div>
    <w:div w:id="126093008">
      <w:bodyDiv w:val="1"/>
      <w:marLeft w:val="0"/>
      <w:marRight w:val="0"/>
      <w:marTop w:val="0"/>
      <w:marBottom w:val="0"/>
      <w:divBdr>
        <w:top w:val="none" w:sz="0" w:space="0" w:color="auto"/>
        <w:left w:val="none" w:sz="0" w:space="0" w:color="auto"/>
        <w:bottom w:val="none" w:sz="0" w:space="0" w:color="auto"/>
        <w:right w:val="none" w:sz="0" w:space="0" w:color="auto"/>
      </w:divBdr>
    </w:div>
    <w:div w:id="145635148">
      <w:bodyDiv w:val="1"/>
      <w:marLeft w:val="0"/>
      <w:marRight w:val="0"/>
      <w:marTop w:val="0"/>
      <w:marBottom w:val="0"/>
      <w:divBdr>
        <w:top w:val="none" w:sz="0" w:space="0" w:color="auto"/>
        <w:left w:val="none" w:sz="0" w:space="0" w:color="auto"/>
        <w:bottom w:val="none" w:sz="0" w:space="0" w:color="auto"/>
        <w:right w:val="none" w:sz="0" w:space="0" w:color="auto"/>
      </w:divBdr>
    </w:div>
    <w:div w:id="181356838">
      <w:bodyDiv w:val="1"/>
      <w:marLeft w:val="0"/>
      <w:marRight w:val="0"/>
      <w:marTop w:val="0"/>
      <w:marBottom w:val="0"/>
      <w:divBdr>
        <w:top w:val="none" w:sz="0" w:space="0" w:color="auto"/>
        <w:left w:val="none" w:sz="0" w:space="0" w:color="auto"/>
        <w:bottom w:val="none" w:sz="0" w:space="0" w:color="auto"/>
        <w:right w:val="none" w:sz="0" w:space="0" w:color="auto"/>
      </w:divBdr>
    </w:div>
    <w:div w:id="202180770">
      <w:bodyDiv w:val="1"/>
      <w:marLeft w:val="0"/>
      <w:marRight w:val="0"/>
      <w:marTop w:val="0"/>
      <w:marBottom w:val="0"/>
      <w:divBdr>
        <w:top w:val="none" w:sz="0" w:space="0" w:color="auto"/>
        <w:left w:val="none" w:sz="0" w:space="0" w:color="auto"/>
        <w:bottom w:val="none" w:sz="0" w:space="0" w:color="auto"/>
        <w:right w:val="none" w:sz="0" w:space="0" w:color="auto"/>
      </w:divBdr>
    </w:div>
    <w:div w:id="318508681">
      <w:bodyDiv w:val="1"/>
      <w:marLeft w:val="0"/>
      <w:marRight w:val="0"/>
      <w:marTop w:val="0"/>
      <w:marBottom w:val="0"/>
      <w:divBdr>
        <w:top w:val="none" w:sz="0" w:space="0" w:color="auto"/>
        <w:left w:val="none" w:sz="0" w:space="0" w:color="auto"/>
        <w:bottom w:val="none" w:sz="0" w:space="0" w:color="auto"/>
        <w:right w:val="none" w:sz="0" w:space="0" w:color="auto"/>
      </w:divBdr>
      <w:divsChild>
        <w:div w:id="516774071">
          <w:marLeft w:val="806"/>
          <w:marRight w:val="0"/>
          <w:marTop w:val="200"/>
          <w:marBottom w:val="0"/>
          <w:divBdr>
            <w:top w:val="none" w:sz="0" w:space="0" w:color="auto"/>
            <w:left w:val="none" w:sz="0" w:space="0" w:color="auto"/>
            <w:bottom w:val="none" w:sz="0" w:space="0" w:color="auto"/>
            <w:right w:val="none" w:sz="0" w:space="0" w:color="auto"/>
          </w:divBdr>
        </w:div>
        <w:div w:id="585966664">
          <w:marLeft w:val="806"/>
          <w:marRight w:val="0"/>
          <w:marTop w:val="200"/>
          <w:marBottom w:val="0"/>
          <w:divBdr>
            <w:top w:val="none" w:sz="0" w:space="0" w:color="auto"/>
            <w:left w:val="none" w:sz="0" w:space="0" w:color="auto"/>
            <w:bottom w:val="none" w:sz="0" w:space="0" w:color="auto"/>
            <w:right w:val="none" w:sz="0" w:space="0" w:color="auto"/>
          </w:divBdr>
        </w:div>
        <w:div w:id="1351952410">
          <w:marLeft w:val="806"/>
          <w:marRight w:val="0"/>
          <w:marTop w:val="200"/>
          <w:marBottom w:val="0"/>
          <w:divBdr>
            <w:top w:val="none" w:sz="0" w:space="0" w:color="auto"/>
            <w:left w:val="none" w:sz="0" w:space="0" w:color="auto"/>
            <w:bottom w:val="none" w:sz="0" w:space="0" w:color="auto"/>
            <w:right w:val="none" w:sz="0" w:space="0" w:color="auto"/>
          </w:divBdr>
        </w:div>
      </w:divsChild>
    </w:div>
    <w:div w:id="336352651">
      <w:bodyDiv w:val="1"/>
      <w:marLeft w:val="0"/>
      <w:marRight w:val="0"/>
      <w:marTop w:val="0"/>
      <w:marBottom w:val="0"/>
      <w:divBdr>
        <w:top w:val="none" w:sz="0" w:space="0" w:color="auto"/>
        <w:left w:val="none" w:sz="0" w:space="0" w:color="auto"/>
        <w:bottom w:val="none" w:sz="0" w:space="0" w:color="auto"/>
        <w:right w:val="none" w:sz="0" w:space="0" w:color="auto"/>
      </w:divBdr>
    </w:div>
    <w:div w:id="364067538">
      <w:bodyDiv w:val="1"/>
      <w:marLeft w:val="0"/>
      <w:marRight w:val="0"/>
      <w:marTop w:val="0"/>
      <w:marBottom w:val="0"/>
      <w:divBdr>
        <w:top w:val="none" w:sz="0" w:space="0" w:color="auto"/>
        <w:left w:val="none" w:sz="0" w:space="0" w:color="auto"/>
        <w:bottom w:val="none" w:sz="0" w:space="0" w:color="auto"/>
        <w:right w:val="none" w:sz="0" w:space="0" w:color="auto"/>
      </w:divBdr>
    </w:div>
    <w:div w:id="421879564">
      <w:bodyDiv w:val="1"/>
      <w:marLeft w:val="0"/>
      <w:marRight w:val="0"/>
      <w:marTop w:val="0"/>
      <w:marBottom w:val="0"/>
      <w:divBdr>
        <w:top w:val="none" w:sz="0" w:space="0" w:color="auto"/>
        <w:left w:val="none" w:sz="0" w:space="0" w:color="auto"/>
        <w:bottom w:val="none" w:sz="0" w:space="0" w:color="auto"/>
        <w:right w:val="none" w:sz="0" w:space="0" w:color="auto"/>
      </w:divBdr>
    </w:div>
    <w:div w:id="436222236">
      <w:bodyDiv w:val="1"/>
      <w:marLeft w:val="0"/>
      <w:marRight w:val="0"/>
      <w:marTop w:val="0"/>
      <w:marBottom w:val="0"/>
      <w:divBdr>
        <w:top w:val="none" w:sz="0" w:space="0" w:color="auto"/>
        <w:left w:val="none" w:sz="0" w:space="0" w:color="auto"/>
        <w:bottom w:val="none" w:sz="0" w:space="0" w:color="auto"/>
        <w:right w:val="none" w:sz="0" w:space="0" w:color="auto"/>
      </w:divBdr>
    </w:div>
    <w:div w:id="452138676">
      <w:bodyDiv w:val="1"/>
      <w:marLeft w:val="0"/>
      <w:marRight w:val="0"/>
      <w:marTop w:val="0"/>
      <w:marBottom w:val="0"/>
      <w:divBdr>
        <w:top w:val="none" w:sz="0" w:space="0" w:color="auto"/>
        <w:left w:val="none" w:sz="0" w:space="0" w:color="auto"/>
        <w:bottom w:val="none" w:sz="0" w:space="0" w:color="auto"/>
        <w:right w:val="none" w:sz="0" w:space="0" w:color="auto"/>
      </w:divBdr>
    </w:div>
    <w:div w:id="454368882">
      <w:bodyDiv w:val="1"/>
      <w:marLeft w:val="0"/>
      <w:marRight w:val="0"/>
      <w:marTop w:val="0"/>
      <w:marBottom w:val="0"/>
      <w:divBdr>
        <w:top w:val="none" w:sz="0" w:space="0" w:color="auto"/>
        <w:left w:val="none" w:sz="0" w:space="0" w:color="auto"/>
        <w:bottom w:val="none" w:sz="0" w:space="0" w:color="auto"/>
        <w:right w:val="none" w:sz="0" w:space="0" w:color="auto"/>
      </w:divBdr>
    </w:div>
    <w:div w:id="457334682">
      <w:bodyDiv w:val="1"/>
      <w:marLeft w:val="0"/>
      <w:marRight w:val="0"/>
      <w:marTop w:val="0"/>
      <w:marBottom w:val="0"/>
      <w:divBdr>
        <w:top w:val="none" w:sz="0" w:space="0" w:color="auto"/>
        <w:left w:val="none" w:sz="0" w:space="0" w:color="auto"/>
        <w:bottom w:val="none" w:sz="0" w:space="0" w:color="auto"/>
        <w:right w:val="none" w:sz="0" w:space="0" w:color="auto"/>
      </w:divBdr>
    </w:div>
    <w:div w:id="462775975">
      <w:bodyDiv w:val="1"/>
      <w:marLeft w:val="0"/>
      <w:marRight w:val="0"/>
      <w:marTop w:val="0"/>
      <w:marBottom w:val="0"/>
      <w:divBdr>
        <w:top w:val="none" w:sz="0" w:space="0" w:color="auto"/>
        <w:left w:val="none" w:sz="0" w:space="0" w:color="auto"/>
        <w:bottom w:val="none" w:sz="0" w:space="0" w:color="auto"/>
        <w:right w:val="none" w:sz="0" w:space="0" w:color="auto"/>
      </w:divBdr>
    </w:div>
    <w:div w:id="497502687">
      <w:bodyDiv w:val="1"/>
      <w:marLeft w:val="0"/>
      <w:marRight w:val="0"/>
      <w:marTop w:val="0"/>
      <w:marBottom w:val="0"/>
      <w:divBdr>
        <w:top w:val="none" w:sz="0" w:space="0" w:color="auto"/>
        <w:left w:val="none" w:sz="0" w:space="0" w:color="auto"/>
        <w:bottom w:val="none" w:sz="0" w:space="0" w:color="auto"/>
        <w:right w:val="none" w:sz="0" w:space="0" w:color="auto"/>
      </w:divBdr>
    </w:div>
    <w:div w:id="513959723">
      <w:bodyDiv w:val="1"/>
      <w:marLeft w:val="0"/>
      <w:marRight w:val="0"/>
      <w:marTop w:val="0"/>
      <w:marBottom w:val="0"/>
      <w:divBdr>
        <w:top w:val="none" w:sz="0" w:space="0" w:color="auto"/>
        <w:left w:val="none" w:sz="0" w:space="0" w:color="auto"/>
        <w:bottom w:val="none" w:sz="0" w:space="0" w:color="auto"/>
        <w:right w:val="none" w:sz="0" w:space="0" w:color="auto"/>
      </w:divBdr>
    </w:div>
    <w:div w:id="544413532">
      <w:bodyDiv w:val="1"/>
      <w:marLeft w:val="0"/>
      <w:marRight w:val="0"/>
      <w:marTop w:val="0"/>
      <w:marBottom w:val="0"/>
      <w:divBdr>
        <w:top w:val="none" w:sz="0" w:space="0" w:color="auto"/>
        <w:left w:val="none" w:sz="0" w:space="0" w:color="auto"/>
        <w:bottom w:val="none" w:sz="0" w:space="0" w:color="auto"/>
        <w:right w:val="none" w:sz="0" w:space="0" w:color="auto"/>
      </w:divBdr>
    </w:div>
    <w:div w:id="576549729">
      <w:bodyDiv w:val="1"/>
      <w:marLeft w:val="0"/>
      <w:marRight w:val="0"/>
      <w:marTop w:val="0"/>
      <w:marBottom w:val="0"/>
      <w:divBdr>
        <w:top w:val="none" w:sz="0" w:space="0" w:color="auto"/>
        <w:left w:val="none" w:sz="0" w:space="0" w:color="auto"/>
        <w:bottom w:val="none" w:sz="0" w:space="0" w:color="auto"/>
        <w:right w:val="none" w:sz="0" w:space="0" w:color="auto"/>
      </w:divBdr>
    </w:div>
    <w:div w:id="633684117">
      <w:bodyDiv w:val="1"/>
      <w:marLeft w:val="0"/>
      <w:marRight w:val="0"/>
      <w:marTop w:val="0"/>
      <w:marBottom w:val="0"/>
      <w:divBdr>
        <w:top w:val="none" w:sz="0" w:space="0" w:color="auto"/>
        <w:left w:val="none" w:sz="0" w:space="0" w:color="auto"/>
        <w:bottom w:val="none" w:sz="0" w:space="0" w:color="auto"/>
        <w:right w:val="none" w:sz="0" w:space="0" w:color="auto"/>
      </w:divBdr>
    </w:div>
    <w:div w:id="735904608">
      <w:bodyDiv w:val="1"/>
      <w:marLeft w:val="0"/>
      <w:marRight w:val="0"/>
      <w:marTop w:val="0"/>
      <w:marBottom w:val="0"/>
      <w:divBdr>
        <w:top w:val="none" w:sz="0" w:space="0" w:color="auto"/>
        <w:left w:val="none" w:sz="0" w:space="0" w:color="auto"/>
        <w:bottom w:val="none" w:sz="0" w:space="0" w:color="auto"/>
        <w:right w:val="none" w:sz="0" w:space="0" w:color="auto"/>
      </w:divBdr>
    </w:div>
    <w:div w:id="765463837">
      <w:bodyDiv w:val="1"/>
      <w:marLeft w:val="0"/>
      <w:marRight w:val="0"/>
      <w:marTop w:val="0"/>
      <w:marBottom w:val="0"/>
      <w:divBdr>
        <w:top w:val="none" w:sz="0" w:space="0" w:color="auto"/>
        <w:left w:val="none" w:sz="0" w:space="0" w:color="auto"/>
        <w:bottom w:val="none" w:sz="0" w:space="0" w:color="auto"/>
        <w:right w:val="none" w:sz="0" w:space="0" w:color="auto"/>
      </w:divBdr>
    </w:div>
    <w:div w:id="804618236">
      <w:bodyDiv w:val="1"/>
      <w:marLeft w:val="0"/>
      <w:marRight w:val="0"/>
      <w:marTop w:val="0"/>
      <w:marBottom w:val="0"/>
      <w:divBdr>
        <w:top w:val="none" w:sz="0" w:space="0" w:color="auto"/>
        <w:left w:val="none" w:sz="0" w:space="0" w:color="auto"/>
        <w:bottom w:val="none" w:sz="0" w:space="0" w:color="auto"/>
        <w:right w:val="none" w:sz="0" w:space="0" w:color="auto"/>
      </w:divBdr>
    </w:div>
    <w:div w:id="855845971">
      <w:bodyDiv w:val="1"/>
      <w:marLeft w:val="0"/>
      <w:marRight w:val="0"/>
      <w:marTop w:val="0"/>
      <w:marBottom w:val="0"/>
      <w:divBdr>
        <w:top w:val="none" w:sz="0" w:space="0" w:color="auto"/>
        <w:left w:val="none" w:sz="0" w:space="0" w:color="auto"/>
        <w:bottom w:val="none" w:sz="0" w:space="0" w:color="auto"/>
        <w:right w:val="none" w:sz="0" w:space="0" w:color="auto"/>
      </w:divBdr>
    </w:div>
    <w:div w:id="873346974">
      <w:bodyDiv w:val="1"/>
      <w:marLeft w:val="0"/>
      <w:marRight w:val="0"/>
      <w:marTop w:val="0"/>
      <w:marBottom w:val="0"/>
      <w:divBdr>
        <w:top w:val="none" w:sz="0" w:space="0" w:color="auto"/>
        <w:left w:val="none" w:sz="0" w:space="0" w:color="auto"/>
        <w:bottom w:val="none" w:sz="0" w:space="0" w:color="auto"/>
        <w:right w:val="none" w:sz="0" w:space="0" w:color="auto"/>
      </w:divBdr>
    </w:div>
    <w:div w:id="878400489">
      <w:bodyDiv w:val="1"/>
      <w:marLeft w:val="0"/>
      <w:marRight w:val="0"/>
      <w:marTop w:val="0"/>
      <w:marBottom w:val="0"/>
      <w:divBdr>
        <w:top w:val="none" w:sz="0" w:space="0" w:color="auto"/>
        <w:left w:val="none" w:sz="0" w:space="0" w:color="auto"/>
        <w:bottom w:val="none" w:sz="0" w:space="0" w:color="auto"/>
        <w:right w:val="none" w:sz="0" w:space="0" w:color="auto"/>
      </w:divBdr>
    </w:div>
    <w:div w:id="917249836">
      <w:bodyDiv w:val="1"/>
      <w:marLeft w:val="0"/>
      <w:marRight w:val="0"/>
      <w:marTop w:val="0"/>
      <w:marBottom w:val="0"/>
      <w:divBdr>
        <w:top w:val="none" w:sz="0" w:space="0" w:color="auto"/>
        <w:left w:val="none" w:sz="0" w:space="0" w:color="auto"/>
        <w:bottom w:val="none" w:sz="0" w:space="0" w:color="auto"/>
        <w:right w:val="none" w:sz="0" w:space="0" w:color="auto"/>
      </w:divBdr>
    </w:div>
    <w:div w:id="976105640">
      <w:bodyDiv w:val="1"/>
      <w:marLeft w:val="0"/>
      <w:marRight w:val="0"/>
      <w:marTop w:val="0"/>
      <w:marBottom w:val="0"/>
      <w:divBdr>
        <w:top w:val="none" w:sz="0" w:space="0" w:color="auto"/>
        <w:left w:val="none" w:sz="0" w:space="0" w:color="auto"/>
        <w:bottom w:val="none" w:sz="0" w:space="0" w:color="auto"/>
        <w:right w:val="none" w:sz="0" w:space="0" w:color="auto"/>
      </w:divBdr>
    </w:div>
    <w:div w:id="1022972845">
      <w:bodyDiv w:val="1"/>
      <w:marLeft w:val="0"/>
      <w:marRight w:val="0"/>
      <w:marTop w:val="0"/>
      <w:marBottom w:val="0"/>
      <w:divBdr>
        <w:top w:val="none" w:sz="0" w:space="0" w:color="auto"/>
        <w:left w:val="none" w:sz="0" w:space="0" w:color="auto"/>
        <w:bottom w:val="none" w:sz="0" w:space="0" w:color="auto"/>
        <w:right w:val="none" w:sz="0" w:space="0" w:color="auto"/>
      </w:divBdr>
    </w:div>
    <w:div w:id="1028682478">
      <w:bodyDiv w:val="1"/>
      <w:marLeft w:val="0"/>
      <w:marRight w:val="0"/>
      <w:marTop w:val="0"/>
      <w:marBottom w:val="0"/>
      <w:divBdr>
        <w:top w:val="none" w:sz="0" w:space="0" w:color="auto"/>
        <w:left w:val="none" w:sz="0" w:space="0" w:color="auto"/>
        <w:bottom w:val="none" w:sz="0" w:space="0" w:color="auto"/>
        <w:right w:val="none" w:sz="0" w:space="0" w:color="auto"/>
      </w:divBdr>
    </w:div>
    <w:div w:id="1041319309">
      <w:bodyDiv w:val="1"/>
      <w:marLeft w:val="0"/>
      <w:marRight w:val="0"/>
      <w:marTop w:val="0"/>
      <w:marBottom w:val="0"/>
      <w:divBdr>
        <w:top w:val="none" w:sz="0" w:space="0" w:color="auto"/>
        <w:left w:val="none" w:sz="0" w:space="0" w:color="auto"/>
        <w:bottom w:val="none" w:sz="0" w:space="0" w:color="auto"/>
        <w:right w:val="none" w:sz="0" w:space="0" w:color="auto"/>
      </w:divBdr>
    </w:div>
    <w:div w:id="1129326525">
      <w:bodyDiv w:val="1"/>
      <w:marLeft w:val="0"/>
      <w:marRight w:val="0"/>
      <w:marTop w:val="0"/>
      <w:marBottom w:val="0"/>
      <w:divBdr>
        <w:top w:val="none" w:sz="0" w:space="0" w:color="auto"/>
        <w:left w:val="none" w:sz="0" w:space="0" w:color="auto"/>
        <w:bottom w:val="none" w:sz="0" w:space="0" w:color="auto"/>
        <w:right w:val="none" w:sz="0" w:space="0" w:color="auto"/>
      </w:divBdr>
    </w:div>
    <w:div w:id="1167136230">
      <w:bodyDiv w:val="1"/>
      <w:marLeft w:val="0"/>
      <w:marRight w:val="0"/>
      <w:marTop w:val="0"/>
      <w:marBottom w:val="0"/>
      <w:divBdr>
        <w:top w:val="none" w:sz="0" w:space="0" w:color="auto"/>
        <w:left w:val="none" w:sz="0" w:space="0" w:color="auto"/>
        <w:bottom w:val="none" w:sz="0" w:space="0" w:color="auto"/>
        <w:right w:val="none" w:sz="0" w:space="0" w:color="auto"/>
      </w:divBdr>
    </w:div>
    <w:div w:id="1222132004">
      <w:bodyDiv w:val="1"/>
      <w:marLeft w:val="0"/>
      <w:marRight w:val="0"/>
      <w:marTop w:val="0"/>
      <w:marBottom w:val="0"/>
      <w:divBdr>
        <w:top w:val="none" w:sz="0" w:space="0" w:color="auto"/>
        <w:left w:val="none" w:sz="0" w:space="0" w:color="auto"/>
        <w:bottom w:val="none" w:sz="0" w:space="0" w:color="auto"/>
        <w:right w:val="none" w:sz="0" w:space="0" w:color="auto"/>
      </w:divBdr>
    </w:div>
    <w:div w:id="1283880121">
      <w:bodyDiv w:val="1"/>
      <w:marLeft w:val="0"/>
      <w:marRight w:val="0"/>
      <w:marTop w:val="0"/>
      <w:marBottom w:val="0"/>
      <w:divBdr>
        <w:top w:val="none" w:sz="0" w:space="0" w:color="auto"/>
        <w:left w:val="none" w:sz="0" w:space="0" w:color="auto"/>
        <w:bottom w:val="none" w:sz="0" w:space="0" w:color="auto"/>
        <w:right w:val="none" w:sz="0" w:space="0" w:color="auto"/>
      </w:divBdr>
    </w:div>
    <w:div w:id="1355571800">
      <w:bodyDiv w:val="1"/>
      <w:marLeft w:val="0"/>
      <w:marRight w:val="0"/>
      <w:marTop w:val="0"/>
      <w:marBottom w:val="0"/>
      <w:divBdr>
        <w:top w:val="none" w:sz="0" w:space="0" w:color="auto"/>
        <w:left w:val="none" w:sz="0" w:space="0" w:color="auto"/>
        <w:bottom w:val="none" w:sz="0" w:space="0" w:color="auto"/>
        <w:right w:val="none" w:sz="0" w:space="0" w:color="auto"/>
      </w:divBdr>
    </w:div>
    <w:div w:id="1369640522">
      <w:bodyDiv w:val="1"/>
      <w:marLeft w:val="0"/>
      <w:marRight w:val="0"/>
      <w:marTop w:val="0"/>
      <w:marBottom w:val="0"/>
      <w:divBdr>
        <w:top w:val="none" w:sz="0" w:space="0" w:color="auto"/>
        <w:left w:val="none" w:sz="0" w:space="0" w:color="auto"/>
        <w:bottom w:val="none" w:sz="0" w:space="0" w:color="auto"/>
        <w:right w:val="none" w:sz="0" w:space="0" w:color="auto"/>
      </w:divBdr>
    </w:div>
    <w:div w:id="1385258119">
      <w:bodyDiv w:val="1"/>
      <w:marLeft w:val="0"/>
      <w:marRight w:val="0"/>
      <w:marTop w:val="0"/>
      <w:marBottom w:val="0"/>
      <w:divBdr>
        <w:top w:val="none" w:sz="0" w:space="0" w:color="auto"/>
        <w:left w:val="none" w:sz="0" w:space="0" w:color="auto"/>
        <w:bottom w:val="none" w:sz="0" w:space="0" w:color="auto"/>
        <w:right w:val="none" w:sz="0" w:space="0" w:color="auto"/>
      </w:divBdr>
    </w:div>
    <w:div w:id="1403064261">
      <w:bodyDiv w:val="1"/>
      <w:marLeft w:val="0"/>
      <w:marRight w:val="0"/>
      <w:marTop w:val="0"/>
      <w:marBottom w:val="0"/>
      <w:divBdr>
        <w:top w:val="none" w:sz="0" w:space="0" w:color="auto"/>
        <w:left w:val="none" w:sz="0" w:space="0" w:color="auto"/>
        <w:bottom w:val="none" w:sz="0" w:space="0" w:color="auto"/>
        <w:right w:val="none" w:sz="0" w:space="0" w:color="auto"/>
      </w:divBdr>
    </w:div>
    <w:div w:id="1406877827">
      <w:bodyDiv w:val="1"/>
      <w:marLeft w:val="0"/>
      <w:marRight w:val="0"/>
      <w:marTop w:val="0"/>
      <w:marBottom w:val="0"/>
      <w:divBdr>
        <w:top w:val="none" w:sz="0" w:space="0" w:color="auto"/>
        <w:left w:val="none" w:sz="0" w:space="0" w:color="auto"/>
        <w:bottom w:val="none" w:sz="0" w:space="0" w:color="auto"/>
        <w:right w:val="none" w:sz="0" w:space="0" w:color="auto"/>
      </w:divBdr>
    </w:div>
    <w:div w:id="1476602708">
      <w:bodyDiv w:val="1"/>
      <w:marLeft w:val="0"/>
      <w:marRight w:val="0"/>
      <w:marTop w:val="0"/>
      <w:marBottom w:val="0"/>
      <w:divBdr>
        <w:top w:val="none" w:sz="0" w:space="0" w:color="auto"/>
        <w:left w:val="none" w:sz="0" w:space="0" w:color="auto"/>
        <w:bottom w:val="none" w:sz="0" w:space="0" w:color="auto"/>
        <w:right w:val="none" w:sz="0" w:space="0" w:color="auto"/>
      </w:divBdr>
    </w:div>
    <w:div w:id="1536384040">
      <w:bodyDiv w:val="1"/>
      <w:marLeft w:val="0"/>
      <w:marRight w:val="0"/>
      <w:marTop w:val="0"/>
      <w:marBottom w:val="0"/>
      <w:divBdr>
        <w:top w:val="none" w:sz="0" w:space="0" w:color="auto"/>
        <w:left w:val="none" w:sz="0" w:space="0" w:color="auto"/>
        <w:bottom w:val="none" w:sz="0" w:space="0" w:color="auto"/>
        <w:right w:val="none" w:sz="0" w:space="0" w:color="auto"/>
      </w:divBdr>
    </w:div>
    <w:div w:id="1567953578">
      <w:bodyDiv w:val="1"/>
      <w:marLeft w:val="0"/>
      <w:marRight w:val="0"/>
      <w:marTop w:val="0"/>
      <w:marBottom w:val="0"/>
      <w:divBdr>
        <w:top w:val="none" w:sz="0" w:space="0" w:color="auto"/>
        <w:left w:val="none" w:sz="0" w:space="0" w:color="auto"/>
        <w:bottom w:val="none" w:sz="0" w:space="0" w:color="auto"/>
        <w:right w:val="none" w:sz="0" w:space="0" w:color="auto"/>
      </w:divBdr>
    </w:div>
    <w:div w:id="1748334801">
      <w:bodyDiv w:val="1"/>
      <w:marLeft w:val="0"/>
      <w:marRight w:val="0"/>
      <w:marTop w:val="0"/>
      <w:marBottom w:val="0"/>
      <w:divBdr>
        <w:top w:val="none" w:sz="0" w:space="0" w:color="auto"/>
        <w:left w:val="none" w:sz="0" w:space="0" w:color="auto"/>
        <w:bottom w:val="none" w:sz="0" w:space="0" w:color="auto"/>
        <w:right w:val="none" w:sz="0" w:space="0" w:color="auto"/>
      </w:divBdr>
    </w:div>
    <w:div w:id="1811940184">
      <w:bodyDiv w:val="1"/>
      <w:marLeft w:val="0"/>
      <w:marRight w:val="0"/>
      <w:marTop w:val="0"/>
      <w:marBottom w:val="0"/>
      <w:divBdr>
        <w:top w:val="none" w:sz="0" w:space="0" w:color="auto"/>
        <w:left w:val="none" w:sz="0" w:space="0" w:color="auto"/>
        <w:bottom w:val="none" w:sz="0" w:space="0" w:color="auto"/>
        <w:right w:val="none" w:sz="0" w:space="0" w:color="auto"/>
      </w:divBdr>
    </w:div>
    <w:div w:id="1890531552">
      <w:bodyDiv w:val="1"/>
      <w:marLeft w:val="0"/>
      <w:marRight w:val="0"/>
      <w:marTop w:val="0"/>
      <w:marBottom w:val="0"/>
      <w:divBdr>
        <w:top w:val="none" w:sz="0" w:space="0" w:color="auto"/>
        <w:left w:val="none" w:sz="0" w:space="0" w:color="auto"/>
        <w:bottom w:val="none" w:sz="0" w:space="0" w:color="auto"/>
        <w:right w:val="none" w:sz="0" w:space="0" w:color="auto"/>
      </w:divBdr>
    </w:div>
    <w:div w:id="1894270685">
      <w:bodyDiv w:val="1"/>
      <w:marLeft w:val="0"/>
      <w:marRight w:val="0"/>
      <w:marTop w:val="0"/>
      <w:marBottom w:val="0"/>
      <w:divBdr>
        <w:top w:val="none" w:sz="0" w:space="0" w:color="auto"/>
        <w:left w:val="none" w:sz="0" w:space="0" w:color="auto"/>
        <w:bottom w:val="none" w:sz="0" w:space="0" w:color="auto"/>
        <w:right w:val="none" w:sz="0" w:space="0" w:color="auto"/>
      </w:divBdr>
    </w:div>
    <w:div w:id="1894416165">
      <w:bodyDiv w:val="1"/>
      <w:marLeft w:val="0"/>
      <w:marRight w:val="0"/>
      <w:marTop w:val="0"/>
      <w:marBottom w:val="0"/>
      <w:divBdr>
        <w:top w:val="none" w:sz="0" w:space="0" w:color="auto"/>
        <w:left w:val="none" w:sz="0" w:space="0" w:color="auto"/>
        <w:bottom w:val="none" w:sz="0" w:space="0" w:color="auto"/>
        <w:right w:val="none" w:sz="0" w:space="0" w:color="auto"/>
      </w:divBdr>
    </w:div>
    <w:div w:id="1903522244">
      <w:bodyDiv w:val="1"/>
      <w:marLeft w:val="0"/>
      <w:marRight w:val="0"/>
      <w:marTop w:val="0"/>
      <w:marBottom w:val="0"/>
      <w:divBdr>
        <w:top w:val="none" w:sz="0" w:space="0" w:color="auto"/>
        <w:left w:val="none" w:sz="0" w:space="0" w:color="auto"/>
        <w:bottom w:val="none" w:sz="0" w:space="0" w:color="auto"/>
        <w:right w:val="none" w:sz="0" w:space="0" w:color="auto"/>
      </w:divBdr>
    </w:div>
    <w:div w:id="1904638810">
      <w:bodyDiv w:val="1"/>
      <w:marLeft w:val="0"/>
      <w:marRight w:val="0"/>
      <w:marTop w:val="0"/>
      <w:marBottom w:val="0"/>
      <w:divBdr>
        <w:top w:val="none" w:sz="0" w:space="0" w:color="auto"/>
        <w:left w:val="none" w:sz="0" w:space="0" w:color="auto"/>
        <w:bottom w:val="none" w:sz="0" w:space="0" w:color="auto"/>
        <w:right w:val="none" w:sz="0" w:space="0" w:color="auto"/>
      </w:divBdr>
    </w:div>
    <w:div w:id="1988628350">
      <w:bodyDiv w:val="1"/>
      <w:marLeft w:val="0"/>
      <w:marRight w:val="0"/>
      <w:marTop w:val="0"/>
      <w:marBottom w:val="0"/>
      <w:divBdr>
        <w:top w:val="none" w:sz="0" w:space="0" w:color="auto"/>
        <w:left w:val="none" w:sz="0" w:space="0" w:color="auto"/>
        <w:bottom w:val="none" w:sz="0" w:space="0" w:color="auto"/>
        <w:right w:val="none" w:sz="0" w:space="0" w:color="auto"/>
      </w:divBdr>
    </w:div>
    <w:div w:id="2000841654">
      <w:bodyDiv w:val="1"/>
      <w:marLeft w:val="0"/>
      <w:marRight w:val="0"/>
      <w:marTop w:val="0"/>
      <w:marBottom w:val="0"/>
      <w:divBdr>
        <w:top w:val="none" w:sz="0" w:space="0" w:color="auto"/>
        <w:left w:val="none" w:sz="0" w:space="0" w:color="auto"/>
        <w:bottom w:val="none" w:sz="0" w:space="0" w:color="auto"/>
        <w:right w:val="none" w:sz="0" w:space="0" w:color="auto"/>
      </w:divBdr>
    </w:div>
    <w:div w:id="2027906890">
      <w:bodyDiv w:val="1"/>
      <w:marLeft w:val="0"/>
      <w:marRight w:val="0"/>
      <w:marTop w:val="0"/>
      <w:marBottom w:val="0"/>
      <w:divBdr>
        <w:top w:val="none" w:sz="0" w:space="0" w:color="auto"/>
        <w:left w:val="none" w:sz="0" w:space="0" w:color="auto"/>
        <w:bottom w:val="none" w:sz="0" w:space="0" w:color="auto"/>
        <w:right w:val="none" w:sz="0" w:space="0" w:color="auto"/>
      </w:divBdr>
    </w:div>
    <w:div w:id="2038382083">
      <w:bodyDiv w:val="1"/>
      <w:marLeft w:val="0"/>
      <w:marRight w:val="0"/>
      <w:marTop w:val="0"/>
      <w:marBottom w:val="0"/>
      <w:divBdr>
        <w:top w:val="none" w:sz="0" w:space="0" w:color="auto"/>
        <w:left w:val="none" w:sz="0" w:space="0" w:color="auto"/>
        <w:bottom w:val="none" w:sz="0" w:space="0" w:color="auto"/>
        <w:right w:val="none" w:sz="0" w:space="0" w:color="auto"/>
      </w:divBdr>
    </w:div>
    <w:div w:id="2045669569">
      <w:bodyDiv w:val="1"/>
      <w:marLeft w:val="0"/>
      <w:marRight w:val="0"/>
      <w:marTop w:val="0"/>
      <w:marBottom w:val="0"/>
      <w:divBdr>
        <w:top w:val="none" w:sz="0" w:space="0" w:color="auto"/>
        <w:left w:val="none" w:sz="0" w:space="0" w:color="auto"/>
        <w:bottom w:val="none" w:sz="0" w:space="0" w:color="auto"/>
        <w:right w:val="none" w:sz="0" w:space="0" w:color="auto"/>
      </w:divBdr>
    </w:div>
    <w:div w:id="2053268206">
      <w:bodyDiv w:val="1"/>
      <w:marLeft w:val="0"/>
      <w:marRight w:val="0"/>
      <w:marTop w:val="0"/>
      <w:marBottom w:val="0"/>
      <w:divBdr>
        <w:top w:val="none" w:sz="0" w:space="0" w:color="auto"/>
        <w:left w:val="none" w:sz="0" w:space="0" w:color="auto"/>
        <w:bottom w:val="none" w:sz="0" w:space="0" w:color="auto"/>
        <w:right w:val="none" w:sz="0" w:space="0" w:color="auto"/>
      </w:divBdr>
    </w:div>
    <w:div w:id="2083140219">
      <w:bodyDiv w:val="1"/>
      <w:marLeft w:val="0"/>
      <w:marRight w:val="0"/>
      <w:marTop w:val="0"/>
      <w:marBottom w:val="0"/>
      <w:divBdr>
        <w:top w:val="none" w:sz="0" w:space="0" w:color="auto"/>
        <w:left w:val="none" w:sz="0" w:space="0" w:color="auto"/>
        <w:bottom w:val="none" w:sz="0" w:space="0" w:color="auto"/>
        <w:right w:val="none" w:sz="0" w:space="0" w:color="auto"/>
      </w:divBdr>
    </w:div>
    <w:div w:id="2090737006">
      <w:bodyDiv w:val="1"/>
      <w:marLeft w:val="0"/>
      <w:marRight w:val="0"/>
      <w:marTop w:val="0"/>
      <w:marBottom w:val="0"/>
      <w:divBdr>
        <w:top w:val="none" w:sz="0" w:space="0" w:color="auto"/>
        <w:left w:val="none" w:sz="0" w:space="0" w:color="auto"/>
        <w:bottom w:val="none" w:sz="0" w:space="0" w:color="auto"/>
        <w:right w:val="none" w:sz="0" w:space="0" w:color="auto"/>
      </w:divBdr>
    </w:div>
    <w:div w:id="2097824058">
      <w:bodyDiv w:val="1"/>
      <w:marLeft w:val="0"/>
      <w:marRight w:val="0"/>
      <w:marTop w:val="0"/>
      <w:marBottom w:val="0"/>
      <w:divBdr>
        <w:top w:val="none" w:sz="0" w:space="0" w:color="auto"/>
        <w:left w:val="none" w:sz="0" w:space="0" w:color="auto"/>
        <w:bottom w:val="none" w:sz="0" w:space="0" w:color="auto"/>
        <w:right w:val="none" w:sz="0" w:space="0" w:color="auto"/>
      </w:divBdr>
    </w:div>
    <w:div w:id="2103528788">
      <w:bodyDiv w:val="1"/>
      <w:marLeft w:val="0"/>
      <w:marRight w:val="0"/>
      <w:marTop w:val="0"/>
      <w:marBottom w:val="0"/>
      <w:divBdr>
        <w:top w:val="none" w:sz="0" w:space="0" w:color="auto"/>
        <w:left w:val="none" w:sz="0" w:space="0" w:color="auto"/>
        <w:bottom w:val="none" w:sz="0" w:space="0" w:color="auto"/>
        <w:right w:val="none" w:sz="0" w:space="0" w:color="auto"/>
      </w:divBdr>
    </w:div>
    <w:div w:id="2105373432">
      <w:bodyDiv w:val="1"/>
      <w:marLeft w:val="0"/>
      <w:marRight w:val="0"/>
      <w:marTop w:val="0"/>
      <w:marBottom w:val="0"/>
      <w:divBdr>
        <w:top w:val="none" w:sz="0" w:space="0" w:color="auto"/>
        <w:left w:val="none" w:sz="0" w:space="0" w:color="auto"/>
        <w:bottom w:val="none" w:sz="0" w:space="0" w:color="auto"/>
        <w:right w:val="none" w:sz="0" w:space="0" w:color="auto"/>
      </w:divBdr>
    </w:div>
    <w:div w:id="2114129440">
      <w:bodyDiv w:val="1"/>
      <w:marLeft w:val="0"/>
      <w:marRight w:val="0"/>
      <w:marTop w:val="0"/>
      <w:marBottom w:val="0"/>
      <w:divBdr>
        <w:top w:val="none" w:sz="0" w:space="0" w:color="auto"/>
        <w:left w:val="none" w:sz="0" w:space="0" w:color="auto"/>
        <w:bottom w:val="none" w:sz="0" w:space="0" w:color="auto"/>
        <w:right w:val="none" w:sz="0" w:space="0" w:color="auto"/>
      </w:divBdr>
    </w:div>
    <w:div w:id="212607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4CB9487F17E0E4D9E56E929BF36E5A5" ma:contentTypeVersion="11" ma:contentTypeDescription="Create a new document." ma:contentTypeScope="" ma:versionID="d2beb5f791d639a85d9b078d4356c3a6">
  <xsd:schema xmlns:xsd="http://www.w3.org/2001/XMLSchema" xmlns:xs="http://www.w3.org/2001/XMLSchema" xmlns:p="http://schemas.microsoft.com/office/2006/metadata/properties" xmlns:ns2="f7e036ba-a3b0-4cdc-b69c-3ff0c66abd9d" xmlns:ns3="c71bc280-77be-4226-9682-3896b2a5d823" targetNamespace="http://schemas.microsoft.com/office/2006/metadata/properties" ma:root="true" ma:fieldsID="a5175cc1ccf4ca5c3a2b7eff99579075" ns2:_="" ns3:_="">
    <xsd:import namespace="f7e036ba-a3b0-4cdc-b69c-3ff0c66abd9d"/>
    <xsd:import namespace="c71bc280-77be-4226-9682-3896b2a5d8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036ba-a3b0-4cdc-b69c-3ff0c66ab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bc280-77be-4226-9682-3896b2a5d8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77A8CA-9603-49A7-8F79-0954A4D2ABCC}">
  <ds:schemaRefs>
    <ds:schemaRef ds:uri="http://schemas.openxmlformats.org/officeDocument/2006/bibliography"/>
  </ds:schemaRefs>
</ds:datastoreItem>
</file>

<file path=customXml/itemProps2.xml><?xml version="1.0" encoding="utf-8"?>
<ds:datastoreItem xmlns:ds="http://schemas.openxmlformats.org/officeDocument/2006/customXml" ds:itemID="{A93C650D-9725-45EF-9E80-E90A82C6FA31}"/>
</file>

<file path=customXml/itemProps3.xml><?xml version="1.0" encoding="utf-8"?>
<ds:datastoreItem xmlns:ds="http://schemas.openxmlformats.org/officeDocument/2006/customXml" ds:itemID="{C2B2814D-57D7-4692-981D-5756C5E18653}"/>
</file>

<file path=customXml/itemProps4.xml><?xml version="1.0" encoding="utf-8"?>
<ds:datastoreItem xmlns:ds="http://schemas.openxmlformats.org/officeDocument/2006/customXml" ds:itemID="{A9363143-F7C8-448D-B2B5-68BBA8D548B0}"/>
</file>

<file path=docProps/app.xml><?xml version="1.0" encoding="utf-8"?>
<Properties xmlns="http://schemas.openxmlformats.org/officeDocument/2006/extended-properties" xmlns:vt="http://schemas.openxmlformats.org/officeDocument/2006/docPropsVTypes">
  <Template>Normal.dotm</Template>
  <TotalTime>182</TotalTime>
  <Pages>4</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C-IV Project</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Leslie Johnson</dc:creator>
  <cp:lastModifiedBy>Shenifer Malloy</cp:lastModifiedBy>
  <cp:revision>23</cp:revision>
  <cp:lastPrinted>2018-04-02T22:15:00Z</cp:lastPrinted>
  <dcterms:created xsi:type="dcterms:W3CDTF">2018-04-02T22:03:00Z</dcterms:created>
  <dcterms:modified xsi:type="dcterms:W3CDTF">2018-04-24T23:28:00Z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0x01010004CB9487F17E0E4D9E56E929BF36E5A5</vt:lpwstr>
  </property>
</Properties>
</file>