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A232D" w14:textId="77777777" w:rsidR="004A09A8" w:rsidRPr="00853334" w:rsidRDefault="004A09A8" w:rsidP="00853334">
      <w:pPr>
        <w:pStyle w:val="ABLOCKPARA"/>
        <w:jc w:val="right"/>
        <w:rPr>
          <w:b/>
          <w:sz w:val="24"/>
          <w:szCs w:val="24"/>
          <w:u w:val="single"/>
        </w:rPr>
      </w:pPr>
      <w:bookmarkStart w:id="0" w:name="_GoBack"/>
      <w:bookmarkEnd w:id="0"/>
      <w:r>
        <w:rPr>
          <w:b/>
          <w:sz w:val="24"/>
          <w:szCs w:val="24"/>
          <w:u w:val="single"/>
        </w:rPr>
        <w:t xml:space="preserve">Attachment </w:t>
      </w:r>
      <w:r w:rsidR="00396235">
        <w:rPr>
          <w:b/>
          <w:sz w:val="24"/>
          <w:szCs w:val="24"/>
          <w:u w:val="single"/>
        </w:rPr>
        <w:t>38</w:t>
      </w:r>
    </w:p>
    <w:p w14:paraId="2A742DB2" w14:textId="77777777" w:rsidR="004A09A8" w:rsidRDefault="004A09A8">
      <w:pPr>
        <w:pStyle w:val="ABLOCKPARA"/>
        <w:rPr>
          <w:b/>
          <w:sz w:val="40"/>
        </w:rPr>
      </w:pPr>
    </w:p>
    <w:p w14:paraId="4AA03CE7" w14:textId="77777777" w:rsidR="004A09A8" w:rsidRDefault="004A09A8">
      <w:pPr>
        <w:pStyle w:val="ABLOCKPARA"/>
        <w:rPr>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FA23C1" w:rsidRPr="00CC1298" w14:paraId="01239913" w14:textId="77777777" w:rsidTr="002B0784">
        <w:trPr>
          <w:trHeight w:val="1850"/>
        </w:trPr>
        <w:tc>
          <w:tcPr>
            <w:tcW w:w="9576" w:type="dxa"/>
            <w:vAlign w:val="bottom"/>
          </w:tcPr>
          <w:p w14:paraId="004D36F3" w14:textId="77777777" w:rsidR="00FA23C1" w:rsidRDefault="00FA23C1" w:rsidP="002B0784">
            <w:pPr>
              <w:spacing w:line="276" w:lineRule="auto"/>
              <w:jc w:val="center"/>
              <w:rPr>
                <w:rFonts w:ascii="Times New Roman" w:hAnsi="Times New Roman"/>
                <w:sz w:val="40"/>
                <w:szCs w:val="40"/>
              </w:rPr>
            </w:pPr>
          </w:p>
          <w:p w14:paraId="2D41BCBB" w14:textId="77777777" w:rsidR="00FA23C1" w:rsidRPr="00B234EA" w:rsidRDefault="00FA23C1" w:rsidP="00FA23C1">
            <w:pPr>
              <w:pStyle w:val="ABLOCKPARA"/>
              <w:jc w:val="center"/>
              <w:rPr>
                <w:rFonts w:ascii="Times New Roman" w:hAnsi="Times New Roman"/>
                <w:sz w:val="40"/>
              </w:rPr>
            </w:pPr>
            <w:r w:rsidRPr="00B234EA">
              <w:rPr>
                <w:rFonts w:ascii="Times New Roman" w:hAnsi="Times New Roman"/>
                <w:sz w:val="40"/>
              </w:rPr>
              <w:t>First Data Government Solutions (“First Data”)</w:t>
            </w:r>
          </w:p>
          <w:p w14:paraId="4DF20B1B" w14:textId="086E140F" w:rsidR="00FA23C1" w:rsidRPr="00B234EA" w:rsidRDefault="00FA23C1" w:rsidP="00FA23C1">
            <w:pPr>
              <w:pStyle w:val="ABLOCKPARA"/>
              <w:jc w:val="center"/>
              <w:rPr>
                <w:rFonts w:ascii="Times New Roman" w:hAnsi="Times New Roman"/>
                <w:sz w:val="40"/>
              </w:rPr>
            </w:pPr>
            <w:r w:rsidRPr="00B234EA">
              <w:rPr>
                <w:rFonts w:ascii="Times New Roman" w:hAnsi="Times New Roman"/>
                <w:sz w:val="40"/>
              </w:rPr>
              <w:t>Change Order CO-031 Rev</w:t>
            </w:r>
            <w:r w:rsidR="00880182">
              <w:rPr>
                <w:rFonts w:ascii="Times New Roman" w:hAnsi="Times New Roman"/>
                <w:sz w:val="40"/>
              </w:rPr>
              <w:t>.</w:t>
            </w:r>
            <w:r w:rsidRPr="00B234EA">
              <w:rPr>
                <w:rFonts w:ascii="Times New Roman" w:hAnsi="Times New Roman"/>
                <w:sz w:val="40"/>
              </w:rPr>
              <w:t xml:space="preserve"> </w:t>
            </w:r>
            <w:r w:rsidR="00774BB5">
              <w:rPr>
                <w:rFonts w:ascii="Times New Roman" w:hAnsi="Times New Roman"/>
                <w:sz w:val="40"/>
              </w:rPr>
              <w:t>3</w:t>
            </w:r>
          </w:p>
          <w:p w14:paraId="59A0E35F" w14:textId="77777777" w:rsidR="00FA23C1" w:rsidRPr="00B234EA" w:rsidRDefault="00FA23C1" w:rsidP="00FA23C1">
            <w:pPr>
              <w:pStyle w:val="ABLOCKPARA"/>
              <w:jc w:val="center"/>
              <w:rPr>
                <w:rFonts w:ascii="Times New Roman" w:hAnsi="Times New Roman"/>
                <w:sz w:val="40"/>
              </w:rPr>
            </w:pPr>
            <w:r w:rsidRPr="00B234EA">
              <w:rPr>
                <w:rFonts w:ascii="Times New Roman" w:hAnsi="Times New Roman"/>
                <w:sz w:val="40"/>
              </w:rPr>
              <w:t xml:space="preserve">  C-IV Migration Planning</w:t>
            </w:r>
          </w:p>
          <w:p w14:paraId="0C3FA82E" w14:textId="77777777" w:rsidR="00FA23C1" w:rsidRPr="00CC1298" w:rsidRDefault="00FA23C1" w:rsidP="002B0784">
            <w:pPr>
              <w:spacing w:line="276" w:lineRule="auto"/>
              <w:jc w:val="center"/>
              <w:rPr>
                <w:rFonts w:ascii="Times New Roman" w:hAnsi="Times New Roman"/>
                <w:sz w:val="40"/>
                <w:szCs w:val="40"/>
              </w:rPr>
            </w:pPr>
          </w:p>
        </w:tc>
      </w:tr>
      <w:tr w:rsidR="00FA23C1" w:rsidRPr="00CC1298" w14:paraId="2FBCF69A" w14:textId="77777777" w:rsidTr="002B0784">
        <w:tc>
          <w:tcPr>
            <w:tcW w:w="9576" w:type="dxa"/>
            <w:vAlign w:val="bottom"/>
          </w:tcPr>
          <w:p w14:paraId="2EFC37FB" w14:textId="736CB495" w:rsidR="00774BB5" w:rsidRPr="00774BB5" w:rsidRDefault="00774BB5" w:rsidP="00774BB5">
            <w:pPr>
              <w:spacing w:line="480" w:lineRule="auto"/>
              <w:jc w:val="center"/>
              <w:rPr>
                <w:rFonts w:ascii="Times New Roman" w:hAnsi="Times New Roman"/>
                <w:sz w:val="40"/>
                <w:szCs w:val="40"/>
              </w:rPr>
            </w:pPr>
            <w:r w:rsidRPr="00774BB5">
              <w:rPr>
                <w:rFonts w:ascii="Times New Roman" w:hAnsi="Times New Roman"/>
                <w:sz w:val="40"/>
                <w:szCs w:val="40"/>
              </w:rPr>
              <w:t>California Automated Consortium Eligibility System</w:t>
            </w:r>
          </w:p>
          <w:p w14:paraId="0DE5460C" w14:textId="0F59FA9E" w:rsidR="00FA23C1" w:rsidRPr="00CC1298" w:rsidRDefault="00774BB5" w:rsidP="00774BB5">
            <w:pPr>
              <w:spacing w:line="480" w:lineRule="auto"/>
              <w:jc w:val="center"/>
              <w:rPr>
                <w:rFonts w:ascii="Times New Roman" w:hAnsi="Times New Roman"/>
                <w:sz w:val="40"/>
                <w:szCs w:val="40"/>
              </w:rPr>
            </w:pPr>
            <w:r w:rsidRPr="00774BB5">
              <w:rPr>
                <w:rFonts w:ascii="Times New Roman" w:hAnsi="Times New Roman"/>
                <w:sz w:val="40"/>
                <w:szCs w:val="40"/>
              </w:rPr>
              <w:t>C-IV Project</w:t>
            </w:r>
          </w:p>
        </w:tc>
      </w:tr>
    </w:tbl>
    <w:p w14:paraId="7F4D4D48" w14:textId="77777777" w:rsidR="004A09A8" w:rsidRDefault="004A09A8">
      <w:pPr>
        <w:pStyle w:val="ABLOCKPARA"/>
        <w:rPr>
          <w:b/>
          <w:sz w:val="40"/>
        </w:rPr>
      </w:pPr>
    </w:p>
    <w:p w14:paraId="539AAD1B" w14:textId="77777777" w:rsidR="004A09A8" w:rsidRDefault="004A09A8">
      <w:pPr>
        <w:pStyle w:val="ABLOCKPARA"/>
        <w:rPr>
          <w:b/>
          <w:sz w:val="40"/>
        </w:rPr>
      </w:pPr>
    </w:p>
    <w:p w14:paraId="2194C9E1" w14:textId="77777777" w:rsidR="004A09A8" w:rsidRDefault="004A09A8">
      <w:pPr>
        <w:pStyle w:val="ABLOCKPARA"/>
        <w:jc w:val="center"/>
      </w:pPr>
    </w:p>
    <w:p w14:paraId="64117695" w14:textId="77777777" w:rsidR="004A09A8" w:rsidRDefault="004A09A8">
      <w:pPr>
        <w:pStyle w:val="ABLOCKPARA"/>
        <w:jc w:val="center"/>
      </w:pPr>
    </w:p>
    <w:p w14:paraId="0CFF14AA" w14:textId="77777777" w:rsidR="004A09A8" w:rsidRDefault="004A09A8">
      <w:pPr>
        <w:pStyle w:val="ABLOCKPARA"/>
        <w:jc w:val="center"/>
      </w:pPr>
    </w:p>
    <w:p w14:paraId="1B2A7AC0" w14:textId="77777777" w:rsidR="004A09A8" w:rsidRDefault="004A09A8">
      <w:pPr>
        <w:pStyle w:val="ABLOCKPARA"/>
      </w:pPr>
    </w:p>
    <w:p w14:paraId="47B3C562" w14:textId="77777777" w:rsidR="004A09A8" w:rsidRDefault="004A09A8">
      <w:pPr>
        <w:pStyle w:val="ABLOCKPARA"/>
      </w:pPr>
    </w:p>
    <w:p w14:paraId="56A80BD4" w14:textId="77777777" w:rsidR="004A09A8" w:rsidRDefault="004A09A8">
      <w:pPr>
        <w:pStyle w:val="ABLOCKPARA"/>
      </w:pPr>
    </w:p>
    <w:p w14:paraId="07DAABF2" w14:textId="77777777" w:rsidR="004A09A8" w:rsidRDefault="004A09A8">
      <w:pPr>
        <w:pStyle w:val="ABLOCKPARA"/>
      </w:pPr>
    </w:p>
    <w:p w14:paraId="6B0313EA" w14:textId="77777777" w:rsidR="004A09A8" w:rsidRDefault="004A09A8">
      <w:pPr>
        <w:pStyle w:val="ABLOCKPARA"/>
      </w:pPr>
    </w:p>
    <w:p w14:paraId="701FF044" w14:textId="77777777" w:rsidR="004A09A8" w:rsidRDefault="004A09A8">
      <w:pPr>
        <w:pStyle w:val="ABLOCKPARA"/>
        <w:ind w:left="2880" w:firstLine="720"/>
      </w:pPr>
    </w:p>
    <w:p w14:paraId="14514F13" w14:textId="77777777" w:rsidR="004A09A8" w:rsidRDefault="004A09A8">
      <w:pPr>
        <w:pStyle w:val="ABLOCKPARA"/>
        <w:ind w:left="2880" w:firstLine="720"/>
      </w:pPr>
    </w:p>
    <w:p w14:paraId="0E5354D0" w14:textId="77777777" w:rsidR="004A09A8" w:rsidRDefault="004A09A8">
      <w:pPr>
        <w:pStyle w:val="ABLOCKPARA"/>
        <w:ind w:left="2880" w:firstLine="720"/>
      </w:pPr>
    </w:p>
    <w:p w14:paraId="2DE958ED" w14:textId="7F894140" w:rsidR="004A09A8" w:rsidRDefault="004A09A8" w:rsidP="00B11C80">
      <w:pPr>
        <w:pStyle w:val="ABLOCKPARA"/>
        <w:jc w:val="center"/>
      </w:pPr>
      <w:r>
        <w:t>Submitted:</w:t>
      </w:r>
      <w:r>
        <w:tab/>
      </w:r>
      <w:r w:rsidR="00F408F6">
        <w:t>January 26, 2018</w:t>
      </w:r>
    </w:p>
    <w:p w14:paraId="6C0539C3" w14:textId="77777777" w:rsidR="004A09A8" w:rsidRDefault="004A09A8">
      <w:pPr>
        <w:pStyle w:val="ABLOCKPARA"/>
        <w:ind w:left="1440"/>
      </w:pPr>
      <w:r>
        <w:tab/>
      </w:r>
      <w:r>
        <w:tab/>
      </w:r>
      <w:r>
        <w:tab/>
      </w:r>
    </w:p>
    <w:p w14:paraId="1F85DA7D" w14:textId="77777777" w:rsidR="004A09A8" w:rsidRDefault="004A09A8" w:rsidP="00D87012">
      <w:pPr>
        <w:pStyle w:val="ABLOCKPARA"/>
      </w:pPr>
      <w:r>
        <w:br w:type="page"/>
      </w:r>
    </w:p>
    <w:p w14:paraId="6D1BAF92" w14:textId="77777777" w:rsidR="004A09A8" w:rsidRPr="00E32DB4" w:rsidRDefault="004A09A8" w:rsidP="00B234EA">
      <w:pPr>
        <w:pStyle w:val="Heading1"/>
      </w:pPr>
      <w:r w:rsidRPr="00E32DB4">
        <w:lastRenderedPageBreak/>
        <w:t xml:space="preserve">Statement of Purpose: </w:t>
      </w:r>
    </w:p>
    <w:p w14:paraId="5A2B5CCA" w14:textId="77777777" w:rsidR="004A09A8" w:rsidRDefault="004A09A8">
      <w:pPr>
        <w:widowControl w:val="0"/>
        <w:tabs>
          <w:tab w:val="left" w:pos="90"/>
        </w:tabs>
        <w:autoSpaceDE w:val="0"/>
        <w:autoSpaceDN w:val="0"/>
        <w:adjustRightInd w:val="0"/>
        <w:ind w:left="1080"/>
        <w:rPr>
          <w:b/>
          <w:bCs/>
        </w:rPr>
      </w:pPr>
    </w:p>
    <w:p w14:paraId="4C9388D3" w14:textId="33583564" w:rsidR="004A09A8" w:rsidRPr="00630AD6" w:rsidRDefault="004A09A8" w:rsidP="00FC7008">
      <w:pPr>
        <w:widowControl w:val="0"/>
        <w:tabs>
          <w:tab w:val="left" w:pos="90"/>
        </w:tabs>
        <w:autoSpaceDE w:val="0"/>
        <w:autoSpaceDN w:val="0"/>
        <w:adjustRightInd w:val="0"/>
        <w:ind w:left="684"/>
        <w:rPr>
          <w:bCs/>
        </w:rPr>
      </w:pPr>
      <w:r w:rsidRPr="00630AD6">
        <w:rPr>
          <w:bCs/>
        </w:rPr>
        <w:t xml:space="preserve">This Change Order </w:t>
      </w:r>
      <w:r w:rsidR="00396235">
        <w:rPr>
          <w:bCs/>
        </w:rPr>
        <w:t>CO-031</w:t>
      </w:r>
      <w:r w:rsidR="000F484F">
        <w:rPr>
          <w:bCs/>
        </w:rPr>
        <w:t xml:space="preserve"> Rev</w:t>
      </w:r>
      <w:r w:rsidR="00FA23C1">
        <w:rPr>
          <w:bCs/>
        </w:rPr>
        <w:t xml:space="preserve"> </w:t>
      </w:r>
      <w:r w:rsidR="00D970AB">
        <w:rPr>
          <w:bCs/>
        </w:rPr>
        <w:t xml:space="preserve">3 </w:t>
      </w:r>
      <w:r>
        <w:rPr>
          <w:bCs/>
        </w:rPr>
        <w:t>(</w:t>
      </w:r>
      <w:r w:rsidR="002823C0">
        <w:rPr>
          <w:bCs/>
        </w:rPr>
        <w:t>the “</w:t>
      </w:r>
      <w:r w:rsidRPr="00630AD6">
        <w:rPr>
          <w:bCs/>
        </w:rPr>
        <w:t>Change Order</w:t>
      </w:r>
      <w:r w:rsidR="002823C0">
        <w:rPr>
          <w:bCs/>
        </w:rPr>
        <w:t>”</w:t>
      </w:r>
      <w:r>
        <w:rPr>
          <w:bCs/>
        </w:rPr>
        <w:t>) is related to the Agreement (</w:t>
      </w:r>
      <w:r w:rsidR="002823C0">
        <w:rPr>
          <w:bCs/>
        </w:rPr>
        <w:t>the “</w:t>
      </w:r>
      <w:r w:rsidRPr="00630AD6">
        <w:rPr>
          <w:bCs/>
        </w:rPr>
        <w:t>Agreement</w:t>
      </w:r>
      <w:r w:rsidR="002823C0">
        <w:rPr>
          <w:bCs/>
        </w:rPr>
        <w:t>”</w:t>
      </w:r>
      <w:r w:rsidRPr="00630AD6">
        <w:rPr>
          <w:bCs/>
        </w:rPr>
        <w:t xml:space="preserve">), dated as of October 29, 2007, as amended, by and between the </w:t>
      </w:r>
      <w:r w:rsidR="00B234EA">
        <w:rPr>
          <w:bCs/>
        </w:rPr>
        <w:t xml:space="preserve">California </w:t>
      </w:r>
      <w:r w:rsidRPr="00630AD6">
        <w:rPr>
          <w:bCs/>
        </w:rPr>
        <w:t xml:space="preserve">Automated Consortium </w:t>
      </w:r>
      <w:r w:rsidR="0013016B">
        <w:rPr>
          <w:bCs/>
        </w:rPr>
        <w:t>Eligibility System</w:t>
      </w:r>
      <w:r>
        <w:rPr>
          <w:bCs/>
        </w:rPr>
        <w:t xml:space="preserve"> (</w:t>
      </w:r>
      <w:r w:rsidR="002823C0">
        <w:rPr>
          <w:bCs/>
        </w:rPr>
        <w:t>“</w:t>
      </w:r>
      <w:r w:rsidRPr="00630AD6">
        <w:rPr>
          <w:bCs/>
        </w:rPr>
        <w:t>Consortium</w:t>
      </w:r>
      <w:r w:rsidR="002823C0">
        <w:rPr>
          <w:bCs/>
        </w:rPr>
        <w:t>”</w:t>
      </w:r>
      <w:r w:rsidRPr="00630AD6">
        <w:rPr>
          <w:bCs/>
        </w:rPr>
        <w:t>) and First Data Government Solutions, LP ("First Data").  Unless the context indicates otherwise, all capitalized terms that are used, but not defined, in this Change Order, shall have the meaning assigned to such terms in the Agreement.</w:t>
      </w:r>
      <w:r w:rsidR="00952BCD">
        <w:rPr>
          <w:bCs/>
        </w:rPr>
        <w:t xml:space="preserve">  </w:t>
      </w:r>
      <w:r w:rsidR="000F484F" w:rsidRPr="000F484F">
        <w:rPr>
          <w:bCs/>
        </w:rPr>
        <w:t>This Change Order revises CO-</w:t>
      </w:r>
      <w:r w:rsidR="000F484F">
        <w:rPr>
          <w:bCs/>
        </w:rPr>
        <w:t>031</w:t>
      </w:r>
      <w:r w:rsidR="004830D0">
        <w:rPr>
          <w:bCs/>
        </w:rPr>
        <w:t xml:space="preserve"> Rev. </w:t>
      </w:r>
      <w:r w:rsidR="00774BB5">
        <w:rPr>
          <w:bCs/>
        </w:rPr>
        <w:t>2</w:t>
      </w:r>
      <w:r w:rsidR="00774BB5" w:rsidRPr="000F484F">
        <w:rPr>
          <w:bCs/>
        </w:rPr>
        <w:t xml:space="preserve"> </w:t>
      </w:r>
      <w:r w:rsidR="000F484F" w:rsidRPr="000F484F">
        <w:rPr>
          <w:bCs/>
        </w:rPr>
        <w:t xml:space="preserve">approved on </w:t>
      </w:r>
      <w:r w:rsidR="00774BB5">
        <w:rPr>
          <w:bCs/>
        </w:rPr>
        <w:t>May 31, 2017</w:t>
      </w:r>
      <w:r w:rsidR="000F484F" w:rsidRPr="000F484F">
        <w:rPr>
          <w:bCs/>
        </w:rPr>
        <w:t>.</w:t>
      </w:r>
    </w:p>
    <w:p w14:paraId="52F4DF84" w14:textId="77777777" w:rsidR="004A09A8" w:rsidRPr="002D15BB" w:rsidRDefault="004A09A8" w:rsidP="008A0525">
      <w:pPr>
        <w:ind w:left="720"/>
        <w:jc w:val="both"/>
        <w:rPr>
          <w:sz w:val="18"/>
        </w:rPr>
      </w:pPr>
    </w:p>
    <w:p w14:paraId="172FB521" w14:textId="01728B43" w:rsidR="00C2550E" w:rsidRDefault="00221686" w:rsidP="008F36DB">
      <w:pPr>
        <w:ind w:left="720"/>
      </w:pPr>
      <w:r w:rsidRPr="00247BF3">
        <w:t>In compliance with the</w:t>
      </w:r>
      <w:r w:rsidR="00AB20B6" w:rsidRPr="00247BF3">
        <w:t xml:space="preserve"> State’s strategy to consolidate eligibility systems </w:t>
      </w:r>
      <w:r w:rsidR="00392EA5" w:rsidRPr="00247BF3">
        <w:t>and</w:t>
      </w:r>
      <w:r w:rsidRPr="00247BF3">
        <w:t xml:space="preserve"> </w:t>
      </w:r>
      <w:r w:rsidR="003A6A80">
        <w:t xml:space="preserve">Assembly Bill number </w:t>
      </w:r>
      <w:r w:rsidR="00247BF3" w:rsidRPr="0099206F">
        <w:t>ABX1</w:t>
      </w:r>
      <w:r w:rsidR="001E76E9" w:rsidRPr="0099206F">
        <w:t xml:space="preserve"> 16</w:t>
      </w:r>
      <w:r w:rsidR="006740CF">
        <w:t xml:space="preserve">, </w:t>
      </w:r>
      <w:r w:rsidR="00A10258">
        <w:t>to</w:t>
      </w:r>
      <w:r w:rsidR="00302853">
        <w:t xml:space="preserve"> consolidate the SAWS from three systems to two, </w:t>
      </w:r>
      <w:r w:rsidR="00A10258">
        <w:t xml:space="preserve">the Consortium, previously known as </w:t>
      </w:r>
      <w:r w:rsidR="00E73584" w:rsidRPr="00434B09">
        <w:t>C-IV</w:t>
      </w:r>
      <w:r w:rsidR="00A10258">
        <w:t>,</w:t>
      </w:r>
      <w:r w:rsidR="00E73584" w:rsidRPr="00434B09">
        <w:t xml:space="preserve"> </w:t>
      </w:r>
      <w:r w:rsidR="00A10258">
        <w:t>w</w:t>
      </w:r>
      <w:r w:rsidR="00B859BF">
        <w:t xml:space="preserve">as </w:t>
      </w:r>
      <w:r w:rsidR="003A23AD">
        <w:t>involved in the</w:t>
      </w:r>
      <w:r w:rsidR="00E73584" w:rsidRPr="00434B09">
        <w:t xml:space="preserve"> </w:t>
      </w:r>
      <w:r w:rsidR="003A23AD">
        <w:t>joint</w:t>
      </w:r>
      <w:r w:rsidR="00E73584" w:rsidRPr="00434B09">
        <w:t xml:space="preserve"> </w:t>
      </w:r>
      <w:r w:rsidR="003A23AD">
        <w:t>d</w:t>
      </w:r>
      <w:r w:rsidR="00E73584" w:rsidRPr="00434B09">
        <w:t xml:space="preserve">evelopment of the Los Angeles Eligibility Automated Determination Evaluation and Reporting </w:t>
      </w:r>
      <w:r w:rsidR="00E73584">
        <w:t>(</w:t>
      </w:r>
      <w:r w:rsidR="008C0FB7">
        <w:t>“</w:t>
      </w:r>
      <w:r w:rsidR="00E73584">
        <w:t>LEADER</w:t>
      </w:r>
      <w:r w:rsidR="008C0FB7">
        <w:t>”</w:t>
      </w:r>
      <w:r w:rsidR="00E73584">
        <w:t xml:space="preserve">) </w:t>
      </w:r>
      <w:r w:rsidR="00E73584" w:rsidRPr="00434B09">
        <w:t>Replacement System (</w:t>
      </w:r>
      <w:r w:rsidR="008C0FB7">
        <w:t>“</w:t>
      </w:r>
      <w:r w:rsidR="00E73584" w:rsidRPr="00434B09">
        <w:t>LRS</w:t>
      </w:r>
      <w:r w:rsidR="008C0FB7">
        <w:t>”</w:t>
      </w:r>
      <w:r w:rsidR="00E73584" w:rsidRPr="00434B09">
        <w:t xml:space="preserve">) </w:t>
      </w:r>
      <w:r w:rsidR="008F59DE">
        <w:t>since</w:t>
      </w:r>
      <w:r w:rsidR="00E73584" w:rsidRPr="00434B09">
        <w:t xml:space="preserve"> January 2013</w:t>
      </w:r>
      <w:r w:rsidR="00E73584">
        <w:t xml:space="preserve"> and implemented an upgrade </w:t>
      </w:r>
      <w:r w:rsidR="003A23AD">
        <w:t>in</w:t>
      </w:r>
      <w:r w:rsidR="00E73584">
        <w:t xml:space="preserve"> the C-IV architecture to align with </w:t>
      </w:r>
      <w:r w:rsidR="003A23AD">
        <w:t>the LRS architecture</w:t>
      </w:r>
      <w:r w:rsidR="00E73584">
        <w:t xml:space="preserve"> in September 2014. </w:t>
      </w:r>
      <w:r w:rsidR="00B859BF">
        <w:t xml:space="preserve">In addition, </w:t>
      </w:r>
      <w:r w:rsidR="00A10258">
        <w:t xml:space="preserve">the Consortium began </w:t>
      </w:r>
      <w:r w:rsidR="00EB7766">
        <w:t xml:space="preserve">conducting </w:t>
      </w:r>
      <w:r w:rsidR="00B859BF">
        <w:t>migration</w:t>
      </w:r>
      <w:r w:rsidR="00EB7766">
        <w:t xml:space="preserve"> planning activities beginning in early Fiscal Year (“FY”) 2015/2016</w:t>
      </w:r>
      <w:r w:rsidR="008C0FB7">
        <w:t>,</w:t>
      </w:r>
      <w:r w:rsidR="00302853" w:rsidRPr="00244D9D">
        <w:t xml:space="preserve"> </w:t>
      </w:r>
      <w:r w:rsidR="008C0FB7">
        <w:t>which include</w:t>
      </w:r>
      <w:r w:rsidR="00A10258">
        <w:t>d</w:t>
      </w:r>
      <w:r w:rsidR="008C0FB7">
        <w:t xml:space="preserve"> </w:t>
      </w:r>
      <w:r w:rsidR="00302853" w:rsidRPr="00244D9D">
        <w:t xml:space="preserve">development of the Migration </w:t>
      </w:r>
      <w:r w:rsidR="00731E08">
        <w:t>Development and Implementation (“</w:t>
      </w:r>
      <w:r w:rsidR="00302853" w:rsidRPr="00244D9D">
        <w:t>D&amp;I</w:t>
      </w:r>
      <w:r w:rsidR="00731E08">
        <w:t xml:space="preserve">”) </w:t>
      </w:r>
      <w:r w:rsidR="00302853" w:rsidRPr="00244D9D">
        <w:t>requirements</w:t>
      </w:r>
      <w:r w:rsidR="00302853" w:rsidRPr="00302853">
        <w:t>, Statement of Work (</w:t>
      </w:r>
      <w:r w:rsidR="008C0FB7">
        <w:t>“</w:t>
      </w:r>
      <w:r w:rsidR="00302853" w:rsidRPr="00302853">
        <w:t>SOW</w:t>
      </w:r>
      <w:r w:rsidR="008C0FB7">
        <w:t>”</w:t>
      </w:r>
      <w:r w:rsidR="00302853" w:rsidRPr="00302853">
        <w:t xml:space="preserve">), contract amendment, </w:t>
      </w:r>
      <w:r w:rsidR="00731E08" w:rsidRPr="00731E08">
        <w:t xml:space="preserve">Implementation Advance Planning Document (“IAPD”) </w:t>
      </w:r>
      <w:r w:rsidR="00302853" w:rsidRPr="00302853">
        <w:t xml:space="preserve">and </w:t>
      </w:r>
      <w:r w:rsidR="00565097">
        <w:t xml:space="preserve">the </w:t>
      </w:r>
      <w:r w:rsidR="00302853" w:rsidRPr="00302853">
        <w:t xml:space="preserve">subsequent </w:t>
      </w:r>
      <w:r w:rsidR="00731E08" w:rsidRPr="00731E08">
        <w:t>Implementation Advance Pla</w:t>
      </w:r>
      <w:r w:rsidR="005444C3">
        <w:t>nning Document Update (“IAPDU”)</w:t>
      </w:r>
      <w:r w:rsidR="00302853" w:rsidRPr="00302853">
        <w:t>.</w:t>
      </w:r>
      <w:r w:rsidR="00302853" w:rsidRPr="00244D9D">
        <w:t xml:space="preserve"> </w:t>
      </w:r>
      <w:r w:rsidR="002D1DE8">
        <w:t xml:space="preserve"> </w:t>
      </w:r>
    </w:p>
    <w:p w14:paraId="1C44753A" w14:textId="77777777" w:rsidR="000F484F" w:rsidRDefault="000F484F" w:rsidP="008F36DB">
      <w:pPr>
        <w:ind w:left="720"/>
      </w:pPr>
    </w:p>
    <w:p w14:paraId="0951FB6E" w14:textId="77777777" w:rsidR="000F484F" w:rsidRDefault="000F484F" w:rsidP="008F36DB">
      <w:pPr>
        <w:ind w:left="720"/>
        <w:rPr>
          <w:bCs/>
        </w:rPr>
      </w:pPr>
      <w:r w:rsidRPr="001647D6">
        <w:rPr>
          <w:b/>
          <w:bCs/>
        </w:rPr>
        <w:t>Revision 1</w:t>
      </w:r>
      <w:r>
        <w:rPr>
          <w:bCs/>
        </w:rPr>
        <w:t xml:space="preserve">. The Consortium has requested that First Data provide additional </w:t>
      </w:r>
      <w:r w:rsidR="00D70779">
        <w:rPr>
          <w:bCs/>
        </w:rPr>
        <w:t xml:space="preserve">Project Management Office (“PMO”) and fiscal </w:t>
      </w:r>
      <w:r>
        <w:rPr>
          <w:bCs/>
        </w:rPr>
        <w:t xml:space="preserve">services to support </w:t>
      </w:r>
      <w:r w:rsidR="00D70779">
        <w:rPr>
          <w:bCs/>
        </w:rPr>
        <w:t>migration planning.</w:t>
      </w:r>
    </w:p>
    <w:p w14:paraId="292757C5" w14:textId="77777777" w:rsidR="00FA23C1" w:rsidRDefault="00FA23C1" w:rsidP="008F36DB">
      <w:pPr>
        <w:ind w:left="720"/>
      </w:pPr>
    </w:p>
    <w:p w14:paraId="655EEBDE" w14:textId="70BEA96A" w:rsidR="00FA23C1" w:rsidRDefault="00FA23C1" w:rsidP="00FA23C1">
      <w:pPr>
        <w:ind w:left="720"/>
      </w:pPr>
      <w:r w:rsidRPr="001647D6">
        <w:rPr>
          <w:b/>
          <w:bCs/>
        </w:rPr>
        <w:t xml:space="preserve">Revision </w:t>
      </w:r>
      <w:r>
        <w:rPr>
          <w:b/>
          <w:bCs/>
        </w:rPr>
        <w:t>2</w:t>
      </w:r>
      <w:r>
        <w:rPr>
          <w:bCs/>
        </w:rPr>
        <w:t xml:space="preserve">. </w:t>
      </w:r>
      <w:r w:rsidR="00826700">
        <w:rPr>
          <w:bCs/>
        </w:rPr>
        <w:t xml:space="preserve">Adjustments are needed to the costs associated with the </w:t>
      </w:r>
      <w:r>
        <w:rPr>
          <w:bCs/>
        </w:rPr>
        <w:t xml:space="preserve">First Data </w:t>
      </w:r>
      <w:r w:rsidR="00826700">
        <w:rPr>
          <w:bCs/>
        </w:rPr>
        <w:t xml:space="preserve">Team due to extension of the support of </w:t>
      </w:r>
      <w:r w:rsidR="000B5047">
        <w:rPr>
          <w:bCs/>
        </w:rPr>
        <w:t>m</w:t>
      </w:r>
      <w:r w:rsidR="000B5047" w:rsidRPr="005C1662">
        <w:rPr>
          <w:bCs/>
        </w:rPr>
        <w:t xml:space="preserve">igration </w:t>
      </w:r>
      <w:r w:rsidR="000B5047">
        <w:rPr>
          <w:bCs/>
        </w:rPr>
        <w:t>p</w:t>
      </w:r>
      <w:r w:rsidR="000B5047" w:rsidRPr="005C1662">
        <w:rPr>
          <w:bCs/>
        </w:rPr>
        <w:t xml:space="preserve">lanning </w:t>
      </w:r>
      <w:r w:rsidR="005C1662">
        <w:rPr>
          <w:bCs/>
        </w:rPr>
        <w:t>through December 31, 2017</w:t>
      </w:r>
      <w:r>
        <w:rPr>
          <w:bCs/>
        </w:rPr>
        <w:t>.</w:t>
      </w:r>
    </w:p>
    <w:p w14:paraId="5681B1BE" w14:textId="77777777" w:rsidR="00F16A74" w:rsidRDefault="00F16A74" w:rsidP="008F36DB">
      <w:pPr>
        <w:ind w:left="720"/>
      </w:pPr>
    </w:p>
    <w:p w14:paraId="748229CB" w14:textId="6B75E3A3" w:rsidR="00CF2302" w:rsidRDefault="00774BB5" w:rsidP="00774BB5">
      <w:pPr>
        <w:ind w:left="720"/>
        <w:rPr>
          <w:bCs/>
        </w:rPr>
      </w:pPr>
      <w:r w:rsidRPr="001647D6">
        <w:rPr>
          <w:b/>
          <w:bCs/>
        </w:rPr>
        <w:t xml:space="preserve">Revision </w:t>
      </w:r>
      <w:r>
        <w:rPr>
          <w:b/>
          <w:bCs/>
        </w:rPr>
        <w:t>3</w:t>
      </w:r>
      <w:r>
        <w:rPr>
          <w:bCs/>
        </w:rPr>
        <w:t xml:space="preserve">. </w:t>
      </w:r>
      <w:r w:rsidR="00CF2302">
        <w:rPr>
          <w:bCs/>
        </w:rPr>
        <w:t xml:space="preserve">The </w:t>
      </w:r>
      <w:r w:rsidR="00CF2302" w:rsidRPr="00CF2302">
        <w:rPr>
          <w:bCs/>
        </w:rPr>
        <w:t>CalACES migration planning</w:t>
      </w:r>
      <w:r w:rsidR="00CF2302">
        <w:rPr>
          <w:bCs/>
        </w:rPr>
        <w:t xml:space="preserve"> </w:t>
      </w:r>
      <w:r w:rsidR="007665CC">
        <w:rPr>
          <w:bCs/>
        </w:rPr>
        <w:t>as well as</w:t>
      </w:r>
      <w:r w:rsidR="00CF2302">
        <w:rPr>
          <w:bCs/>
        </w:rPr>
        <w:t xml:space="preserve"> </w:t>
      </w:r>
      <w:r w:rsidR="00CF2302" w:rsidRPr="00CF2302">
        <w:rPr>
          <w:bCs/>
        </w:rPr>
        <w:t>unified design and development activities</w:t>
      </w:r>
      <w:r w:rsidR="00CF2302">
        <w:rPr>
          <w:bCs/>
        </w:rPr>
        <w:t xml:space="preserve"> have been</w:t>
      </w:r>
      <w:r w:rsidR="00CF2302" w:rsidRPr="00CF2302">
        <w:rPr>
          <w:bCs/>
        </w:rPr>
        <w:t xml:space="preserve"> </w:t>
      </w:r>
      <w:r w:rsidR="00CF2302">
        <w:rPr>
          <w:bCs/>
        </w:rPr>
        <w:t>extended</w:t>
      </w:r>
      <w:r w:rsidR="00CF2302" w:rsidRPr="00CF2302">
        <w:rPr>
          <w:bCs/>
        </w:rPr>
        <w:t xml:space="preserve"> </w:t>
      </w:r>
      <w:r w:rsidR="00CF2302">
        <w:rPr>
          <w:bCs/>
        </w:rPr>
        <w:t xml:space="preserve">through September 2018, including a </w:t>
      </w:r>
      <w:r w:rsidR="00CF2302" w:rsidRPr="005820FF">
        <w:rPr>
          <w:bCs/>
        </w:rPr>
        <w:t>three-month schedule contingency period</w:t>
      </w:r>
      <w:r w:rsidR="00CF2302">
        <w:rPr>
          <w:bCs/>
        </w:rPr>
        <w:t xml:space="preserve"> from July – September 2018.  As a result, the</w:t>
      </w:r>
      <w:r w:rsidR="00CF2302" w:rsidRPr="000B5047">
        <w:rPr>
          <w:bCs/>
        </w:rPr>
        <w:t xml:space="preserve"> Consortium has requested that First Data </w:t>
      </w:r>
      <w:r w:rsidR="00CF2302">
        <w:rPr>
          <w:bCs/>
        </w:rPr>
        <w:t>extend related services.  This Change Order consolidates the extension of migration planning and joint</w:t>
      </w:r>
      <w:r w:rsidR="00CF2302" w:rsidRPr="00CF2302">
        <w:rPr>
          <w:bCs/>
        </w:rPr>
        <w:t xml:space="preserve"> development</w:t>
      </w:r>
      <w:r w:rsidR="00CF2302">
        <w:rPr>
          <w:bCs/>
        </w:rPr>
        <w:t xml:space="preserve"> positions beginning January 2018, including those positions that were previously funded via </w:t>
      </w:r>
      <w:r w:rsidR="00CF2302" w:rsidRPr="00871126">
        <w:rPr>
          <w:bCs/>
        </w:rPr>
        <w:t>CO-020 Rev 2, C-IV Modernization and CO-015 Rev 4, LRS Joint Development</w:t>
      </w:r>
      <w:r w:rsidR="00CF2302">
        <w:rPr>
          <w:bCs/>
        </w:rPr>
        <w:t xml:space="preserve"> through December 31, 2017.  </w:t>
      </w:r>
    </w:p>
    <w:p w14:paraId="48C68A56" w14:textId="77777777" w:rsidR="00CF2302" w:rsidRDefault="00CF2302" w:rsidP="00774BB5">
      <w:pPr>
        <w:ind w:left="720"/>
        <w:rPr>
          <w:bCs/>
        </w:rPr>
      </w:pPr>
    </w:p>
    <w:p w14:paraId="488C984B" w14:textId="26FEDFF6" w:rsidR="00F16A74" w:rsidRDefault="004A09A8" w:rsidP="00522AB7">
      <w:pPr>
        <w:ind w:left="720"/>
        <w:jc w:val="both"/>
        <w:rPr>
          <w:bCs/>
        </w:rPr>
      </w:pPr>
      <w:r w:rsidRPr="003952EE">
        <w:t>This</w:t>
      </w:r>
      <w:r w:rsidRPr="0098527D">
        <w:t xml:space="preserve"> Change Order outlines the staffing requirements, costs, and timeline for </w:t>
      </w:r>
      <w:r>
        <w:t>First Data</w:t>
      </w:r>
      <w:r w:rsidRPr="0098527D">
        <w:t xml:space="preserve"> to perform </w:t>
      </w:r>
      <w:r>
        <w:t>Quality Assurance (</w:t>
      </w:r>
      <w:r w:rsidR="002823C0">
        <w:t>“</w:t>
      </w:r>
      <w:r>
        <w:t>QA</w:t>
      </w:r>
      <w:r w:rsidR="002823C0">
        <w:t>”</w:t>
      </w:r>
      <w:r>
        <w:t xml:space="preserve">) Services associated with </w:t>
      </w:r>
      <w:r w:rsidR="00A10258">
        <w:t>the Consortium’s</w:t>
      </w:r>
      <w:r w:rsidR="003952EE">
        <w:t xml:space="preserve"> </w:t>
      </w:r>
      <w:r w:rsidR="00EB7766">
        <w:t>m</w:t>
      </w:r>
      <w:r w:rsidR="003952EE">
        <w:t xml:space="preserve">igration </w:t>
      </w:r>
      <w:r w:rsidR="00EB7766">
        <w:t>p</w:t>
      </w:r>
      <w:r w:rsidR="003952EE">
        <w:t>lanning</w:t>
      </w:r>
      <w:r w:rsidR="00FD0A04">
        <w:t>.</w:t>
      </w:r>
      <w:r w:rsidR="00480725">
        <w:t xml:space="preserve"> </w:t>
      </w:r>
      <w:r w:rsidR="003F1282">
        <w:t xml:space="preserve"> </w:t>
      </w:r>
      <w:r w:rsidR="00DD6022" w:rsidRPr="00DD6022">
        <w:rPr>
          <w:bCs/>
        </w:rPr>
        <w:t xml:space="preserve">These additional Services will consist of </w:t>
      </w:r>
      <w:r w:rsidR="0054052D">
        <w:rPr>
          <w:bCs/>
        </w:rPr>
        <w:t xml:space="preserve">support as well as </w:t>
      </w:r>
      <w:r w:rsidR="00DD6022" w:rsidRPr="00DD6022">
        <w:rPr>
          <w:bCs/>
        </w:rPr>
        <w:t xml:space="preserve">review and assessment associated with the </w:t>
      </w:r>
      <w:r w:rsidR="00DD6022">
        <w:rPr>
          <w:bCs/>
        </w:rPr>
        <w:t>Consortium activities</w:t>
      </w:r>
      <w:r w:rsidR="0054052D">
        <w:rPr>
          <w:bCs/>
        </w:rPr>
        <w:t xml:space="preserve"> </w:t>
      </w:r>
      <w:r w:rsidR="00DD6022" w:rsidRPr="00DD6022">
        <w:rPr>
          <w:bCs/>
        </w:rPr>
        <w:t>listed in the table below.</w:t>
      </w:r>
    </w:p>
    <w:p w14:paraId="0E9CD6D4" w14:textId="649C666A" w:rsidR="003C1A0A" w:rsidRDefault="003C1A0A" w:rsidP="00522AB7">
      <w:pPr>
        <w:ind w:left="720"/>
        <w:jc w:val="both"/>
        <w:rPr>
          <w:bCs/>
        </w:rPr>
      </w:pPr>
    </w:p>
    <w:p w14:paraId="5F11D549" w14:textId="59751BD9" w:rsidR="003C1A0A" w:rsidRDefault="003C1A0A" w:rsidP="00522AB7">
      <w:pPr>
        <w:ind w:left="720"/>
        <w:jc w:val="both"/>
        <w:rPr>
          <w:bCs/>
        </w:rPr>
      </w:pPr>
    </w:p>
    <w:p w14:paraId="167247CF" w14:textId="78712BC1" w:rsidR="003C1A0A" w:rsidRDefault="003C1A0A" w:rsidP="00522AB7">
      <w:pPr>
        <w:ind w:left="720"/>
        <w:jc w:val="both"/>
        <w:rPr>
          <w:bCs/>
        </w:rPr>
      </w:pPr>
    </w:p>
    <w:p w14:paraId="28A88613" w14:textId="67105258" w:rsidR="00316FEA" w:rsidRDefault="00316FEA" w:rsidP="00522AB7">
      <w:pPr>
        <w:ind w:left="720"/>
        <w:jc w:val="both"/>
        <w:rPr>
          <w:bCs/>
        </w:rPr>
      </w:pPr>
    </w:p>
    <w:p w14:paraId="7833F72C" w14:textId="008154D1" w:rsidR="00316FEA" w:rsidRDefault="00316FEA" w:rsidP="00522AB7">
      <w:pPr>
        <w:ind w:left="720"/>
        <w:jc w:val="both"/>
        <w:rPr>
          <w:bCs/>
        </w:rPr>
      </w:pPr>
    </w:p>
    <w:p w14:paraId="7C9F88A6" w14:textId="7F879B2A" w:rsidR="00316FEA" w:rsidRDefault="00316FEA" w:rsidP="00522AB7">
      <w:pPr>
        <w:ind w:left="720"/>
        <w:jc w:val="both"/>
        <w:rPr>
          <w:bCs/>
        </w:rPr>
      </w:pPr>
    </w:p>
    <w:p w14:paraId="10588FC0" w14:textId="2E69A3C6" w:rsidR="00316FEA" w:rsidRDefault="00316FEA" w:rsidP="00522AB7">
      <w:pPr>
        <w:ind w:left="720"/>
        <w:jc w:val="both"/>
        <w:rPr>
          <w:bCs/>
        </w:rPr>
      </w:pPr>
    </w:p>
    <w:p w14:paraId="25BCBAE6" w14:textId="34EBA935" w:rsidR="00316FEA" w:rsidRDefault="00316FEA" w:rsidP="00522AB7">
      <w:pPr>
        <w:ind w:left="720"/>
        <w:jc w:val="both"/>
        <w:rPr>
          <w:bCs/>
        </w:rPr>
      </w:pPr>
    </w:p>
    <w:p w14:paraId="4FC72DEB" w14:textId="77777777" w:rsidR="00316FEA" w:rsidRDefault="00316FEA" w:rsidP="00522AB7">
      <w:pPr>
        <w:ind w:left="720"/>
        <w:jc w:val="both"/>
        <w:rPr>
          <w:bCs/>
        </w:rPr>
      </w:pPr>
    </w:p>
    <w:p w14:paraId="0738E14E" w14:textId="77777777" w:rsidR="003C1A0A" w:rsidRDefault="003C1A0A" w:rsidP="00522AB7">
      <w:pPr>
        <w:ind w:left="720"/>
        <w:jc w:val="both"/>
        <w:rPr>
          <w:bCs/>
        </w:rPr>
      </w:pPr>
    </w:p>
    <w:p w14:paraId="54BB6005" w14:textId="77777777" w:rsidR="00F16A74" w:rsidRDefault="00F16A74" w:rsidP="00522AB7">
      <w:pPr>
        <w:ind w:left="720"/>
        <w:jc w:val="both"/>
        <w:rPr>
          <w:bCs/>
        </w:rPr>
      </w:pPr>
    </w:p>
    <w:tbl>
      <w:tblPr>
        <w:tblW w:w="9450" w:type="dxa"/>
        <w:tblInd w:w="738" w:type="dxa"/>
        <w:tblLayout w:type="fixed"/>
        <w:tblLook w:val="04A0" w:firstRow="1" w:lastRow="0" w:firstColumn="1" w:lastColumn="0" w:noHBand="0" w:noVBand="1"/>
      </w:tblPr>
      <w:tblGrid>
        <w:gridCol w:w="4770"/>
        <w:gridCol w:w="4680"/>
      </w:tblGrid>
      <w:tr w:rsidR="002D1DE8" w:rsidRPr="002D1DE8" w14:paraId="741FC4DA" w14:textId="77777777" w:rsidTr="004A4DF5">
        <w:trPr>
          <w:cantSplit/>
          <w:trHeight w:val="300"/>
          <w:tblHeader/>
        </w:trPr>
        <w:tc>
          <w:tcPr>
            <w:tcW w:w="4770" w:type="dxa"/>
            <w:tcBorders>
              <w:top w:val="single" w:sz="4" w:space="0" w:color="auto"/>
              <w:left w:val="single" w:sz="4" w:space="0" w:color="auto"/>
              <w:bottom w:val="single" w:sz="4" w:space="0" w:color="auto"/>
              <w:right w:val="single" w:sz="4" w:space="0" w:color="auto"/>
            </w:tcBorders>
            <w:shd w:val="clear" w:color="000000" w:fill="1F497D"/>
            <w:noWrap/>
            <w:vAlign w:val="bottom"/>
            <w:hideMark/>
          </w:tcPr>
          <w:p w14:paraId="335F7370" w14:textId="77777777" w:rsidR="002D1DE8" w:rsidRPr="002D1DE8" w:rsidRDefault="002D1DE8" w:rsidP="002B0784">
            <w:pPr>
              <w:rPr>
                <w:b/>
                <w:bCs/>
                <w:color w:val="FFFFFF"/>
                <w:szCs w:val="22"/>
              </w:rPr>
            </w:pPr>
            <w:r w:rsidRPr="002D1DE8">
              <w:rPr>
                <w:b/>
                <w:bCs/>
                <w:color w:val="FFFFFF"/>
                <w:szCs w:val="22"/>
              </w:rPr>
              <w:t>Consortium Activities</w:t>
            </w:r>
          </w:p>
        </w:tc>
        <w:tc>
          <w:tcPr>
            <w:tcW w:w="4680" w:type="dxa"/>
            <w:tcBorders>
              <w:top w:val="single" w:sz="4" w:space="0" w:color="auto"/>
              <w:left w:val="nil"/>
              <w:bottom w:val="single" w:sz="4" w:space="0" w:color="auto"/>
              <w:right w:val="single" w:sz="4" w:space="0" w:color="auto"/>
            </w:tcBorders>
            <w:shd w:val="clear" w:color="000000" w:fill="1F497D"/>
            <w:noWrap/>
            <w:vAlign w:val="bottom"/>
            <w:hideMark/>
          </w:tcPr>
          <w:p w14:paraId="6FDC5E6F" w14:textId="77777777" w:rsidR="002D1DE8" w:rsidRPr="002D1DE8" w:rsidRDefault="002D1DE8" w:rsidP="002B0784">
            <w:pPr>
              <w:rPr>
                <w:b/>
                <w:bCs/>
                <w:color w:val="FFFFFF"/>
                <w:szCs w:val="22"/>
              </w:rPr>
            </w:pPr>
            <w:r w:rsidRPr="002D1DE8">
              <w:rPr>
                <w:b/>
                <w:bCs/>
                <w:color w:val="FFFFFF"/>
                <w:szCs w:val="22"/>
              </w:rPr>
              <w:t>QA Services</w:t>
            </w:r>
          </w:p>
        </w:tc>
      </w:tr>
      <w:tr w:rsidR="002D1DE8" w:rsidRPr="002D1DE8" w14:paraId="4AD16ED4" w14:textId="77777777" w:rsidTr="004A4DF5">
        <w:trPr>
          <w:cantSplit/>
          <w:trHeight w:val="318"/>
        </w:trPr>
        <w:tc>
          <w:tcPr>
            <w:tcW w:w="4770" w:type="dxa"/>
            <w:tcBorders>
              <w:top w:val="nil"/>
              <w:left w:val="single" w:sz="4" w:space="0" w:color="auto"/>
              <w:bottom w:val="single" w:sz="4" w:space="0" w:color="auto"/>
              <w:right w:val="single" w:sz="4" w:space="0" w:color="auto"/>
            </w:tcBorders>
            <w:shd w:val="clear" w:color="auto" w:fill="auto"/>
            <w:hideMark/>
          </w:tcPr>
          <w:p w14:paraId="01CFDB35" w14:textId="77777777" w:rsidR="002D1DE8" w:rsidRPr="002D1DE8" w:rsidRDefault="002D1DE8" w:rsidP="002B0784">
            <w:pPr>
              <w:rPr>
                <w:color w:val="000000"/>
                <w:szCs w:val="22"/>
              </w:rPr>
            </w:pPr>
            <w:r w:rsidRPr="002D1DE8">
              <w:rPr>
                <w:color w:val="000000"/>
                <w:szCs w:val="22"/>
              </w:rPr>
              <w:t>Project Management:</w:t>
            </w:r>
          </w:p>
          <w:p w14:paraId="1E19250C" w14:textId="77777777" w:rsidR="002D1DE8" w:rsidRPr="002D1DE8" w:rsidRDefault="002D1DE8" w:rsidP="002B0784">
            <w:pPr>
              <w:pStyle w:val="ListParagraph"/>
              <w:numPr>
                <w:ilvl w:val="0"/>
                <w:numId w:val="43"/>
              </w:numPr>
              <w:rPr>
                <w:color w:val="000000"/>
                <w:szCs w:val="22"/>
              </w:rPr>
            </w:pPr>
            <w:r w:rsidRPr="002D1DE8">
              <w:rPr>
                <w:color w:val="000000"/>
                <w:szCs w:val="22"/>
              </w:rPr>
              <w:t>Ensure work is appropriately planned and scheduled</w:t>
            </w:r>
          </w:p>
          <w:p w14:paraId="45AEF7F5" w14:textId="77777777" w:rsidR="002D1DE8" w:rsidRPr="002D1DE8" w:rsidRDefault="002D1DE8" w:rsidP="002B0784">
            <w:pPr>
              <w:pStyle w:val="ListParagraph"/>
              <w:numPr>
                <w:ilvl w:val="0"/>
                <w:numId w:val="43"/>
              </w:numPr>
              <w:rPr>
                <w:color w:val="000000"/>
                <w:szCs w:val="22"/>
              </w:rPr>
            </w:pPr>
            <w:r w:rsidRPr="002D1DE8">
              <w:rPr>
                <w:color w:val="000000"/>
                <w:szCs w:val="22"/>
              </w:rPr>
              <w:t xml:space="preserve">Ensure work products and deliverables meet timeline and quality requirements </w:t>
            </w:r>
          </w:p>
          <w:p w14:paraId="646B3E21" w14:textId="6FD9CF60" w:rsidR="00C73E15" w:rsidRDefault="002D1DE8" w:rsidP="00DA7ADD">
            <w:pPr>
              <w:pStyle w:val="ListParagraph"/>
              <w:numPr>
                <w:ilvl w:val="0"/>
                <w:numId w:val="43"/>
              </w:numPr>
              <w:rPr>
                <w:color w:val="000000"/>
                <w:szCs w:val="22"/>
              </w:rPr>
            </w:pPr>
            <w:r w:rsidRPr="002D1DE8">
              <w:rPr>
                <w:color w:val="000000"/>
                <w:szCs w:val="22"/>
              </w:rPr>
              <w:t>Ensure timely and accurate project communications including status reports, and participation in status meetings and stakeholder debriefs</w:t>
            </w:r>
            <w:r w:rsidR="00DA7ADD">
              <w:rPr>
                <w:color w:val="000000"/>
                <w:szCs w:val="22"/>
              </w:rPr>
              <w:t>, f</w:t>
            </w:r>
            <w:r w:rsidR="00DA7ADD" w:rsidRPr="00DA7ADD">
              <w:rPr>
                <w:color w:val="000000"/>
                <w:szCs w:val="22"/>
              </w:rPr>
              <w:t xml:space="preserve">ocusing on communication and coordination between C-IV M&amp;O and LRS, keeping C-IV apprised of LRS direction, schedule, key decisions and issues that would impact C-IV  </w:t>
            </w:r>
          </w:p>
          <w:p w14:paraId="013B66D0" w14:textId="77777777" w:rsidR="002D1DE8" w:rsidRPr="002D1DE8" w:rsidRDefault="002D1DE8" w:rsidP="00C73E15">
            <w:pPr>
              <w:pStyle w:val="ListParagraph"/>
              <w:numPr>
                <w:ilvl w:val="0"/>
                <w:numId w:val="43"/>
              </w:numPr>
              <w:rPr>
                <w:color w:val="000000"/>
                <w:szCs w:val="22"/>
              </w:rPr>
            </w:pPr>
            <w:r w:rsidRPr="002D1DE8">
              <w:rPr>
                <w:color w:val="000000"/>
                <w:szCs w:val="22"/>
              </w:rPr>
              <w:t>Coordinate with C-IV, LRS and Consortium management to plan, schedule and facilitate document reviews</w:t>
            </w:r>
          </w:p>
        </w:tc>
        <w:tc>
          <w:tcPr>
            <w:tcW w:w="4680" w:type="dxa"/>
            <w:tcBorders>
              <w:top w:val="nil"/>
              <w:left w:val="nil"/>
              <w:bottom w:val="single" w:sz="4" w:space="0" w:color="auto"/>
              <w:right w:val="single" w:sz="4" w:space="0" w:color="auto"/>
            </w:tcBorders>
            <w:shd w:val="clear" w:color="auto" w:fill="auto"/>
            <w:hideMark/>
          </w:tcPr>
          <w:p w14:paraId="5EE3DF7A" w14:textId="77777777" w:rsidR="00F0181C" w:rsidRPr="00F0181C" w:rsidRDefault="00A065B3" w:rsidP="00F0181C">
            <w:pPr>
              <w:rPr>
                <w:color w:val="000000"/>
                <w:szCs w:val="22"/>
              </w:rPr>
            </w:pPr>
            <w:r>
              <w:rPr>
                <w:color w:val="000000"/>
                <w:szCs w:val="22"/>
              </w:rPr>
              <w:t>Conduct</w:t>
            </w:r>
            <w:r w:rsidRPr="00F0181C">
              <w:rPr>
                <w:color w:val="000000"/>
                <w:szCs w:val="22"/>
              </w:rPr>
              <w:t xml:space="preserve"> </w:t>
            </w:r>
            <w:r w:rsidR="00F0181C" w:rsidRPr="00F0181C">
              <w:rPr>
                <w:color w:val="000000"/>
                <w:szCs w:val="22"/>
              </w:rPr>
              <w:t xml:space="preserve">the following Project Management </w:t>
            </w:r>
            <w:r w:rsidR="00F0181C">
              <w:rPr>
                <w:color w:val="000000"/>
                <w:szCs w:val="22"/>
              </w:rPr>
              <w:t>activities</w:t>
            </w:r>
            <w:r w:rsidR="00F0181C" w:rsidRPr="00F0181C">
              <w:rPr>
                <w:color w:val="000000"/>
                <w:szCs w:val="22"/>
              </w:rPr>
              <w:t>:</w:t>
            </w:r>
          </w:p>
          <w:p w14:paraId="670121B6" w14:textId="77777777" w:rsidR="00F0181C" w:rsidRDefault="00A065B3" w:rsidP="00F0181C">
            <w:pPr>
              <w:pStyle w:val="ListParagraph"/>
              <w:numPr>
                <w:ilvl w:val="0"/>
                <w:numId w:val="43"/>
              </w:numPr>
              <w:ind w:left="432"/>
              <w:rPr>
                <w:color w:val="000000"/>
                <w:szCs w:val="22"/>
              </w:rPr>
            </w:pPr>
            <w:r>
              <w:rPr>
                <w:color w:val="000000"/>
                <w:szCs w:val="22"/>
              </w:rPr>
              <w:t>Review and provide recommendations related to tasks and schedule</w:t>
            </w:r>
          </w:p>
          <w:p w14:paraId="20AE8972" w14:textId="593AF5FA" w:rsidR="00DA7ADD" w:rsidRPr="003C1A0A" w:rsidRDefault="00A065B3">
            <w:pPr>
              <w:pStyle w:val="ListParagraph"/>
              <w:numPr>
                <w:ilvl w:val="0"/>
                <w:numId w:val="43"/>
              </w:numPr>
              <w:ind w:left="432"/>
              <w:rPr>
                <w:color w:val="000000"/>
                <w:szCs w:val="22"/>
              </w:rPr>
            </w:pPr>
            <w:r w:rsidRPr="003C1A0A">
              <w:rPr>
                <w:color w:val="000000"/>
                <w:szCs w:val="22"/>
              </w:rPr>
              <w:t>Review  and provide input related to timelines and</w:t>
            </w:r>
            <w:r w:rsidR="00F0181C" w:rsidRPr="003C1A0A">
              <w:rPr>
                <w:color w:val="000000"/>
                <w:szCs w:val="22"/>
              </w:rPr>
              <w:t xml:space="preserve"> compliance with quality requirements for work products and deliverables</w:t>
            </w:r>
          </w:p>
          <w:p w14:paraId="38E4D69D" w14:textId="4C43B4F5" w:rsidR="00DA7ADD" w:rsidRDefault="00A065B3" w:rsidP="00A7460C">
            <w:pPr>
              <w:pStyle w:val="ListParagraph"/>
              <w:numPr>
                <w:ilvl w:val="0"/>
                <w:numId w:val="43"/>
              </w:numPr>
              <w:ind w:left="432"/>
              <w:rPr>
                <w:color w:val="000000"/>
                <w:szCs w:val="22"/>
              </w:rPr>
            </w:pPr>
            <w:r>
              <w:rPr>
                <w:color w:val="000000"/>
                <w:szCs w:val="22"/>
              </w:rPr>
              <w:t>Support t</w:t>
            </w:r>
            <w:r w:rsidR="002D1DE8" w:rsidRPr="00F0181C">
              <w:rPr>
                <w:color w:val="000000"/>
                <w:szCs w:val="22"/>
              </w:rPr>
              <w:t xml:space="preserve">imely and accurate project communications including </w:t>
            </w:r>
            <w:r w:rsidR="006B4188" w:rsidRPr="00F0181C">
              <w:rPr>
                <w:color w:val="000000"/>
                <w:szCs w:val="22"/>
              </w:rPr>
              <w:t xml:space="preserve">development of </w:t>
            </w:r>
            <w:r w:rsidR="002D1DE8" w:rsidRPr="00F0181C">
              <w:rPr>
                <w:color w:val="000000"/>
                <w:szCs w:val="22"/>
              </w:rPr>
              <w:t>status reports, and participation in status meetings and stakeholder debriefs</w:t>
            </w:r>
            <w:r w:rsidR="00DA7ADD" w:rsidRPr="00A7460C">
              <w:rPr>
                <w:color w:val="000000"/>
                <w:szCs w:val="22"/>
              </w:rPr>
              <w:t xml:space="preserve"> </w:t>
            </w:r>
          </w:p>
          <w:p w14:paraId="45D1C44F" w14:textId="2038AA2A" w:rsidR="00F0181C" w:rsidRDefault="00DA7ADD" w:rsidP="00A7460C">
            <w:pPr>
              <w:pStyle w:val="ListParagraph"/>
              <w:numPr>
                <w:ilvl w:val="0"/>
                <w:numId w:val="43"/>
              </w:numPr>
              <w:ind w:left="432"/>
              <w:rPr>
                <w:color w:val="000000"/>
                <w:szCs w:val="22"/>
              </w:rPr>
            </w:pPr>
            <w:r w:rsidRPr="00DA7ADD">
              <w:rPr>
                <w:color w:val="000000"/>
                <w:szCs w:val="22"/>
              </w:rPr>
              <w:t>Assisting the Consortium with communications, planning and problem solving related to potential differences in functionality between C-IV and LRS</w:t>
            </w:r>
            <w:r>
              <w:rPr>
                <w:color w:val="000000"/>
                <w:szCs w:val="22"/>
              </w:rPr>
              <w:t xml:space="preserve"> </w:t>
            </w:r>
          </w:p>
          <w:p w14:paraId="1B64DD59" w14:textId="77777777" w:rsidR="002D1DE8" w:rsidRDefault="00A065B3" w:rsidP="00BD2B9F">
            <w:pPr>
              <w:pStyle w:val="ListParagraph"/>
              <w:numPr>
                <w:ilvl w:val="0"/>
                <w:numId w:val="43"/>
              </w:numPr>
              <w:ind w:left="432"/>
              <w:rPr>
                <w:color w:val="000000"/>
                <w:szCs w:val="22"/>
              </w:rPr>
            </w:pPr>
            <w:r>
              <w:rPr>
                <w:color w:val="000000"/>
                <w:szCs w:val="22"/>
              </w:rPr>
              <w:t>Support c</w:t>
            </w:r>
            <w:r w:rsidR="00F0181C">
              <w:rPr>
                <w:color w:val="000000"/>
                <w:szCs w:val="22"/>
              </w:rPr>
              <w:t>oordination with C-IV, LRS and Consortium</w:t>
            </w:r>
            <w:r>
              <w:rPr>
                <w:color w:val="000000"/>
                <w:szCs w:val="22"/>
              </w:rPr>
              <w:t xml:space="preserve"> management</w:t>
            </w:r>
            <w:r w:rsidR="00EB7766">
              <w:rPr>
                <w:color w:val="000000"/>
                <w:szCs w:val="22"/>
              </w:rPr>
              <w:t xml:space="preserve"> to </w:t>
            </w:r>
            <w:r w:rsidR="008A7B9A">
              <w:rPr>
                <w:color w:val="000000"/>
                <w:szCs w:val="22"/>
              </w:rPr>
              <w:t xml:space="preserve">plan, schedule and </w:t>
            </w:r>
            <w:r w:rsidR="00EB7766">
              <w:rPr>
                <w:color w:val="000000"/>
                <w:szCs w:val="22"/>
              </w:rPr>
              <w:t>facilitate document reviews</w:t>
            </w:r>
          </w:p>
          <w:p w14:paraId="078C6039" w14:textId="77777777" w:rsidR="000F484F" w:rsidRPr="00D2716F" w:rsidRDefault="000F484F" w:rsidP="000F484F">
            <w:pPr>
              <w:pStyle w:val="ListParagraph"/>
              <w:numPr>
                <w:ilvl w:val="0"/>
                <w:numId w:val="43"/>
              </w:numPr>
              <w:ind w:left="432"/>
              <w:rPr>
                <w:color w:val="000000"/>
                <w:szCs w:val="22"/>
              </w:rPr>
            </w:pPr>
            <w:r>
              <w:rPr>
                <w:color w:val="000000"/>
                <w:szCs w:val="22"/>
              </w:rPr>
              <w:t xml:space="preserve">Provide </w:t>
            </w:r>
            <w:r>
              <w:rPr>
                <w:rFonts w:cs="Arial"/>
              </w:rPr>
              <w:t>s</w:t>
            </w:r>
            <w:r w:rsidRPr="00DE6F19">
              <w:rPr>
                <w:rFonts w:cs="Arial"/>
              </w:rPr>
              <w:t>tatus reports related to project progress, budget or schedule</w:t>
            </w:r>
          </w:p>
          <w:p w14:paraId="2F5429B9" w14:textId="77777777" w:rsidR="000F484F" w:rsidRPr="00BD2B9F" w:rsidRDefault="000F484F" w:rsidP="000F484F">
            <w:pPr>
              <w:pStyle w:val="ListParagraph"/>
              <w:numPr>
                <w:ilvl w:val="0"/>
                <w:numId w:val="43"/>
              </w:numPr>
              <w:ind w:left="432"/>
              <w:rPr>
                <w:color w:val="000000"/>
                <w:szCs w:val="22"/>
              </w:rPr>
            </w:pPr>
            <w:r w:rsidRPr="00DE6F19">
              <w:rPr>
                <w:rFonts w:cs="Arial"/>
              </w:rPr>
              <w:t>Lead development of the Project Closure Report and support State review and approval</w:t>
            </w:r>
          </w:p>
        </w:tc>
      </w:tr>
      <w:tr w:rsidR="00565BF1" w:rsidRPr="002D1DE8" w14:paraId="3BE7E402" w14:textId="77777777" w:rsidTr="004A4DF5">
        <w:trPr>
          <w:cantSplit/>
          <w:trHeight w:val="1668"/>
        </w:trPr>
        <w:tc>
          <w:tcPr>
            <w:tcW w:w="4770" w:type="dxa"/>
            <w:tcBorders>
              <w:top w:val="nil"/>
              <w:left w:val="single" w:sz="4" w:space="0" w:color="auto"/>
              <w:bottom w:val="single" w:sz="4" w:space="0" w:color="auto"/>
              <w:right w:val="single" w:sz="4" w:space="0" w:color="auto"/>
            </w:tcBorders>
            <w:shd w:val="clear" w:color="auto" w:fill="auto"/>
            <w:hideMark/>
          </w:tcPr>
          <w:p w14:paraId="5F95A5F0" w14:textId="77777777" w:rsidR="00565BF1" w:rsidRPr="002D1DE8" w:rsidRDefault="00565BF1" w:rsidP="002B0784">
            <w:pPr>
              <w:rPr>
                <w:color w:val="000000"/>
                <w:szCs w:val="22"/>
              </w:rPr>
            </w:pPr>
            <w:r w:rsidRPr="002D1DE8">
              <w:rPr>
                <w:color w:val="000000"/>
                <w:szCs w:val="22"/>
              </w:rPr>
              <w:t xml:space="preserve">Manage the </w:t>
            </w:r>
            <w:r w:rsidR="00EB7766">
              <w:rPr>
                <w:color w:val="000000"/>
                <w:szCs w:val="22"/>
              </w:rPr>
              <w:t>g</w:t>
            </w:r>
            <w:r w:rsidRPr="002D1DE8">
              <w:rPr>
                <w:color w:val="000000"/>
                <w:szCs w:val="22"/>
              </w:rPr>
              <w:t xml:space="preserve">overnance </w:t>
            </w:r>
            <w:r w:rsidR="00EB7766">
              <w:rPr>
                <w:color w:val="000000"/>
                <w:szCs w:val="22"/>
              </w:rPr>
              <w:t>p</w:t>
            </w:r>
            <w:r w:rsidRPr="002D1DE8">
              <w:rPr>
                <w:color w:val="000000"/>
                <w:szCs w:val="22"/>
              </w:rPr>
              <w:t>lanning including:</w:t>
            </w:r>
          </w:p>
          <w:p w14:paraId="0B0BC9BF" w14:textId="77777777" w:rsidR="00565BF1" w:rsidRPr="002D1DE8" w:rsidRDefault="00565BF1" w:rsidP="002B0784">
            <w:pPr>
              <w:pStyle w:val="ListParagraph"/>
              <w:numPr>
                <w:ilvl w:val="0"/>
                <w:numId w:val="42"/>
              </w:numPr>
              <w:rPr>
                <w:color w:val="000000"/>
                <w:szCs w:val="22"/>
              </w:rPr>
            </w:pPr>
            <w:r w:rsidRPr="002D1DE8">
              <w:rPr>
                <w:color w:val="000000"/>
                <w:szCs w:val="22"/>
              </w:rPr>
              <w:t xml:space="preserve">Development of proposed changes to the JPA Agreement, </w:t>
            </w:r>
            <w:r w:rsidR="008A7B9A">
              <w:rPr>
                <w:color w:val="000000"/>
                <w:szCs w:val="22"/>
              </w:rPr>
              <w:t>Memorandum of Understanding (“</w:t>
            </w:r>
            <w:r w:rsidRPr="002D1DE8">
              <w:rPr>
                <w:color w:val="000000"/>
                <w:szCs w:val="22"/>
              </w:rPr>
              <w:t>MOU</w:t>
            </w:r>
            <w:r w:rsidR="008A7B9A">
              <w:rPr>
                <w:color w:val="000000"/>
                <w:szCs w:val="22"/>
              </w:rPr>
              <w:t>”)</w:t>
            </w:r>
            <w:r w:rsidRPr="002D1DE8">
              <w:rPr>
                <w:color w:val="000000"/>
                <w:szCs w:val="22"/>
              </w:rPr>
              <w:t xml:space="preserve"> and By-Laws</w:t>
            </w:r>
          </w:p>
          <w:p w14:paraId="5E476AE5" w14:textId="77777777" w:rsidR="00565BF1" w:rsidRPr="002D1DE8" w:rsidRDefault="00565BF1" w:rsidP="002B0784">
            <w:pPr>
              <w:pStyle w:val="ListParagraph"/>
              <w:numPr>
                <w:ilvl w:val="0"/>
                <w:numId w:val="42"/>
              </w:numPr>
              <w:rPr>
                <w:color w:val="000000"/>
                <w:szCs w:val="22"/>
              </w:rPr>
            </w:pPr>
            <w:r w:rsidRPr="002D1DE8">
              <w:rPr>
                <w:color w:val="000000"/>
                <w:szCs w:val="22"/>
              </w:rPr>
              <w:t>Consortium County Counsel education sessions</w:t>
            </w:r>
          </w:p>
          <w:p w14:paraId="74DCAA1B" w14:textId="77777777" w:rsidR="00565BF1" w:rsidRPr="002D1DE8" w:rsidRDefault="00565BF1" w:rsidP="002B0784">
            <w:pPr>
              <w:pStyle w:val="ListParagraph"/>
              <w:numPr>
                <w:ilvl w:val="0"/>
                <w:numId w:val="42"/>
              </w:numPr>
              <w:rPr>
                <w:color w:val="000000"/>
                <w:szCs w:val="22"/>
              </w:rPr>
            </w:pPr>
            <w:r w:rsidRPr="002D1DE8">
              <w:rPr>
                <w:color w:val="000000"/>
                <w:szCs w:val="22"/>
              </w:rPr>
              <w:t>Support Counties with obtaining Board of Supervisor approvals</w:t>
            </w:r>
          </w:p>
        </w:tc>
        <w:tc>
          <w:tcPr>
            <w:tcW w:w="4680" w:type="dxa"/>
            <w:tcBorders>
              <w:top w:val="nil"/>
              <w:left w:val="nil"/>
              <w:bottom w:val="single" w:sz="4" w:space="0" w:color="auto"/>
              <w:right w:val="single" w:sz="4" w:space="0" w:color="auto"/>
            </w:tcBorders>
            <w:shd w:val="clear" w:color="auto" w:fill="auto"/>
            <w:hideMark/>
          </w:tcPr>
          <w:p w14:paraId="6761A0D4" w14:textId="4EE545D4" w:rsidR="00FC4B89" w:rsidRPr="00A7460C" w:rsidRDefault="00FC4B89" w:rsidP="00A7460C">
            <w:pPr>
              <w:ind w:left="72"/>
              <w:rPr>
                <w:color w:val="000000"/>
                <w:szCs w:val="22"/>
              </w:rPr>
            </w:pPr>
            <w:r w:rsidRPr="00A7460C">
              <w:rPr>
                <w:color w:val="000000"/>
                <w:szCs w:val="22"/>
              </w:rPr>
              <w:t xml:space="preserve">Support </w:t>
            </w:r>
            <w:r>
              <w:rPr>
                <w:color w:val="000000"/>
                <w:szCs w:val="22"/>
              </w:rPr>
              <w:t>g</w:t>
            </w:r>
            <w:r w:rsidRPr="00A7460C">
              <w:rPr>
                <w:color w:val="000000"/>
                <w:szCs w:val="22"/>
              </w:rPr>
              <w:t xml:space="preserve">overnance </w:t>
            </w:r>
            <w:r>
              <w:rPr>
                <w:color w:val="000000"/>
                <w:szCs w:val="22"/>
              </w:rPr>
              <w:t>p</w:t>
            </w:r>
            <w:r w:rsidRPr="00A7460C">
              <w:rPr>
                <w:color w:val="000000"/>
                <w:szCs w:val="22"/>
              </w:rPr>
              <w:t>lanning including</w:t>
            </w:r>
            <w:r>
              <w:rPr>
                <w:color w:val="000000"/>
                <w:szCs w:val="22"/>
              </w:rPr>
              <w:t>:</w:t>
            </w:r>
            <w:r w:rsidRPr="00A7460C">
              <w:rPr>
                <w:color w:val="000000"/>
                <w:szCs w:val="22"/>
              </w:rPr>
              <w:t xml:space="preserve"> </w:t>
            </w:r>
          </w:p>
          <w:p w14:paraId="5076C29F" w14:textId="1E100377" w:rsidR="00D70779" w:rsidRPr="00D70779" w:rsidRDefault="00D70779" w:rsidP="00D2716F">
            <w:pPr>
              <w:pStyle w:val="ListParagraph"/>
              <w:numPr>
                <w:ilvl w:val="0"/>
                <w:numId w:val="43"/>
              </w:numPr>
              <w:ind w:left="432"/>
              <w:rPr>
                <w:color w:val="000000"/>
                <w:szCs w:val="22"/>
              </w:rPr>
            </w:pPr>
            <w:r w:rsidRPr="00D70779">
              <w:rPr>
                <w:color w:val="000000"/>
                <w:szCs w:val="22"/>
              </w:rPr>
              <w:t>Facilitate deliverable review and acceptance of the JPA Agreement, MOU and By-Laws</w:t>
            </w:r>
          </w:p>
          <w:p w14:paraId="77152E7E" w14:textId="416CCF98" w:rsidR="00CC3365" w:rsidRPr="00D70779" w:rsidRDefault="00486F2C" w:rsidP="00A7460C">
            <w:pPr>
              <w:pStyle w:val="ListParagraph"/>
              <w:numPr>
                <w:ilvl w:val="0"/>
                <w:numId w:val="43"/>
              </w:numPr>
              <w:ind w:left="432"/>
              <w:rPr>
                <w:color w:val="000000"/>
                <w:szCs w:val="22"/>
              </w:rPr>
            </w:pPr>
            <w:r w:rsidRPr="00486F2C">
              <w:rPr>
                <w:color w:val="000000"/>
                <w:szCs w:val="22"/>
              </w:rPr>
              <w:t>Perform QA</w:t>
            </w:r>
            <w:r>
              <w:rPr>
                <w:color w:val="000000"/>
                <w:szCs w:val="22"/>
              </w:rPr>
              <w:t xml:space="preserve"> r</w:t>
            </w:r>
            <w:r w:rsidR="00CC3365" w:rsidRPr="00D70779">
              <w:rPr>
                <w:color w:val="000000"/>
                <w:szCs w:val="22"/>
              </w:rPr>
              <w:t>eview and provide feedback on proposed changes to the JPA Agreement, MOU and By-Laws</w:t>
            </w:r>
          </w:p>
          <w:p w14:paraId="02A584B9" w14:textId="77777777" w:rsidR="00CC3365" w:rsidRDefault="00CC3365" w:rsidP="00CC3365">
            <w:pPr>
              <w:rPr>
                <w:color w:val="000000"/>
                <w:szCs w:val="22"/>
              </w:rPr>
            </w:pPr>
          </w:p>
          <w:p w14:paraId="22E164E1" w14:textId="77777777" w:rsidR="00565BF1" w:rsidRPr="002D1DE8" w:rsidRDefault="00565BF1" w:rsidP="00CC3365">
            <w:pPr>
              <w:rPr>
                <w:color w:val="000000"/>
                <w:szCs w:val="22"/>
              </w:rPr>
            </w:pPr>
          </w:p>
        </w:tc>
      </w:tr>
      <w:tr w:rsidR="002D1DE8" w:rsidRPr="002D1DE8" w14:paraId="1BD7CC07" w14:textId="77777777" w:rsidTr="004A4DF5">
        <w:trPr>
          <w:cantSplit/>
          <w:trHeight w:val="1155"/>
        </w:trPr>
        <w:tc>
          <w:tcPr>
            <w:tcW w:w="4770" w:type="dxa"/>
            <w:tcBorders>
              <w:top w:val="nil"/>
              <w:left w:val="single" w:sz="4" w:space="0" w:color="auto"/>
              <w:bottom w:val="single" w:sz="4" w:space="0" w:color="auto"/>
              <w:right w:val="single" w:sz="4" w:space="0" w:color="auto"/>
            </w:tcBorders>
            <w:shd w:val="clear" w:color="auto" w:fill="auto"/>
            <w:hideMark/>
          </w:tcPr>
          <w:p w14:paraId="4A22EA28" w14:textId="77777777" w:rsidR="002D1DE8" w:rsidRPr="002D1DE8" w:rsidRDefault="002D1DE8" w:rsidP="00DA1A56">
            <w:pPr>
              <w:rPr>
                <w:color w:val="000000"/>
                <w:szCs w:val="22"/>
              </w:rPr>
            </w:pPr>
            <w:r w:rsidRPr="002D1DE8">
              <w:rPr>
                <w:color w:val="000000"/>
                <w:szCs w:val="22"/>
              </w:rPr>
              <w:t xml:space="preserve">Identify and serve as point of escalation for all </w:t>
            </w:r>
            <w:r w:rsidR="006F12CE">
              <w:rPr>
                <w:color w:val="000000"/>
                <w:szCs w:val="22"/>
              </w:rPr>
              <w:t>m</w:t>
            </w:r>
            <w:r w:rsidR="006F12CE" w:rsidRPr="002D1DE8">
              <w:rPr>
                <w:color w:val="000000"/>
                <w:szCs w:val="22"/>
              </w:rPr>
              <w:t xml:space="preserve">igration </w:t>
            </w:r>
            <w:r w:rsidR="006F12CE">
              <w:rPr>
                <w:color w:val="000000"/>
                <w:szCs w:val="22"/>
              </w:rPr>
              <w:t>p</w:t>
            </w:r>
            <w:r w:rsidR="006F12CE" w:rsidRPr="002D1DE8">
              <w:rPr>
                <w:color w:val="000000"/>
                <w:szCs w:val="22"/>
              </w:rPr>
              <w:t xml:space="preserve">lanning </w:t>
            </w:r>
            <w:r w:rsidRPr="002D1DE8">
              <w:rPr>
                <w:color w:val="000000"/>
                <w:szCs w:val="22"/>
              </w:rPr>
              <w:t>related issues and</w:t>
            </w:r>
            <w:r w:rsidR="00EB7766">
              <w:rPr>
                <w:color w:val="000000"/>
                <w:szCs w:val="22"/>
              </w:rPr>
              <w:t>/</w:t>
            </w:r>
            <w:r w:rsidRPr="002D1DE8">
              <w:rPr>
                <w:color w:val="000000"/>
                <w:szCs w:val="22"/>
              </w:rPr>
              <w:t>or risks resulting from joint re-design of LRS system changes deemed necessary in order to meet the business needs of the C-IV Counties</w:t>
            </w:r>
          </w:p>
        </w:tc>
        <w:tc>
          <w:tcPr>
            <w:tcW w:w="4680" w:type="dxa"/>
            <w:tcBorders>
              <w:top w:val="nil"/>
              <w:left w:val="nil"/>
              <w:bottom w:val="single" w:sz="4" w:space="0" w:color="auto"/>
              <w:right w:val="single" w:sz="4" w:space="0" w:color="auto"/>
            </w:tcBorders>
            <w:shd w:val="clear" w:color="auto" w:fill="auto"/>
            <w:hideMark/>
          </w:tcPr>
          <w:p w14:paraId="387DDAAC" w14:textId="77777777" w:rsidR="000F484F" w:rsidRPr="000F484F" w:rsidRDefault="000F484F" w:rsidP="00D2716F">
            <w:pPr>
              <w:pStyle w:val="ListParagraph"/>
              <w:numPr>
                <w:ilvl w:val="0"/>
                <w:numId w:val="43"/>
              </w:numPr>
              <w:ind w:left="432"/>
              <w:rPr>
                <w:color w:val="000000"/>
                <w:szCs w:val="22"/>
              </w:rPr>
            </w:pPr>
            <w:r w:rsidRPr="000F484F">
              <w:rPr>
                <w:color w:val="000000"/>
                <w:szCs w:val="22"/>
              </w:rPr>
              <w:t>Support development of an escalation plan and process for project issues and risks</w:t>
            </w:r>
          </w:p>
          <w:p w14:paraId="4F3ABFAA" w14:textId="77777777" w:rsidR="002D1DE8" w:rsidRPr="000F484F" w:rsidRDefault="00EB7766" w:rsidP="00D2716F">
            <w:pPr>
              <w:pStyle w:val="ListParagraph"/>
              <w:numPr>
                <w:ilvl w:val="0"/>
                <w:numId w:val="43"/>
              </w:numPr>
              <w:ind w:left="432"/>
              <w:rPr>
                <w:color w:val="000000"/>
                <w:szCs w:val="22"/>
              </w:rPr>
            </w:pPr>
            <w:r w:rsidRPr="000F484F">
              <w:rPr>
                <w:color w:val="000000"/>
                <w:szCs w:val="22"/>
              </w:rPr>
              <w:t xml:space="preserve">Identify, document and assess </w:t>
            </w:r>
            <w:r w:rsidR="002D1DE8" w:rsidRPr="000F484F">
              <w:rPr>
                <w:color w:val="000000"/>
                <w:szCs w:val="22"/>
              </w:rPr>
              <w:t>issue</w:t>
            </w:r>
            <w:r w:rsidRPr="000F484F">
              <w:rPr>
                <w:color w:val="000000"/>
                <w:szCs w:val="22"/>
              </w:rPr>
              <w:t xml:space="preserve">s and </w:t>
            </w:r>
            <w:r w:rsidR="002D1DE8" w:rsidRPr="000F484F">
              <w:rPr>
                <w:color w:val="000000"/>
                <w:szCs w:val="22"/>
              </w:rPr>
              <w:t>risk</w:t>
            </w:r>
            <w:r w:rsidRPr="000F484F">
              <w:rPr>
                <w:color w:val="000000"/>
                <w:szCs w:val="22"/>
              </w:rPr>
              <w:t>s, as appropriate and support the issue and risk management processes</w:t>
            </w:r>
          </w:p>
        </w:tc>
      </w:tr>
      <w:tr w:rsidR="002D1DE8" w:rsidRPr="002D1DE8" w14:paraId="4367EE94" w14:textId="77777777" w:rsidTr="004A4DF5">
        <w:trPr>
          <w:cantSplit/>
          <w:trHeight w:val="600"/>
        </w:trPr>
        <w:tc>
          <w:tcPr>
            <w:tcW w:w="4770" w:type="dxa"/>
            <w:tcBorders>
              <w:top w:val="nil"/>
              <w:left w:val="single" w:sz="4" w:space="0" w:color="auto"/>
              <w:bottom w:val="single" w:sz="4" w:space="0" w:color="auto"/>
              <w:right w:val="single" w:sz="4" w:space="0" w:color="auto"/>
            </w:tcBorders>
            <w:shd w:val="clear" w:color="auto" w:fill="auto"/>
            <w:hideMark/>
          </w:tcPr>
          <w:p w14:paraId="40BAF844" w14:textId="77777777" w:rsidR="002D1DE8" w:rsidRPr="002D1DE8" w:rsidRDefault="002D1DE8" w:rsidP="005D0908">
            <w:pPr>
              <w:rPr>
                <w:color w:val="000000"/>
                <w:szCs w:val="22"/>
              </w:rPr>
            </w:pPr>
            <w:r w:rsidRPr="002D1DE8">
              <w:rPr>
                <w:color w:val="000000"/>
                <w:szCs w:val="22"/>
              </w:rPr>
              <w:lastRenderedPageBreak/>
              <w:t xml:space="preserve">Manage and facilitate  </w:t>
            </w:r>
            <w:r w:rsidR="005D0908">
              <w:rPr>
                <w:color w:val="000000"/>
                <w:szCs w:val="22"/>
              </w:rPr>
              <w:t>s</w:t>
            </w:r>
            <w:r w:rsidRPr="002D1DE8">
              <w:rPr>
                <w:color w:val="000000"/>
                <w:szCs w:val="22"/>
              </w:rPr>
              <w:t xml:space="preserve">ide by </w:t>
            </w:r>
            <w:r w:rsidR="005D0908">
              <w:rPr>
                <w:color w:val="000000"/>
                <w:szCs w:val="22"/>
              </w:rPr>
              <w:t>s</w:t>
            </w:r>
            <w:r w:rsidRPr="002D1DE8">
              <w:rPr>
                <w:color w:val="000000"/>
                <w:szCs w:val="22"/>
              </w:rPr>
              <w:t>ide</w:t>
            </w:r>
            <w:r w:rsidR="005D0908">
              <w:rPr>
                <w:color w:val="000000"/>
                <w:szCs w:val="22"/>
              </w:rPr>
              <w:t xml:space="preserve"> comparisons</w:t>
            </w:r>
            <w:r w:rsidRPr="002D1DE8">
              <w:rPr>
                <w:color w:val="000000"/>
                <w:szCs w:val="22"/>
              </w:rPr>
              <w:t xml:space="preserve"> of the C-IV and LRS systems</w:t>
            </w:r>
          </w:p>
        </w:tc>
        <w:tc>
          <w:tcPr>
            <w:tcW w:w="4680" w:type="dxa"/>
            <w:tcBorders>
              <w:top w:val="nil"/>
              <w:left w:val="nil"/>
              <w:bottom w:val="single" w:sz="4" w:space="0" w:color="auto"/>
              <w:right w:val="single" w:sz="4" w:space="0" w:color="auto"/>
            </w:tcBorders>
            <w:shd w:val="clear" w:color="auto" w:fill="auto"/>
            <w:hideMark/>
          </w:tcPr>
          <w:p w14:paraId="5FD32CBB" w14:textId="77777777" w:rsidR="002D1DE8" w:rsidRPr="00B234EA" w:rsidRDefault="009F10F0" w:rsidP="00B234EA">
            <w:pPr>
              <w:pStyle w:val="ListParagraph"/>
              <w:numPr>
                <w:ilvl w:val="0"/>
                <w:numId w:val="45"/>
              </w:numPr>
              <w:rPr>
                <w:color w:val="000000"/>
                <w:szCs w:val="22"/>
              </w:rPr>
            </w:pPr>
            <w:r w:rsidRPr="00B234EA">
              <w:rPr>
                <w:color w:val="000000"/>
                <w:szCs w:val="22"/>
              </w:rPr>
              <w:t xml:space="preserve">Participate in </w:t>
            </w:r>
            <w:r w:rsidR="002D1DE8" w:rsidRPr="00B234EA">
              <w:rPr>
                <w:color w:val="000000"/>
                <w:szCs w:val="22"/>
              </w:rPr>
              <w:t xml:space="preserve">the </w:t>
            </w:r>
            <w:r w:rsidR="005D0908" w:rsidRPr="00B234EA">
              <w:rPr>
                <w:color w:val="000000"/>
                <w:szCs w:val="22"/>
              </w:rPr>
              <w:t>s</w:t>
            </w:r>
            <w:r w:rsidR="002D1DE8" w:rsidRPr="00B234EA">
              <w:rPr>
                <w:color w:val="000000"/>
                <w:szCs w:val="22"/>
              </w:rPr>
              <w:t xml:space="preserve">ide by </w:t>
            </w:r>
            <w:r w:rsidR="005D0908" w:rsidRPr="00B234EA">
              <w:rPr>
                <w:color w:val="000000"/>
                <w:szCs w:val="22"/>
              </w:rPr>
              <w:t>s</w:t>
            </w:r>
            <w:r w:rsidR="002D1DE8" w:rsidRPr="00B234EA">
              <w:rPr>
                <w:color w:val="000000"/>
                <w:szCs w:val="22"/>
              </w:rPr>
              <w:t xml:space="preserve">ide </w:t>
            </w:r>
            <w:r w:rsidR="005D0908" w:rsidRPr="00B234EA">
              <w:rPr>
                <w:color w:val="000000"/>
                <w:szCs w:val="22"/>
              </w:rPr>
              <w:t>c</w:t>
            </w:r>
            <w:r w:rsidR="002D1DE8" w:rsidRPr="00B234EA">
              <w:rPr>
                <w:color w:val="000000"/>
                <w:szCs w:val="22"/>
              </w:rPr>
              <w:t>omparison</w:t>
            </w:r>
            <w:r w:rsidRPr="00B234EA">
              <w:rPr>
                <w:color w:val="000000"/>
                <w:szCs w:val="22"/>
              </w:rPr>
              <w:t xml:space="preserve"> sessions</w:t>
            </w:r>
            <w:r w:rsidR="002D1DE8" w:rsidRPr="00B234EA">
              <w:rPr>
                <w:color w:val="000000"/>
                <w:szCs w:val="22"/>
              </w:rPr>
              <w:t xml:space="preserve"> of the C-IV and LRS systems</w:t>
            </w:r>
            <w:r w:rsidRPr="00B234EA">
              <w:rPr>
                <w:color w:val="000000"/>
                <w:szCs w:val="22"/>
              </w:rPr>
              <w:t xml:space="preserve"> to provide</w:t>
            </w:r>
            <w:r w:rsidR="006B4188" w:rsidRPr="00B234EA">
              <w:rPr>
                <w:color w:val="000000"/>
                <w:szCs w:val="22"/>
              </w:rPr>
              <w:t xml:space="preserve"> subject matter expertise,</w:t>
            </w:r>
            <w:r w:rsidRPr="00B234EA">
              <w:rPr>
                <w:color w:val="000000"/>
                <w:szCs w:val="22"/>
              </w:rPr>
              <w:t xml:space="preserve"> recommendations and feedback</w:t>
            </w:r>
            <w:r w:rsidR="00C73E15" w:rsidRPr="00B234EA">
              <w:rPr>
                <w:color w:val="000000"/>
                <w:szCs w:val="22"/>
              </w:rPr>
              <w:t xml:space="preserve"> </w:t>
            </w:r>
            <w:r w:rsidR="00C73E15" w:rsidRPr="00BD2B9F">
              <w:t>including</w:t>
            </w:r>
            <w:r w:rsidR="00BD2B9F">
              <w:t xml:space="preserve"> comparisons of</w:t>
            </w:r>
            <w:r w:rsidR="00C73E15" w:rsidRPr="00BD2B9F">
              <w:t xml:space="preserve"> technical differences with regards to system availability, performance measurements and their associated Service Level Agreements</w:t>
            </w:r>
          </w:p>
        </w:tc>
      </w:tr>
      <w:tr w:rsidR="002D1DE8" w:rsidRPr="002D1DE8" w14:paraId="2CBF6CFA" w14:textId="77777777" w:rsidTr="004A4DF5">
        <w:trPr>
          <w:cantSplit/>
          <w:trHeight w:val="900"/>
        </w:trPr>
        <w:tc>
          <w:tcPr>
            <w:tcW w:w="4770" w:type="dxa"/>
            <w:tcBorders>
              <w:top w:val="nil"/>
              <w:left w:val="single" w:sz="4" w:space="0" w:color="auto"/>
              <w:bottom w:val="single" w:sz="4" w:space="0" w:color="auto"/>
              <w:right w:val="single" w:sz="4" w:space="0" w:color="auto"/>
            </w:tcBorders>
            <w:shd w:val="clear" w:color="auto" w:fill="auto"/>
            <w:hideMark/>
          </w:tcPr>
          <w:p w14:paraId="23D71927" w14:textId="77777777" w:rsidR="002D1DE8" w:rsidRDefault="002D1DE8" w:rsidP="00DA1A56">
            <w:pPr>
              <w:rPr>
                <w:rFonts w:eastAsia="Symbol" w:cs="Symbol"/>
                <w:color w:val="000000"/>
                <w:szCs w:val="22"/>
              </w:rPr>
            </w:pPr>
            <w:r w:rsidRPr="002D1DE8">
              <w:rPr>
                <w:rFonts w:eastAsia="Symbol" w:cs="Symbol"/>
                <w:color w:val="000000"/>
                <w:szCs w:val="22"/>
              </w:rPr>
              <w:t xml:space="preserve">Develop the </w:t>
            </w:r>
            <w:r w:rsidR="006F12CE">
              <w:rPr>
                <w:rFonts w:eastAsia="Symbol" w:cs="Symbol"/>
                <w:color w:val="000000"/>
                <w:szCs w:val="22"/>
              </w:rPr>
              <w:t>d</w:t>
            </w:r>
            <w:r w:rsidR="006F12CE" w:rsidRPr="002D1DE8">
              <w:rPr>
                <w:rFonts w:eastAsia="Symbol" w:cs="Symbol"/>
                <w:color w:val="000000"/>
                <w:szCs w:val="22"/>
              </w:rPr>
              <w:t xml:space="preserve">ifference </w:t>
            </w:r>
            <w:r w:rsidR="006F12CE">
              <w:rPr>
                <w:rFonts w:eastAsia="Symbol" w:cs="Symbol"/>
                <w:color w:val="000000"/>
                <w:szCs w:val="22"/>
              </w:rPr>
              <w:t>b</w:t>
            </w:r>
            <w:r w:rsidR="006F12CE" w:rsidRPr="002D1DE8">
              <w:rPr>
                <w:rFonts w:eastAsia="Symbol" w:cs="Symbol"/>
                <w:color w:val="000000"/>
                <w:szCs w:val="22"/>
              </w:rPr>
              <w:t xml:space="preserve">aseline </w:t>
            </w:r>
            <w:r w:rsidR="006F12CE">
              <w:rPr>
                <w:rFonts w:eastAsia="Symbol" w:cs="Symbol"/>
                <w:color w:val="000000"/>
                <w:szCs w:val="22"/>
              </w:rPr>
              <w:t>d</w:t>
            </w:r>
            <w:r w:rsidR="006F12CE" w:rsidRPr="002D1DE8">
              <w:rPr>
                <w:rFonts w:eastAsia="Symbol" w:cs="Symbol"/>
                <w:color w:val="000000"/>
                <w:szCs w:val="22"/>
              </w:rPr>
              <w:t xml:space="preserve">ocument </w:t>
            </w:r>
            <w:r w:rsidRPr="002D1DE8">
              <w:rPr>
                <w:rFonts w:eastAsia="Symbol" w:cs="Symbol"/>
                <w:color w:val="000000"/>
                <w:szCs w:val="22"/>
              </w:rPr>
              <w:t xml:space="preserve">and </w:t>
            </w:r>
            <w:r w:rsidR="006F12CE">
              <w:rPr>
                <w:rFonts w:eastAsia="Symbol" w:cs="Symbol"/>
                <w:color w:val="000000"/>
                <w:szCs w:val="22"/>
              </w:rPr>
              <w:t>s</w:t>
            </w:r>
            <w:r w:rsidR="006F12CE" w:rsidRPr="002D1DE8">
              <w:rPr>
                <w:rFonts w:eastAsia="Symbol" w:cs="Symbol"/>
                <w:color w:val="000000"/>
                <w:szCs w:val="22"/>
              </w:rPr>
              <w:t xml:space="preserve">tatement </w:t>
            </w:r>
            <w:r w:rsidRPr="002D1DE8">
              <w:rPr>
                <w:rFonts w:eastAsia="Symbol" w:cs="Symbol"/>
                <w:color w:val="000000"/>
                <w:szCs w:val="22"/>
              </w:rPr>
              <w:t xml:space="preserve">of </w:t>
            </w:r>
            <w:r w:rsidR="006F12CE">
              <w:rPr>
                <w:rFonts w:eastAsia="Symbol" w:cs="Symbol"/>
                <w:color w:val="000000"/>
                <w:szCs w:val="22"/>
              </w:rPr>
              <w:t>r</w:t>
            </w:r>
            <w:r w:rsidR="006F12CE" w:rsidRPr="002D1DE8">
              <w:rPr>
                <w:rFonts w:eastAsia="Symbol" w:cs="Symbol"/>
                <w:color w:val="000000"/>
                <w:szCs w:val="22"/>
              </w:rPr>
              <w:t>equirements</w:t>
            </w:r>
          </w:p>
          <w:p w14:paraId="2F205628" w14:textId="77777777" w:rsidR="00D15257" w:rsidRDefault="00D15257" w:rsidP="00DA1A56">
            <w:pPr>
              <w:rPr>
                <w:rFonts w:eastAsia="Symbol" w:cs="Symbol"/>
                <w:color w:val="000000"/>
                <w:szCs w:val="22"/>
              </w:rPr>
            </w:pPr>
          </w:p>
          <w:p w14:paraId="05388C25" w14:textId="7499CC42" w:rsidR="00D15257" w:rsidRPr="002D1DE8" w:rsidRDefault="00D15257" w:rsidP="00DA1A56">
            <w:pPr>
              <w:rPr>
                <w:color w:val="000000"/>
                <w:szCs w:val="22"/>
              </w:rPr>
            </w:pPr>
            <w:r w:rsidRPr="00AB7595">
              <w:rPr>
                <w:rFonts w:cs="Arial"/>
                <w:szCs w:val="24"/>
              </w:rPr>
              <w:t>Providing ongoing analysis to assess the changes to baseline that are identified, planned and implemented for both systems</w:t>
            </w:r>
          </w:p>
        </w:tc>
        <w:tc>
          <w:tcPr>
            <w:tcW w:w="4680" w:type="dxa"/>
            <w:tcBorders>
              <w:top w:val="nil"/>
              <w:left w:val="nil"/>
              <w:bottom w:val="single" w:sz="4" w:space="0" w:color="auto"/>
              <w:right w:val="single" w:sz="4" w:space="0" w:color="auto"/>
            </w:tcBorders>
            <w:shd w:val="clear" w:color="auto" w:fill="auto"/>
            <w:hideMark/>
          </w:tcPr>
          <w:p w14:paraId="65651BE4" w14:textId="77777777" w:rsidR="00D70779" w:rsidRDefault="00D70779" w:rsidP="00D2716F">
            <w:pPr>
              <w:pStyle w:val="ListParagraph"/>
              <w:numPr>
                <w:ilvl w:val="0"/>
                <w:numId w:val="43"/>
              </w:numPr>
              <w:ind w:left="432"/>
              <w:rPr>
                <w:color w:val="000000"/>
                <w:szCs w:val="22"/>
              </w:rPr>
            </w:pPr>
            <w:r w:rsidRPr="00D70779">
              <w:rPr>
                <w:color w:val="000000"/>
                <w:szCs w:val="22"/>
              </w:rPr>
              <w:t xml:space="preserve">Support development of the Project Management components of the Statement of </w:t>
            </w:r>
            <w:r>
              <w:rPr>
                <w:color w:val="000000"/>
                <w:szCs w:val="22"/>
              </w:rPr>
              <w:t xml:space="preserve">the </w:t>
            </w:r>
            <w:r w:rsidRPr="00D70779">
              <w:rPr>
                <w:color w:val="000000"/>
                <w:szCs w:val="22"/>
              </w:rPr>
              <w:t>Requirements</w:t>
            </w:r>
            <w:r w:rsidRPr="002D1DE8">
              <w:rPr>
                <w:color w:val="000000"/>
                <w:szCs w:val="22"/>
              </w:rPr>
              <w:t xml:space="preserve"> </w:t>
            </w:r>
          </w:p>
          <w:p w14:paraId="72EBD95C" w14:textId="77777777" w:rsidR="00D70779" w:rsidRDefault="00D70779" w:rsidP="00D2716F">
            <w:pPr>
              <w:pStyle w:val="ListParagraph"/>
              <w:numPr>
                <w:ilvl w:val="0"/>
                <w:numId w:val="43"/>
              </w:numPr>
              <w:ind w:left="432"/>
              <w:rPr>
                <w:color w:val="000000"/>
                <w:szCs w:val="22"/>
              </w:rPr>
            </w:pPr>
            <w:r w:rsidRPr="00D70779">
              <w:rPr>
                <w:color w:val="000000"/>
                <w:szCs w:val="22"/>
              </w:rPr>
              <w:t>Facilitate deliverable review and acceptance of the Difference Baseline Document and Statement of Requirements</w:t>
            </w:r>
          </w:p>
          <w:p w14:paraId="40E2C30C" w14:textId="77777777" w:rsidR="002D1DE8" w:rsidRDefault="00486F2C" w:rsidP="00D2716F">
            <w:pPr>
              <w:pStyle w:val="ListParagraph"/>
              <w:numPr>
                <w:ilvl w:val="0"/>
                <w:numId w:val="43"/>
              </w:numPr>
              <w:ind w:left="432"/>
              <w:rPr>
                <w:color w:val="000000"/>
                <w:szCs w:val="22"/>
              </w:rPr>
            </w:pPr>
            <w:r w:rsidRPr="00486F2C">
              <w:rPr>
                <w:color w:val="000000"/>
                <w:szCs w:val="22"/>
              </w:rPr>
              <w:t>Perform QA</w:t>
            </w:r>
            <w:r>
              <w:rPr>
                <w:color w:val="000000"/>
                <w:szCs w:val="22"/>
              </w:rPr>
              <w:t xml:space="preserve"> r</w:t>
            </w:r>
            <w:r w:rsidR="002D1DE8" w:rsidRPr="002D1DE8">
              <w:rPr>
                <w:color w:val="000000"/>
                <w:szCs w:val="22"/>
              </w:rPr>
              <w:t xml:space="preserve">eview and provide feedback on the </w:t>
            </w:r>
            <w:r w:rsidR="006F12CE">
              <w:rPr>
                <w:color w:val="000000"/>
                <w:szCs w:val="22"/>
              </w:rPr>
              <w:t>d</w:t>
            </w:r>
            <w:r w:rsidR="006F12CE" w:rsidRPr="002D1DE8">
              <w:rPr>
                <w:color w:val="000000"/>
                <w:szCs w:val="22"/>
              </w:rPr>
              <w:t xml:space="preserve">ifference </w:t>
            </w:r>
            <w:r w:rsidR="006F12CE">
              <w:rPr>
                <w:color w:val="000000"/>
                <w:szCs w:val="22"/>
              </w:rPr>
              <w:t>b</w:t>
            </w:r>
            <w:r w:rsidR="006F12CE" w:rsidRPr="002D1DE8">
              <w:rPr>
                <w:color w:val="000000"/>
                <w:szCs w:val="22"/>
              </w:rPr>
              <w:t xml:space="preserve">aseline </w:t>
            </w:r>
            <w:r w:rsidR="006F12CE">
              <w:rPr>
                <w:color w:val="000000"/>
                <w:szCs w:val="22"/>
              </w:rPr>
              <w:t>d</w:t>
            </w:r>
            <w:r w:rsidR="006F12CE" w:rsidRPr="002D1DE8">
              <w:rPr>
                <w:color w:val="000000"/>
                <w:szCs w:val="22"/>
              </w:rPr>
              <w:t xml:space="preserve">ocument </w:t>
            </w:r>
            <w:r w:rsidR="002D1DE8" w:rsidRPr="002D1DE8">
              <w:rPr>
                <w:color w:val="000000"/>
                <w:szCs w:val="22"/>
              </w:rPr>
              <w:t xml:space="preserve">and </w:t>
            </w:r>
            <w:r w:rsidR="006F12CE">
              <w:rPr>
                <w:color w:val="000000"/>
                <w:szCs w:val="22"/>
              </w:rPr>
              <w:t>s</w:t>
            </w:r>
            <w:r w:rsidR="006F12CE" w:rsidRPr="002D1DE8">
              <w:rPr>
                <w:color w:val="000000"/>
                <w:szCs w:val="22"/>
              </w:rPr>
              <w:t xml:space="preserve">tatement </w:t>
            </w:r>
            <w:r w:rsidR="002D1DE8" w:rsidRPr="002D1DE8">
              <w:rPr>
                <w:color w:val="000000"/>
                <w:szCs w:val="22"/>
              </w:rPr>
              <w:t xml:space="preserve">of </w:t>
            </w:r>
            <w:r w:rsidR="006F12CE">
              <w:rPr>
                <w:color w:val="000000"/>
                <w:szCs w:val="22"/>
              </w:rPr>
              <w:t>r</w:t>
            </w:r>
            <w:r w:rsidR="006F12CE" w:rsidRPr="002D1DE8">
              <w:rPr>
                <w:color w:val="000000"/>
                <w:szCs w:val="22"/>
              </w:rPr>
              <w:t>equirements</w:t>
            </w:r>
            <w:r w:rsidR="00C73E15">
              <w:rPr>
                <w:color w:val="000000"/>
                <w:szCs w:val="22"/>
              </w:rPr>
              <w:t xml:space="preserve">, </w:t>
            </w:r>
            <w:r w:rsidR="00C73E15" w:rsidRPr="00D70779">
              <w:rPr>
                <w:color w:val="000000"/>
                <w:szCs w:val="22"/>
              </w:rPr>
              <w:t>includ</w:t>
            </w:r>
            <w:r w:rsidR="00100DDD" w:rsidRPr="00D70779">
              <w:rPr>
                <w:color w:val="000000"/>
                <w:szCs w:val="22"/>
              </w:rPr>
              <w:t>ing</w:t>
            </w:r>
            <w:r w:rsidR="00C73E15" w:rsidRPr="00D70779">
              <w:rPr>
                <w:color w:val="000000"/>
                <w:szCs w:val="22"/>
              </w:rPr>
              <w:t xml:space="preserve"> both functional and technical requirements</w:t>
            </w:r>
          </w:p>
          <w:p w14:paraId="5CFE8EF6" w14:textId="0A5420FE" w:rsidR="00D15257" w:rsidRPr="002D1DE8" w:rsidRDefault="00D15257" w:rsidP="00D2716F">
            <w:pPr>
              <w:pStyle w:val="ListParagraph"/>
              <w:numPr>
                <w:ilvl w:val="0"/>
                <w:numId w:val="43"/>
              </w:numPr>
              <w:ind w:left="432"/>
              <w:rPr>
                <w:color w:val="000000"/>
                <w:szCs w:val="22"/>
              </w:rPr>
            </w:pPr>
            <w:r w:rsidRPr="002C5260">
              <w:rPr>
                <w:rFonts w:cs="Arial"/>
                <w:szCs w:val="24"/>
              </w:rPr>
              <w:t>Participating in the development and support of design differences analysis processes and/or project activities and providing real-time input and feedback, as appropriate</w:t>
            </w:r>
          </w:p>
        </w:tc>
      </w:tr>
      <w:tr w:rsidR="002D1DE8" w:rsidRPr="002D1DE8" w14:paraId="3F4EFB9C" w14:textId="77777777" w:rsidTr="004A4DF5">
        <w:trPr>
          <w:cantSplit/>
          <w:trHeight w:val="600"/>
        </w:trPr>
        <w:tc>
          <w:tcPr>
            <w:tcW w:w="4770" w:type="dxa"/>
            <w:tcBorders>
              <w:top w:val="nil"/>
              <w:left w:val="single" w:sz="4" w:space="0" w:color="auto"/>
              <w:bottom w:val="single" w:sz="4" w:space="0" w:color="auto"/>
              <w:right w:val="single" w:sz="4" w:space="0" w:color="auto"/>
            </w:tcBorders>
            <w:shd w:val="clear" w:color="auto" w:fill="auto"/>
            <w:hideMark/>
          </w:tcPr>
          <w:p w14:paraId="46C48517" w14:textId="77777777" w:rsidR="002D1DE8" w:rsidRPr="002D1DE8" w:rsidRDefault="002D1DE8" w:rsidP="005D0908">
            <w:pPr>
              <w:rPr>
                <w:color w:val="000000"/>
                <w:szCs w:val="22"/>
              </w:rPr>
            </w:pPr>
            <w:r w:rsidRPr="002D1DE8">
              <w:rPr>
                <w:rFonts w:eastAsia="Symbol" w:cs="Symbol"/>
                <w:color w:val="000000"/>
                <w:szCs w:val="22"/>
              </w:rPr>
              <w:t xml:space="preserve">Facilitate </w:t>
            </w:r>
            <w:r w:rsidR="005D0908">
              <w:rPr>
                <w:rFonts w:eastAsia="Symbol" w:cs="Symbol"/>
                <w:color w:val="000000"/>
                <w:szCs w:val="22"/>
              </w:rPr>
              <w:t>r</w:t>
            </w:r>
            <w:r w:rsidRPr="002D1DE8">
              <w:rPr>
                <w:rFonts w:eastAsia="Symbol" w:cs="Symbol"/>
                <w:color w:val="000000"/>
                <w:szCs w:val="22"/>
              </w:rPr>
              <w:t xml:space="preserve">equirements </w:t>
            </w:r>
            <w:r w:rsidR="005D0908">
              <w:rPr>
                <w:rFonts w:eastAsia="Symbol" w:cs="Symbol"/>
                <w:color w:val="000000"/>
                <w:szCs w:val="22"/>
              </w:rPr>
              <w:t>a</w:t>
            </w:r>
            <w:r w:rsidRPr="002D1DE8">
              <w:rPr>
                <w:rFonts w:eastAsia="Symbol" w:cs="Symbol"/>
                <w:color w:val="000000"/>
                <w:szCs w:val="22"/>
              </w:rPr>
              <w:t>cceptance by the 39 C-IV Counties</w:t>
            </w:r>
          </w:p>
        </w:tc>
        <w:tc>
          <w:tcPr>
            <w:tcW w:w="4680" w:type="dxa"/>
            <w:tcBorders>
              <w:top w:val="nil"/>
              <w:left w:val="nil"/>
              <w:bottom w:val="single" w:sz="4" w:space="0" w:color="auto"/>
              <w:right w:val="single" w:sz="4" w:space="0" w:color="auto"/>
            </w:tcBorders>
            <w:shd w:val="clear" w:color="auto" w:fill="auto"/>
            <w:hideMark/>
          </w:tcPr>
          <w:p w14:paraId="7C32AE20" w14:textId="77777777" w:rsidR="006B4188" w:rsidRPr="00B234EA" w:rsidRDefault="002D1DE8" w:rsidP="00B234EA">
            <w:pPr>
              <w:pStyle w:val="ListParagraph"/>
              <w:numPr>
                <w:ilvl w:val="0"/>
                <w:numId w:val="46"/>
              </w:numPr>
              <w:rPr>
                <w:color w:val="000000"/>
                <w:szCs w:val="22"/>
              </w:rPr>
            </w:pPr>
            <w:r w:rsidRPr="00B234EA">
              <w:rPr>
                <w:color w:val="000000"/>
                <w:szCs w:val="22"/>
              </w:rPr>
              <w:t xml:space="preserve">Support </w:t>
            </w:r>
            <w:r w:rsidR="00BD2B9F" w:rsidRPr="00B234EA">
              <w:rPr>
                <w:color w:val="000000"/>
                <w:szCs w:val="22"/>
              </w:rPr>
              <w:t>r</w:t>
            </w:r>
            <w:r w:rsidRPr="00B234EA">
              <w:rPr>
                <w:color w:val="000000"/>
                <w:szCs w:val="22"/>
              </w:rPr>
              <w:t xml:space="preserve">equirements </w:t>
            </w:r>
            <w:r w:rsidR="00BD2B9F" w:rsidRPr="00B234EA">
              <w:rPr>
                <w:color w:val="000000"/>
                <w:szCs w:val="22"/>
              </w:rPr>
              <w:t>a</w:t>
            </w:r>
            <w:r w:rsidRPr="00B234EA">
              <w:rPr>
                <w:color w:val="000000"/>
                <w:szCs w:val="22"/>
              </w:rPr>
              <w:t>cceptance</w:t>
            </w:r>
            <w:r w:rsidR="005D0908" w:rsidRPr="00B234EA">
              <w:rPr>
                <w:color w:val="000000"/>
                <w:szCs w:val="22"/>
              </w:rPr>
              <w:t xml:space="preserve"> by </w:t>
            </w:r>
            <w:r w:rsidR="006B4188" w:rsidRPr="00B234EA">
              <w:rPr>
                <w:color w:val="000000"/>
                <w:szCs w:val="22"/>
              </w:rPr>
              <w:t xml:space="preserve">providing </w:t>
            </w:r>
            <w:r w:rsidR="00C73E15">
              <w:t>both functional and technical</w:t>
            </w:r>
            <w:r w:rsidR="00C73E15" w:rsidRPr="00B234EA">
              <w:rPr>
                <w:color w:val="000000"/>
                <w:szCs w:val="22"/>
              </w:rPr>
              <w:t xml:space="preserve"> </w:t>
            </w:r>
            <w:r w:rsidR="006B4188" w:rsidRPr="00B234EA">
              <w:rPr>
                <w:color w:val="000000"/>
                <w:szCs w:val="22"/>
              </w:rPr>
              <w:t xml:space="preserve">subject matter expertise related to </w:t>
            </w:r>
            <w:r w:rsidR="005D0908" w:rsidRPr="00B234EA">
              <w:rPr>
                <w:color w:val="000000"/>
                <w:szCs w:val="22"/>
              </w:rPr>
              <w:t>comments and questio</w:t>
            </w:r>
            <w:r w:rsidR="006B4188" w:rsidRPr="00B234EA">
              <w:rPr>
                <w:color w:val="000000"/>
                <w:szCs w:val="22"/>
              </w:rPr>
              <w:t>ns during draft and final document reviews</w:t>
            </w:r>
          </w:p>
        </w:tc>
      </w:tr>
      <w:tr w:rsidR="002D1DE8" w:rsidRPr="002D1DE8" w14:paraId="77EB4525" w14:textId="77777777" w:rsidTr="004A4DF5">
        <w:trPr>
          <w:cantSplit/>
          <w:trHeight w:val="300"/>
        </w:trPr>
        <w:tc>
          <w:tcPr>
            <w:tcW w:w="4770" w:type="dxa"/>
            <w:tcBorders>
              <w:top w:val="nil"/>
              <w:left w:val="single" w:sz="4" w:space="0" w:color="auto"/>
              <w:bottom w:val="single" w:sz="4" w:space="0" w:color="auto"/>
              <w:right w:val="single" w:sz="4" w:space="0" w:color="auto"/>
            </w:tcBorders>
            <w:shd w:val="clear" w:color="auto" w:fill="auto"/>
            <w:hideMark/>
          </w:tcPr>
          <w:p w14:paraId="54175E6C" w14:textId="77777777" w:rsidR="002D1DE8" w:rsidRPr="002D1DE8" w:rsidRDefault="002D1DE8" w:rsidP="002B0784">
            <w:pPr>
              <w:rPr>
                <w:color w:val="000000"/>
                <w:szCs w:val="22"/>
              </w:rPr>
            </w:pPr>
            <w:r w:rsidRPr="002D1DE8">
              <w:rPr>
                <w:rFonts w:eastAsia="Symbol" w:cs="Symbol"/>
                <w:color w:val="000000"/>
                <w:szCs w:val="22"/>
              </w:rPr>
              <w:t>Develop the</w:t>
            </w:r>
            <w:r w:rsidR="00DA1A56">
              <w:rPr>
                <w:rFonts w:eastAsia="Symbol" w:cs="Symbol"/>
                <w:color w:val="000000"/>
                <w:szCs w:val="22"/>
              </w:rPr>
              <w:t xml:space="preserve"> Statement of Work (“</w:t>
            </w:r>
            <w:r w:rsidRPr="002D1DE8">
              <w:rPr>
                <w:rFonts w:eastAsia="Symbol" w:cs="Symbol"/>
                <w:color w:val="000000"/>
                <w:szCs w:val="22"/>
              </w:rPr>
              <w:t xml:space="preserve"> SOW</w:t>
            </w:r>
            <w:r w:rsidR="00DA1A56">
              <w:rPr>
                <w:rFonts w:eastAsia="Symbol" w:cs="Symbol"/>
                <w:color w:val="000000"/>
                <w:szCs w:val="22"/>
              </w:rPr>
              <w:t>”)</w:t>
            </w:r>
          </w:p>
        </w:tc>
        <w:tc>
          <w:tcPr>
            <w:tcW w:w="4680" w:type="dxa"/>
            <w:tcBorders>
              <w:top w:val="nil"/>
              <w:left w:val="nil"/>
              <w:bottom w:val="single" w:sz="4" w:space="0" w:color="auto"/>
              <w:right w:val="single" w:sz="4" w:space="0" w:color="auto"/>
            </w:tcBorders>
            <w:shd w:val="clear" w:color="auto" w:fill="auto"/>
            <w:hideMark/>
          </w:tcPr>
          <w:p w14:paraId="1F8E2B67" w14:textId="77777777" w:rsidR="00D70779" w:rsidRPr="00D70779" w:rsidRDefault="00D70779" w:rsidP="00D2716F">
            <w:pPr>
              <w:pStyle w:val="ListParagraph"/>
              <w:numPr>
                <w:ilvl w:val="0"/>
                <w:numId w:val="43"/>
              </w:numPr>
              <w:ind w:left="432"/>
              <w:rPr>
                <w:color w:val="000000"/>
                <w:szCs w:val="22"/>
              </w:rPr>
            </w:pPr>
            <w:r w:rsidRPr="00D70779">
              <w:rPr>
                <w:color w:val="000000"/>
                <w:szCs w:val="22"/>
              </w:rPr>
              <w:t>Facilitate deliverable review and acceptance of the SOW</w:t>
            </w:r>
          </w:p>
          <w:p w14:paraId="2C23E3EA" w14:textId="77777777" w:rsidR="002D1DE8" w:rsidRPr="002D1DE8" w:rsidRDefault="002D1DE8" w:rsidP="00D2716F">
            <w:pPr>
              <w:pStyle w:val="ListParagraph"/>
              <w:numPr>
                <w:ilvl w:val="0"/>
                <w:numId w:val="43"/>
              </w:numPr>
              <w:ind w:left="432"/>
            </w:pPr>
            <w:r w:rsidRPr="00D70779">
              <w:rPr>
                <w:color w:val="000000"/>
                <w:szCs w:val="22"/>
              </w:rPr>
              <w:t>Perform QA review of the SOW</w:t>
            </w:r>
          </w:p>
        </w:tc>
      </w:tr>
      <w:tr w:rsidR="002D1DE8" w:rsidRPr="002D1DE8" w14:paraId="0AED1E03" w14:textId="77777777" w:rsidTr="004A4DF5">
        <w:trPr>
          <w:cantSplit/>
          <w:trHeight w:val="900"/>
        </w:trPr>
        <w:tc>
          <w:tcPr>
            <w:tcW w:w="4770" w:type="dxa"/>
            <w:tcBorders>
              <w:top w:val="nil"/>
              <w:left w:val="single" w:sz="4" w:space="0" w:color="auto"/>
              <w:bottom w:val="single" w:sz="4" w:space="0" w:color="auto"/>
              <w:right w:val="single" w:sz="4" w:space="0" w:color="auto"/>
            </w:tcBorders>
            <w:shd w:val="clear" w:color="auto" w:fill="auto"/>
            <w:noWrap/>
            <w:hideMark/>
          </w:tcPr>
          <w:p w14:paraId="17C8A50A" w14:textId="77777777" w:rsidR="002D1DE8" w:rsidRPr="002D1DE8" w:rsidRDefault="002D1DE8" w:rsidP="002B0784">
            <w:pPr>
              <w:rPr>
                <w:color w:val="000000"/>
                <w:szCs w:val="22"/>
              </w:rPr>
            </w:pPr>
            <w:r w:rsidRPr="002D1DE8">
              <w:rPr>
                <w:color w:val="000000"/>
                <w:szCs w:val="22"/>
              </w:rPr>
              <w:t xml:space="preserve">Manage </w:t>
            </w:r>
            <w:r>
              <w:rPr>
                <w:color w:val="000000"/>
                <w:szCs w:val="22"/>
              </w:rPr>
              <w:t>c</w:t>
            </w:r>
            <w:r w:rsidRPr="002D1DE8">
              <w:rPr>
                <w:color w:val="000000"/>
                <w:szCs w:val="22"/>
              </w:rPr>
              <w:t>ontract negotiations</w:t>
            </w:r>
          </w:p>
        </w:tc>
        <w:tc>
          <w:tcPr>
            <w:tcW w:w="4680" w:type="dxa"/>
            <w:tcBorders>
              <w:top w:val="nil"/>
              <w:left w:val="nil"/>
              <w:bottom w:val="single" w:sz="4" w:space="0" w:color="auto"/>
              <w:right w:val="single" w:sz="4" w:space="0" w:color="auto"/>
            </w:tcBorders>
            <w:shd w:val="clear" w:color="auto" w:fill="auto"/>
            <w:hideMark/>
          </w:tcPr>
          <w:p w14:paraId="07702935" w14:textId="77777777" w:rsidR="00D70779" w:rsidRPr="00D70779" w:rsidRDefault="00D70779" w:rsidP="00D2716F">
            <w:pPr>
              <w:pStyle w:val="ListParagraph"/>
              <w:numPr>
                <w:ilvl w:val="0"/>
                <w:numId w:val="43"/>
              </w:numPr>
              <w:ind w:left="432"/>
              <w:rPr>
                <w:color w:val="000000"/>
                <w:szCs w:val="22"/>
              </w:rPr>
            </w:pPr>
            <w:r w:rsidRPr="00D70779">
              <w:rPr>
                <w:color w:val="000000"/>
                <w:szCs w:val="22"/>
              </w:rPr>
              <w:t>Facilitate review and acceptance of the Change Order and Contract Amendment</w:t>
            </w:r>
          </w:p>
          <w:p w14:paraId="74E98F0C" w14:textId="77777777" w:rsidR="00805C59" w:rsidRPr="00D70779" w:rsidRDefault="00486F2C" w:rsidP="00D2716F">
            <w:pPr>
              <w:pStyle w:val="ListParagraph"/>
              <w:numPr>
                <w:ilvl w:val="0"/>
                <w:numId w:val="43"/>
              </w:numPr>
              <w:ind w:left="432"/>
              <w:rPr>
                <w:color w:val="000000"/>
                <w:szCs w:val="22"/>
              </w:rPr>
            </w:pPr>
            <w:r w:rsidRPr="00486F2C">
              <w:rPr>
                <w:color w:val="000000"/>
                <w:szCs w:val="22"/>
              </w:rPr>
              <w:t>Perform QA</w:t>
            </w:r>
            <w:r>
              <w:rPr>
                <w:color w:val="000000"/>
                <w:szCs w:val="22"/>
              </w:rPr>
              <w:t xml:space="preserve"> r</w:t>
            </w:r>
            <w:r w:rsidRPr="00D70779">
              <w:rPr>
                <w:color w:val="000000"/>
                <w:szCs w:val="22"/>
              </w:rPr>
              <w:t xml:space="preserve">eview </w:t>
            </w:r>
            <w:r w:rsidR="002D1DE8" w:rsidRPr="00D70779">
              <w:rPr>
                <w:color w:val="000000"/>
                <w:szCs w:val="22"/>
              </w:rPr>
              <w:t>and provide feedback on the draft Change Order and contract revisions</w:t>
            </w:r>
          </w:p>
          <w:p w14:paraId="3F21B36C" w14:textId="77777777" w:rsidR="002D1DE8" w:rsidRPr="002D1DE8" w:rsidRDefault="00805C59" w:rsidP="00D2716F">
            <w:pPr>
              <w:pStyle w:val="ListParagraph"/>
              <w:numPr>
                <w:ilvl w:val="0"/>
                <w:numId w:val="43"/>
              </w:numPr>
              <w:ind w:left="432"/>
              <w:rPr>
                <w:color w:val="000000"/>
                <w:szCs w:val="22"/>
              </w:rPr>
            </w:pPr>
            <w:r>
              <w:rPr>
                <w:color w:val="000000"/>
                <w:szCs w:val="22"/>
              </w:rPr>
              <w:t>Participate in contract negotiations to provide recommendations and assess revisions</w:t>
            </w:r>
          </w:p>
        </w:tc>
      </w:tr>
      <w:tr w:rsidR="002D1DE8" w:rsidRPr="002D1DE8" w14:paraId="4A78A9AF" w14:textId="77777777" w:rsidTr="004A4DF5">
        <w:trPr>
          <w:cantSplit/>
          <w:trHeight w:val="600"/>
        </w:trPr>
        <w:tc>
          <w:tcPr>
            <w:tcW w:w="4770" w:type="dxa"/>
            <w:tcBorders>
              <w:top w:val="nil"/>
              <w:left w:val="single" w:sz="4" w:space="0" w:color="auto"/>
              <w:bottom w:val="single" w:sz="4" w:space="0" w:color="auto"/>
              <w:right w:val="single" w:sz="4" w:space="0" w:color="auto"/>
            </w:tcBorders>
            <w:shd w:val="clear" w:color="auto" w:fill="auto"/>
            <w:hideMark/>
          </w:tcPr>
          <w:p w14:paraId="45A52285" w14:textId="5046ECA2" w:rsidR="002D1DE8" w:rsidRPr="002D1DE8" w:rsidRDefault="000F484F" w:rsidP="0099206F">
            <w:pPr>
              <w:rPr>
                <w:color w:val="000000"/>
                <w:szCs w:val="22"/>
              </w:rPr>
            </w:pPr>
            <w:r w:rsidRPr="002D1DE8">
              <w:rPr>
                <w:color w:val="000000"/>
                <w:szCs w:val="22"/>
              </w:rPr>
              <w:lastRenderedPageBreak/>
              <w:t xml:space="preserve"> Review and provide feedback on the IAPD and subsequent IAPDU</w:t>
            </w:r>
            <w:r w:rsidR="00FC4B89">
              <w:rPr>
                <w:color w:val="000000"/>
                <w:szCs w:val="22"/>
              </w:rPr>
              <w:t>s</w:t>
            </w:r>
          </w:p>
        </w:tc>
        <w:tc>
          <w:tcPr>
            <w:tcW w:w="4680" w:type="dxa"/>
            <w:tcBorders>
              <w:top w:val="nil"/>
              <w:left w:val="nil"/>
              <w:bottom w:val="single" w:sz="4" w:space="0" w:color="auto"/>
              <w:right w:val="single" w:sz="4" w:space="0" w:color="auto"/>
            </w:tcBorders>
            <w:shd w:val="clear" w:color="auto" w:fill="auto"/>
            <w:hideMark/>
          </w:tcPr>
          <w:p w14:paraId="6B2A2274" w14:textId="324BA0FE" w:rsidR="002D1DE8" w:rsidRPr="00B234EA" w:rsidRDefault="000F484F" w:rsidP="00B234EA">
            <w:pPr>
              <w:pStyle w:val="ListParagraph"/>
              <w:numPr>
                <w:ilvl w:val="0"/>
                <w:numId w:val="47"/>
              </w:numPr>
              <w:rPr>
                <w:color w:val="000000"/>
                <w:szCs w:val="22"/>
              </w:rPr>
            </w:pPr>
            <w:r w:rsidRPr="00B234EA">
              <w:rPr>
                <w:rFonts w:eastAsia="Symbol" w:cs="Symbol"/>
                <w:color w:val="000000"/>
                <w:szCs w:val="22"/>
              </w:rPr>
              <w:t xml:space="preserve">Lead development of the </w:t>
            </w:r>
            <w:r w:rsidRPr="00302853">
              <w:t>IAPD and subsequent IAPDU</w:t>
            </w:r>
            <w:r w:rsidR="00FC4B89">
              <w:t>s</w:t>
            </w:r>
            <w:r w:rsidRPr="00B234EA">
              <w:rPr>
                <w:rFonts w:eastAsia="Symbol" w:cs="Symbol"/>
                <w:color w:val="000000"/>
                <w:szCs w:val="22"/>
              </w:rPr>
              <w:t xml:space="preserve"> and support Consortium, State and federal review and approval</w:t>
            </w:r>
          </w:p>
        </w:tc>
      </w:tr>
      <w:tr w:rsidR="00CC3365" w:rsidRPr="002D1DE8" w14:paraId="0BD4A025" w14:textId="77777777" w:rsidTr="004A4DF5">
        <w:trPr>
          <w:cantSplit/>
          <w:trHeight w:val="600"/>
        </w:trPr>
        <w:tc>
          <w:tcPr>
            <w:tcW w:w="4770" w:type="dxa"/>
            <w:tcBorders>
              <w:top w:val="nil"/>
              <w:left w:val="single" w:sz="4" w:space="0" w:color="auto"/>
              <w:bottom w:val="single" w:sz="4" w:space="0" w:color="auto"/>
              <w:right w:val="single" w:sz="4" w:space="0" w:color="auto"/>
            </w:tcBorders>
            <w:shd w:val="clear" w:color="auto" w:fill="auto"/>
          </w:tcPr>
          <w:p w14:paraId="12128DFF" w14:textId="77777777" w:rsidR="00CC3365" w:rsidRPr="002D1DE8" w:rsidRDefault="00CC3365" w:rsidP="0099206F">
            <w:pPr>
              <w:rPr>
                <w:rFonts w:eastAsia="Symbol" w:cs="Symbol"/>
                <w:color w:val="000000"/>
                <w:szCs w:val="22"/>
              </w:rPr>
            </w:pPr>
            <w:r w:rsidRPr="00CC3365">
              <w:rPr>
                <w:rFonts w:eastAsia="Symbol" w:cs="Symbol"/>
                <w:color w:val="000000"/>
                <w:szCs w:val="22"/>
              </w:rPr>
              <w:t xml:space="preserve">Develop and conduct </w:t>
            </w:r>
            <w:r w:rsidR="00CC107C">
              <w:rPr>
                <w:rFonts w:eastAsia="Symbol" w:cs="Symbol"/>
                <w:color w:val="000000"/>
                <w:szCs w:val="22"/>
              </w:rPr>
              <w:t>m</w:t>
            </w:r>
            <w:r w:rsidRPr="00CC3365">
              <w:rPr>
                <w:rFonts w:eastAsia="Symbol" w:cs="Symbol"/>
                <w:color w:val="000000"/>
                <w:szCs w:val="22"/>
              </w:rPr>
              <w:t>igration</w:t>
            </w:r>
            <w:r w:rsidR="00BE65C5">
              <w:rPr>
                <w:rFonts w:eastAsia="Symbol" w:cs="Symbol"/>
                <w:color w:val="000000"/>
                <w:szCs w:val="22"/>
              </w:rPr>
              <w:t xml:space="preserve"> D&amp;I</w:t>
            </w:r>
            <w:r w:rsidRPr="00CC3365">
              <w:rPr>
                <w:rFonts w:eastAsia="Symbol" w:cs="Symbol"/>
                <w:color w:val="000000"/>
                <w:szCs w:val="22"/>
              </w:rPr>
              <w:t xml:space="preserve"> project preparation activities to recruit and select project staff for the D&amp;I phase of the migration effort</w:t>
            </w:r>
          </w:p>
        </w:tc>
        <w:tc>
          <w:tcPr>
            <w:tcW w:w="4680" w:type="dxa"/>
            <w:tcBorders>
              <w:top w:val="nil"/>
              <w:left w:val="nil"/>
              <w:bottom w:val="single" w:sz="4" w:space="0" w:color="auto"/>
              <w:right w:val="single" w:sz="4" w:space="0" w:color="auto"/>
            </w:tcBorders>
            <w:shd w:val="clear" w:color="auto" w:fill="auto"/>
          </w:tcPr>
          <w:p w14:paraId="6CDE26EE" w14:textId="77777777" w:rsidR="00D70779" w:rsidRDefault="00D70779" w:rsidP="00D2716F">
            <w:pPr>
              <w:pStyle w:val="ListParagraph"/>
              <w:numPr>
                <w:ilvl w:val="0"/>
                <w:numId w:val="43"/>
              </w:numPr>
              <w:ind w:left="432"/>
              <w:rPr>
                <w:color w:val="000000"/>
                <w:szCs w:val="22"/>
              </w:rPr>
            </w:pPr>
            <w:r w:rsidRPr="00D70779">
              <w:rPr>
                <w:color w:val="000000"/>
                <w:szCs w:val="22"/>
              </w:rPr>
              <w:t>Lead development of Project Management start-up procedures for the Migration D&amp;I Project in support of county readiness activities</w:t>
            </w:r>
          </w:p>
          <w:p w14:paraId="21887A9D" w14:textId="77777777" w:rsidR="006B4188" w:rsidRPr="002D1DE8" w:rsidRDefault="009F10F0" w:rsidP="00D2716F">
            <w:pPr>
              <w:pStyle w:val="ListParagraph"/>
              <w:numPr>
                <w:ilvl w:val="0"/>
                <w:numId w:val="43"/>
              </w:numPr>
              <w:ind w:left="432"/>
              <w:rPr>
                <w:color w:val="000000"/>
                <w:szCs w:val="22"/>
              </w:rPr>
            </w:pPr>
            <w:r>
              <w:rPr>
                <w:color w:val="000000"/>
                <w:szCs w:val="22"/>
              </w:rPr>
              <w:t xml:space="preserve">Assess </w:t>
            </w:r>
            <w:r w:rsidR="00CC107C">
              <w:rPr>
                <w:color w:val="000000"/>
                <w:szCs w:val="22"/>
              </w:rPr>
              <w:t>m</w:t>
            </w:r>
            <w:r>
              <w:rPr>
                <w:color w:val="000000"/>
                <w:szCs w:val="22"/>
              </w:rPr>
              <w:t xml:space="preserve">igration D&amp;I </w:t>
            </w:r>
            <w:r w:rsidR="00CC3365">
              <w:rPr>
                <w:color w:val="000000"/>
                <w:szCs w:val="22"/>
              </w:rPr>
              <w:t xml:space="preserve">project readiness and </w:t>
            </w:r>
            <w:r>
              <w:rPr>
                <w:color w:val="000000"/>
                <w:szCs w:val="22"/>
              </w:rPr>
              <w:t xml:space="preserve">provide recommendations to </w:t>
            </w:r>
            <w:r w:rsidR="006B4188">
              <w:rPr>
                <w:color w:val="000000"/>
                <w:szCs w:val="22"/>
              </w:rPr>
              <w:t>support</w:t>
            </w:r>
            <w:r w:rsidR="00B81FFC">
              <w:rPr>
                <w:color w:val="000000"/>
                <w:szCs w:val="22"/>
              </w:rPr>
              <w:t xml:space="preserve"> </w:t>
            </w:r>
            <w:r>
              <w:rPr>
                <w:color w:val="000000"/>
                <w:szCs w:val="22"/>
              </w:rPr>
              <w:t xml:space="preserve">collaborative C-IV and LRS </w:t>
            </w:r>
            <w:r w:rsidR="00BE65C5">
              <w:rPr>
                <w:color w:val="000000"/>
                <w:szCs w:val="22"/>
              </w:rPr>
              <w:t>preparations</w:t>
            </w:r>
            <w:r w:rsidR="005D0908">
              <w:rPr>
                <w:color w:val="000000"/>
                <w:szCs w:val="22"/>
              </w:rPr>
              <w:t xml:space="preserve"> related to project</w:t>
            </w:r>
            <w:r w:rsidR="00B81FFC">
              <w:rPr>
                <w:color w:val="000000"/>
                <w:szCs w:val="22"/>
              </w:rPr>
              <w:t xml:space="preserve"> start-up activities</w:t>
            </w:r>
            <w:r>
              <w:rPr>
                <w:color w:val="000000"/>
                <w:szCs w:val="22"/>
              </w:rPr>
              <w:t xml:space="preserve">, </w:t>
            </w:r>
            <w:r w:rsidR="00B81FFC">
              <w:rPr>
                <w:color w:val="000000"/>
                <w:szCs w:val="22"/>
              </w:rPr>
              <w:t>staff recruitment, orientation and training</w:t>
            </w:r>
            <w:r w:rsidR="006B4188">
              <w:rPr>
                <w:color w:val="000000"/>
                <w:szCs w:val="22"/>
              </w:rPr>
              <w:t>, as well as project management plans</w:t>
            </w:r>
          </w:p>
        </w:tc>
      </w:tr>
      <w:tr w:rsidR="00606FEF" w:rsidRPr="002D1DE8" w14:paraId="2D71FEA5" w14:textId="77777777" w:rsidTr="004A4DF5">
        <w:trPr>
          <w:cantSplit/>
          <w:trHeight w:val="600"/>
        </w:trPr>
        <w:tc>
          <w:tcPr>
            <w:tcW w:w="4770" w:type="dxa"/>
            <w:tcBorders>
              <w:top w:val="nil"/>
              <w:left w:val="single" w:sz="4" w:space="0" w:color="auto"/>
              <w:bottom w:val="single" w:sz="4" w:space="0" w:color="auto"/>
              <w:right w:val="single" w:sz="4" w:space="0" w:color="auto"/>
            </w:tcBorders>
            <w:shd w:val="clear" w:color="auto" w:fill="auto"/>
          </w:tcPr>
          <w:p w14:paraId="58C2A926" w14:textId="4D567C27" w:rsidR="006B472A" w:rsidRPr="006B472A" w:rsidRDefault="006B472A" w:rsidP="006B472A">
            <w:pPr>
              <w:rPr>
                <w:rFonts w:eastAsia="Symbol" w:cs="Symbol"/>
                <w:color w:val="000000"/>
                <w:szCs w:val="22"/>
              </w:rPr>
            </w:pPr>
            <w:r>
              <w:rPr>
                <w:rFonts w:eastAsia="Symbol" w:cs="Symbol"/>
                <w:color w:val="000000"/>
                <w:szCs w:val="22"/>
              </w:rPr>
              <w:t>LRS Joint Development</w:t>
            </w:r>
          </w:p>
          <w:p w14:paraId="6941C686" w14:textId="4CE3C328" w:rsidR="00606FEF" w:rsidRPr="00606FEF" w:rsidRDefault="00606FEF" w:rsidP="00606FEF">
            <w:pPr>
              <w:pStyle w:val="ListParagraph"/>
              <w:numPr>
                <w:ilvl w:val="0"/>
                <w:numId w:val="43"/>
              </w:numPr>
              <w:ind w:left="345" w:hanging="345"/>
              <w:rPr>
                <w:rFonts w:eastAsia="Symbol" w:cs="Symbol"/>
                <w:color w:val="000000"/>
                <w:szCs w:val="22"/>
              </w:rPr>
            </w:pPr>
            <w:r w:rsidRPr="00606FEF">
              <w:rPr>
                <w:rFonts w:eastAsia="Symbol" w:cs="Symbol"/>
                <w:color w:val="000000"/>
                <w:szCs w:val="22"/>
              </w:rPr>
              <w:t xml:space="preserve">Interfacing with the D&amp;I Vendor Application Development Team Leads and Analysts to provide input into the design and testing of business requirements </w:t>
            </w:r>
          </w:p>
          <w:p w14:paraId="07A6894A" w14:textId="6025249F" w:rsidR="00606FEF" w:rsidRDefault="00606FEF" w:rsidP="00606FEF">
            <w:pPr>
              <w:pStyle w:val="ListParagraph"/>
              <w:numPr>
                <w:ilvl w:val="0"/>
                <w:numId w:val="43"/>
              </w:numPr>
              <w:ind w:left="345" w:hanging="345"/>
              <w:rPr>
                <w:rFonts w:eastAsia="Symbol" w:cs="Symbol"/>
                <w:color w:val="000000"/>
                <w:szCs w:val="22"/>
              </w:rPr>
            </w:pPr>
            <w:r w:rsidRPr="00606FEF">
              <w:rPr>
                <w:rFonts w:eastAsia="Symbol" w:cs="Symbol"/>
                <w:color w:val="000000"/>
                <w:szCs w:val="22"/>
              </w:rPr>
              <w:t xml:space="preserve">Representing the programmatic needs in the analysis, design and testing of application business requirements specific to each of: Eligibility/Online, Reports, and Fiscal  </w:t>
            </w:r>
          </w:p>
          <w:p w14:paraId="276AA4C0" w14:textId="504FD9ED" w:rsidR="00606FEF" w:rsidRPr="00606FEF" w:rsidRDefault="00606FEF" w:rsidP="00606FEF">
            <w:pPr>
              <w:pStyle w:val="ListParagraph"/>
              <w:numPr>
                <w:ilvl w:val="0"/>
                <w:numId w:val="43"/>
              </w:numPr>
              <w:ind w:left="345" w:hanging="345"/>
              <w:rPr>
                <w:rFonts w:eastAsia="Symbol" w:cs="Symbol"/>
                <w:color w:val="000000"/>
                <w:szCs w:val="22"/>
              </w:rPr>
            </w:pPr>
            <w:r w:rsidRPr="00606FEF">
              <w:rPr>
                <w:rFonts w:eastAsia="Symbol" w:cs="Symbol"/>
                <w:color w:val="000000"/>
                <w:szCs w:val="22"/>
              </w:rPr>
              <w:t>Focusing on complex areas and areas where C-IV has had issues, as well as focus on any new areas of functionality that Los Angeles County requires</w:t>
            </w:r>
          </w:p>
        </w:tc>
        <w:tc>
          <w:tcPr>
            <w:tcW w:w="4680" w:type="dxa"/>
            <w:tcBorders>
              <w:top w:val="nil"/>
              <w:left w:val="nil"/>
              <w:bottom w:val="single" w:sz="4" w:space="0" w:color="auto"/>
              <w:right w:val="single" w:sz="4" w:space="0" w:color="auto"/>
            </w:tcBorders>
            <w:shd w:val="clear" w:color="auto" w:fill="auto"/>
          </w:tcPr>
          <w:p w14:paraId="1FED2698" w14:textId="389D1B8D" w:rsidR="006B472A" w:rsidRPr="006B472A" w:rsidRDefault="006B472A" w:rsidP="006B472A">
            <w:pPr>
              <w:ind w:left="72"/>
              <w:rPr>
                <w:color w:val="000000"/>
                <w:szCs w:val="22"/>
              </w:rPr>
            </w:pPr>
            <w:r>
              <w:rPr>
                <w:color w:val="000000"/>
                <w:szCs w:val="22"/>
              </w:rPr>
              <w:t>LRS Joint Development</w:t>
            </w:r>
          </w:p>
          <w:p w14:paraId="0B5F5C93" w14:textId="01366C80" w:rsidR="00606FEF" w:rsidRPr="00606FEF" w:rsidRDefault="00606FEF" w:rsidP="00606FEF">
            <w:pPr>
              <w:pStyle w:val="ListParagraph"/>
              <w:numPr>
                <w:ilvl w:val="0"/>
                <w:numId w:val="43"/>
              </w:numPr>
              <w:ind w:left="432"/>
              <w:rPr>
                <w:color w:val="000000"/>
                <w:szCs w:val="22"/>
              </w:rPr>
            </w:pPr>
            <w:r w:rsidRPr="00606FEF">
              <w:rPr>
                <w:color w:val="000000"/>
                <w:szCs w:val="22"/>
              </w:rPr>
              <w:t>Participat</w:t>
            </w:r>
            <w:r w:rsidR="00BC12DE">
              <w:rPr>
                <w:color w:val="000000"/>
                <w:szCs w:val="22"/>
              </w:rPr>
              <w:t>e</w:t>
            </w:r>
            <w:r w:rsidRPr="00606FEF">
              <w:rPr>
                <w:color w:val="000000"/>
                <w:szCs w:val="22"/>
              </w:rPr>
              <w:t xml:space="preserve"> in requirements, design and build meetings </w:t>
            </w:r>
          </w:p>
          <w:p w14:paraId="101A81CA" w14:textId="4E3755A2" w:rsidR="00606FEF" w:rsidRPr="00606FEF" w:rsidRDefault="00606FEF" w:rsidP="00606FEF">
            <w:pPr>
              <w:pStyle w:val="ListParagraph"/>
              <w:numPr>
                <w:ilvl w:val="0"/>
                <w:numId w:val="43"/>
              </w:numPr>
              <w:ind w:left="432"/>
              <w:rPr>
                <w:color w:val="000000"/>
                <w:szCs w:val="22"/>
              </w:rPr>
            </w:pPr>
            <w:r w:rsidRPr="00606FEF">
              <w:rPr>
                <w:color w:val="000000"/>
                <w:szCs w:val="22"/>
              </w:rPr>
              <w:t>Actively monitoring requirements, work plans and overall project progress</w:t>
            </w:r>
          </w:p>
          <w:p w14:paraId="63F1D4F5" w14:textId="2FB87091" w:rsidR="00606FEF" w:rsidRPr="00606FEF" w:rsidRDefault="00606FEF" w:rsidP="00A7460C">
            <w:pPr>
              <w:pStyle w:val="ListParagraph"/>
              <w:numPr>
                <w:ilvl w:val="0"/>
                <w:numId w:val="43"/>
              </w:numPr>
              <w:ind w:left="432"/>
              <w:rPr>
                <w:color w:val="000000"/>
                <w:szCs w:val="22"/>
              </w:rPr>
            </w:pPr>
            <w:r w:rsidRPr="00606FEF">
              <w:rPr>
                <w:color w:val="000000"/>
                <w:szCs w:val="22"/>
              </w:rPr>
              <w:t xml:space="preserve">Act on behalf of the C-IV Project to ensure consideration is given by the </w:t>
            </w:r>
            <w:r w:rsidR="00BC12DE" w:rsidRPr="00BC12DE">
              <w:rPr>
                <w:color w:val="000000"/>
                <w:szCs w:val="22"/>
              </w:rPr>
              <w:t xml:space="preserve">LRS Development </w:t>
            </w:r>
            <w:r w:rsidRPr="00606FEF">
              <w:rPr>
                <w:color w:val="000000"/>
                <w:szCs w:val="22"/>
              </w:rPr>
              <w:t xml:space="preserve">Contractor for current C-IV functional and technical requirements </w:t>
            </w:r>
          </w:p>
          <w:p w14:paraId="4CD81293" w14:textId="4E385A9B" w:rsidR="00606FEF" w:rsidRPr="00606FEF" w:rsidRDefault="00606FEF" w:rsidP="00606FEF">
            <w:pPr>
              <w:pStyle w:val="ListParagraph"/>
              <w:numPr>
                <w:ilvl w:val="0"/>
                <w:numId w:val="43"/>
              </w:numPr>
              <w:ind w:left="432"/>
              <w:rPr>
                <w:color w:val="000000"/>
                <w:szCs w:val="22"/>
              </w:rPr>
            </w:pPr>
            <w:r w:rsidRPr="00606FEF">
              <w:rPr>
                <w:color w:val="000000"/>
                <w:szCs w:val="22"/>
              </w:rPr>
              <w:t>Identifying and analyzing issues and risks for potential impact to C-IV</w:t>
            </w:r>
          </w:p>
          <w:p w14:paraId="184D8099" w14:textId="504B440A" w:rsidR="00606FEF" w:rsidRPr="00606FEF" w:rsidRDefault="00606FEF" w:rsidP="00606FEF">
            <w:pPr>
              <w:pStyle w:val="ListParagraph"/>
              <w:numPr>
                <w:ilvl w:val="0"/>
                <w:numId w:val="43"/>
              </w:numPr>
              <w:ind w:left="432"/>
              <w:rPr>
                <w:color w:val="000000"/>
                <w:szCs w:val="22"/>
              </w:rPr>
            </w:pPr>
            <w:r w:rsidRPr="00606FEF">
              <w:rPr>
                <w:color w:val="000000"/>
                <w:szCs w:val="22"/>
              </w:rPr>
              <w:t xml:space="preserve">Review deliverables and work products to validate design points are captured and align with </w:t>
            </w:r>
            <w:r w:rsidR="00BC12DE">
              <w:rPr>
                <w:color w:val="000000"/>
                <w:szCs w:val="22"/>
              </w:rPr>
              <w:t>Consortium</w:t>
            </w:r>
            <w:r w:rsidRPr="00606FEF">
              <w:rPr>
                <w:color w:val="000000"/>
                <w:szCs w:val="22"/>
              </w:rPr>
              <w:t xml:space="preserve"> standards including recommendations as appropriate</w:t>
            </w:r>
          </w:p>
          <w:p w14:paraId="704B3656" w14:textId="7188C0F5" w:rsidR="00606FEF" w:rsidRPr="00606FEF" w:rsidRDefault="00606FEF" w:rsidP="00A7460C">
            <w:pPr>
              <w:pStyle w:val="ListParagraph"/>
              <w:numPr>
                <w:ilvl w:val="0"/>
                <w:numId w:val="43"/>
              </w:numPr>
              <w:ind w:left="432"/>
              <w:rPr>
                <w:color w:val="000000"/>
                <w:szCs w:val="22"/>
              </w:rPr>
            </w:pPr>
            <w:r w:rsidRPr="00606FEF">
              <w:rPr>
                <w:color w:val="000000"/>
                <w:szCs w:val="22"/>
              </w:rPr>
              <w:t>Provid</w:t>
            </w:r>
            <w:r w:rsidR="00BC12DE">
              <w:rPr>
                <w:color w:val="000000"/>
                <w:szCs w:val="22"/>
              </w:rPr>
              <w:t>e</w:t>
            </w:r>
            <w:r w:rsidRPr="00606FEF">
              <w:rPr>
                <w:color w:val="000000"/>
                <w:szCs w:val="22"/>
              </w:rPr>
              <w:t xml:space="preserve"> the LRS Development Contractor team with thoroughly documented </w:t>
            </w:r>
            <w:r w:rsidR="00BC12DE" w:rsidRPr="00BC12DE">
              <w:rPr>
                <w:color w:val="000000"/>
                <w:szCs w:val="22"/>
              </w:rPr>
              <w:t xml:space="preserve">deficiencies </w:t>
            </w:r>
            <w:r w:rsidRPr="00606FEF">
              <w:rPr>
                <w:color w:val="000000"/>
                <w:szCs w:val="22"/>
              </w:rPr>
              <w:t>when an issue is discove</w:t>
            </w:r>
            <w:r w:rsidR="00BC12DE">
              <w:rPr>
                <w:color w:val="000000"/>
                <w:szCs w:val="22"/>
              </w:rPr>
              <w:t>red as a result of the testing</w:t>
            </w:r>
          </w:p>
          <w:p w14:paraId="413F1E16" w14:textId="16174692" w:rsidR="00606FEF" w:rsidRPr="00D70779" w:rsidRDefault="00BC12DE">
            <w:pPr>
              <w:pStyle w:val="ListParagraph"/>
              <w:numPr>
                <w:ilvl w:val="0"/>
                <w:numId w:val="43"/>
              </w:numPr>
              <w:ind w:left="432"/>
              <w:rPr>
                <w:color w:val="000000"/>
                <w:szCs w:val="22"/>
              </w:rPr>
            </w:pPr>
            <w:r>
              <w:rPr>
                <w:color w:val="000000"/>
                <w:szCs w:val="22"/>
              </w:rPr>
              <w:t>Complete</w:t>
            </w:r>
            <w:r w:rsidR="00606FEF" w:rsidRPr="00606FEF">
              <w:rPr>
                <w:color w:val="000000"/>
                <w:szCs w:val="22"/>
              </w:rPr>
              <w:t xml:space="preserve"> retest of SIRs and report findings through tracking tool when the code corrections have been promoted to the test environment</w:t>
            </w:r>
          </w:p>
        </w:tc>
      </w:tr>
    </w:tbl>
    <w:p w14:paraId="77106D60" w14:textId="77777777" w:rsidR="00DD6022" w:rsidRDefault="00DD6022" w:rsidP="00522AB7">
      <w:pPr>
        <w:ind w:left="720"/>
        <w:jc w:val="both"/>
        <w:rPr>
          <w:bCs/>
        </w:rPr>
      </w:pPr>
    </w:p>
    <w:p w14:paraId="1DA9A3DE" w14:textId="376D72AE" w:rsidR="00577891" w:rsidRDefault="00E77C5E" w:rsidP="00577891">
      <w:pPr>
        <w:ind w:left="720"/>
        <w:jc w:val="both"/>
      </w:pPr>
      <w:r>
        <w:t xml:space="preserve">To accomplish these tasks and meet all current commitments, </w:t>
      </w:r>
      <w:r w:rsidRPr="00DA1445">
        <w:t xml:space="preserve">First Data </w:t>
      </w:r>
      <w:r w:rsidR="00AB05AD">
        <w:t xml:space="preserve">will </w:t>
      </w:r>
      <w:r w:rsidR="007A6B9D" w:rsidRPr="007A6B9D">
        <w:t>add staffing hours</w:t>
      </w:r>
      <w:r w:rsidR="00BC12DE">
        <w:t>:</w:t>
      </w:r>
      <w:r w:rsidR="00577891">
        <w:t xml:space="preserve"> </w:t>
      </w:r>
    </w:p>
    <w:p w14:paraId="724C45B2" w14:textId="56A13DBA" w:rsidR="00577891" w:rsidRDefault="00577891" w:rsidP="004A4DF5">
      <w:pPr>
        <w:pStyle w:val="ListParagraph"/>
        <w:numPr>
          <w:ilvl w:val="0"/>
          <w:numId w:val="50"/>
        </w:numPr>
        <w:jc w:val="both"/>
      </w:pPr>
      <w:r>
        <w:t>Through December 2017,</w:t>
      </w:r>
      <w:r w:rsidRPr="00577891">
        <w:t xml:space="preserve"> </w:t>
      </w:r>
      <w:r w:rsidRPr="007A6B9D">
        <w:t xml:space="preserve">in the form of </w:t>
      </w:r>
      <w:r>
        <w:t>one</w:t>
      </w:r>
      <w:r w:rsidRPr="007A6B9D">
        <w:t xml:space="preserve"> Technical </w:t>
      </w:r>
      <w:r>
        <w:t>Analyst, one Business Analyst, one Fiscal Analyst and one part-time Subject Matter Expert; and</w:t>
      </w:r>
      <w:r w:rsidR="00E77C5E">
        <w:t xml:space="preserve"> </w:t>
      </w:r>
      <w:r>
        <w:t xml:space="preserve"> </w:t>
      </w:r>
    </w:p>
    <w:p w14:paraId="60B2A852" w14:textId="1D51C0D1" w:rsidR="00577891" w:rsidRDefault="00577891" w:rsidP="004A4DF5">
      <w:pPr>
        <w:pStyle w:val="ListParagraph"/>
        <w:numPr>
          <w:ilvl w:val="0"/>
          <w:numId w:val="50"/>
        </w:numPr>
        <w:jc w:val="both"/>
      </w:pPr>
      <w:r>
        <w:lastRenderedPageBreak/>
        <w:t xml:space="preserve">Between January 2018 through September 2018, </w:t>
      </w:r>
      <w:r w:rsidRPr="007A6B9D">
        <w:t xml:space="preserve">in the form of </w:t>
      </w:r>
      <w:r>
        <w:t xml:space="preserve">one </w:t>
      </w:r>
      <w:r w:rsidRPr="00577891">
        <w:t>Business Analyst Lead</w:t>
      </w:r>
      <w:r>
        <w:t xml:space="preserve">, </w:t>
      </w:r>
      <w:r w:rsidR="007561B8">
        <w:t xml:space="preserve">one Functional Lead, </w:t>
      </w:r>
      <w:r>
        <w:t>one</w:t>
      </w:r>
      <w:r w:rsidRPr="007A6B9D">
        <w:t xml:space="preserve"> Technical </w:t>
      </w:r>
      <w:r>
        <w:t>Analyst, two Business Analyst</w:t>
      </w:r>
      <w:r w:rsidR="007561B8">
        <w:t>s</w:t>
      </w:r>
      <w:r>
        <w:t xml:space="preserve">, </w:t>
      </w:r>
      <w:r w:rsidR="007561B8">
        <w:t xml:space="preserve">and </w:t>
      </w:r>
      <w:r>
        <w:t xml:space="preserve">one Fiscal Analyst. </w:t>
      </w:r>
    </w:p>
    <w:p w14:paraId="4C40F615" w14:textId="7ECD6640" w:rsidR="00D737E7" w:rsidRDefault="00D737E7" w:rsidP="00522AB7">
      <w:pPr>
        <w:ind w:left="720"/>
        <w:jc w:val="both"/>
      </w:pPr>
    </w:p>
    <w:p w14:paraId="2FE30532" w14:textId="41AB32FD" w:rsidR="004A09A8" w:rsidRDefault="004A09A8" w:rsidP="006738C1">
      <w:pPr>
        <w:widowControl w:val="0"/>
        <w:tabs>
          <w:tab w:val="left" w:pos="90"/>
        </w:tabs>
        <w:autoSpaceDE w:val="0"/>
        <w:autoSpaceDN w:val="0"/>
        <w:adjustRightInd w:val="0"/>
        <w:ind w:left="720"/>
        <w:rPr>
          <w:bCs/>
        </w:rPr>
      </w:pPr>
      <w:bookmarkStart w:id="1" w:name="RANGE!A1:D10"/>
      <w:bookmarkEnd w:id="1"/>
      <w:r w:rsidRPr="00E77C5E">
        <w:rPr>
          <w:bCs/>
        </w:rPr>
        <w:t>Assumptions:</w:t>
      </w:r>
    </w:p>
    <w:p w14:paraId="5FCFEB6D" w14:textId="425AA3A6" w:rsidR="008E007B" w:rsidRDefault="008E007B" w:rsidP="006738C1">
      <w:pPr>
        <w:widowControl w:val="0"/>
        <w:tabs>
          <w:tab w:val="left" w:pos="90"/>
        </w:tabs>
        <w:autoSpaceDE w:val="0"/>
        <w:autoSpaceDN w:val="0"/>
        <w:adjustRightInd w:val="0"/>
        <w:ind w:left="720"/>
        <w:rPr>
          <w:bCs/>
        </w:rPr>
      </w:pPr>
      <w:r w:rsidRPr="008E007B">
        <w:rPr>
          <w:bCs/>
        </w:rPr>
        <w:t>In addition to any other responsibilities or duties described in this Change Order or in the Agreement, the conditions on First Data's performance and assumptions upon which First Data has relied in agreeing to perform the services described in this Change Order on the terms set out herein (collectively "Assumptions") are listed below. If any of the Assumptions are not performed or prove to be incorrect, it may cause changes to the Schedule, costs, Deliverables, or level of effort required, or otherwise impact First Data’s performance of the services described in this Change Order.</w:t>
      </w:r>
    </w:p>
    <w:p w14:paraId="2A44ED53" w14:textId="69A01547" w:rsidR="00EC3818" w:rsidRDefault="00EC3818" w:rsidP="006738C1">
      <w:pPr>
        <w:widowControl w:val="0"/>
        <w:tabs>
          <w:tab w:val="left" w:pos="90"/>
        </w:tabs>
        <w:autoSpaceDE w:val="0"/>
        <w:autoSpaceDN w:val="0"/>
        <w:adjustRightInd w:val="0"/>
        <w:ind w:left="720"/>
        <w:rPr>
          <w:bCs/>
        </w:rPr>
      </w:pPr>
    </w:p>
    <w:p w14:paraId="3D5D33D6" w14:textId="27FB64C3" w:rsidR="00EC3818" w:rsidRPr="00E77C5E" w:rsidRDefault="00EC3818" w:rsidP="00A7460C">
      <w:pPr>
        <w:keepNext/>
        <w:widowControl w:val="0"/>
        <w:tabs>
          <w:tab w:val="left" w:pos="90"/>
        </w:tabs>
        <w:autoSpaceDE w:val="0"/>
        <w:autoSpaceDN w:val="0"/>
        <w:adjustRightInd w:val="0"/>
        <w:ind w:left="720"/>
        <w:rPr>
          <w:bCs/>
        </w:rPr>
      </w:pPr>
      <w:r w:rsidRPr="00EC3818">
        <w:rPr>
          <w:bCs/>
        </w:rPr>
        <w:t>The Assumptions of this Change Order are set forth below:</w:t>
      </w:r>
    </w:p>
    <w:p w14:paraId="334B21D0" w14:textId="3E7CFFC8" w:rsidR="00885025" w:rsidRPr="004655C2" w:rsidRDefault="00885025" w:rsidP="004A4DF5">
      <w:pPr>
        <w:keepNext/>
        <w:ind w:left="720"/>
        <w:rPr>
          <w:szCs w:val="22"/>
        </w:rPr>
      </w:pPr>
    </w:p>
    <w:p w14:paraId="21469828" w14:textId="155C231C" w:rsidR="008E007B" w:rsidRDefault="00171AF7" w:rsidP="00A7460C">
      <w:pPr>
        <w:pStyle w:val="BodyText"/>
        <w:keepNext/>
        <w:numPr>
          <w:ilvl w:val="0"/>
          <w:numId w:val="8"/>
        </w:numPr>
        <w:rPr>
          <w:rFonts w:ascii="Book Antiqua" w:hAnsi="Book Antiqua"/>
          <w:sz w:val="22"/>
          <w:szCs w:val="22"/>
        </w:rPr>
      </w:pPr>
      <w:r w:rsidRPr="00477F0B">
        <w:rPr>
          <w:rFonts w:cs="Arial"/>
          <w:szCs w:val="22"/>
        </w:rPr>
        <w:t xml:space="preserve">The price for First Data’s performance of this Change Order includes the costs associated with the three-month contingency plan.  </w:t>
      </w:r>
      <w:r w:rsidR="004A09A8" w:rsidRPr="00E77C5E">
        <w:rPr>
          <w:rFonts w:ascii="Book Antiqua" w:hAnsi="Book Antiqua"/>
          <w:sz w:val="22"/>
          <w:szCs w:val="22"/>
        </w:rPr>
        <w:t xml:space="preserve">A maximum of </w:t>
      </w:r>
      <w:r w:rsidR="009836DA">
        <w:rPr>
          <w:rFonts w:ascii="Book Antiqua" w:hAnsi="Book Antiqua"/>
          <w:sz w:val="22"/>
          <w:szCs w:val="22"/>
        </w:rPr>
        <w:t>23,376</w:t>
      </w:r>
      <w:r w:rsidR="00E43826" w:rsidRPr="00E77C5E">
        <w:rPr>
          <w:rFonts w:ascii="Book Antiqua" w:hAnsi="Book Antiqua"/>
          <w:sz w:val="22"/>
          <w:szCs w:val="22"/>
        </w:rPr>
        <w:t xml:space="preserve"> </w:t>
      </w:r>
      <w:r w:rsidR="006363A3" w:rsidRPr="00E77C5E">
        <w:rPr>
          <w:rFonts w:ascii="Book Antiqua" w:hAnsi="Book Antiqua"/>
          <w:sz w:val="22"/>
          <w:szCs w:val="22"/>
        </w:rPr>
        <w:t>QA hours will be worked</w:t>
      </w:r>
      <w:r w:rsidR="00654E6E">
        <w:rPr>
          <w:rFonts w:ascii="Book Antiqua" w:hAnsi="Book Antiqua"/>
          <w:sz w:val="22"/>
          <w:szCs w:val="22"/>
        </w:rPr>
        <w:t xml:space="preserve"> under this Agreement</w:t>
      </w:r>
      <w:r w:rsidR="00314688" w:rsidRPr="00E77C5E">
        <w:rPr>
          <w:rFonts w:ascii="Book Antiqua" w:hAnsi="Book Antiqua"/>
          <w:sz w:val="22"/>
          <w:szCs w:val="22"/>
        </w:rPr>
        <w:t>.</w:t>
      </w:r>
      <w:r w:rsidR="00885025">
        <w:rPr>
          <w:rFonts w:ascii="Book Antiqua" w:hAnsi="Book Antiqua"/>
          <w:sz w:val="22"/>
          <w:szCs w:val="22"/>
        </w:rPr>
        <w:t xml:space="preserve"> These hours are in addition to the hours defined </w:t>
      </w:r>
      <w:r w:rsidR="002B7873">
        <w:rPr>
          <w:rFonts w:ascii="Book Antiqua" w:hAnsi="Book Antiqua"/>
          <w:sz w:val="22"/>
          <w:szCs w:val="22"/>
        </w:rPr>
        <w:t xml:space="preserve">through December 31, 2017 </w:t>
      </w:r>
      <w:r w:rsidR="00885025">
        <w:rPr>
          <w:rFonts w:ascii="Book Antiqua" w:hAnsi="Book Antiqua"/>
          <w:sz w:val="22"/>
          <w:szCs w:val="22"/>
        </w:rPr>
        <w:t>in</w:t>
      </w:r>
      <w:r w:rsidR="008E007B">
        <w:rPr>
          <w:rFonts w:ascii="Book Antiqua" w:hAnsi="Book Antiqua"/>
          <w:sz w:val="22"/>
          <w:szCs w:val="22"/>
        </w:rPr>
        <w:t xml:space="preserve"> the related Change Orders:</w:t>
      </w:r>
      <w:r w:rsidR="00885025">
        <w:rPr>
          <w:rFonts w:ascii="Book Antiqua" w:hAnsi="Book Antiqua"/>
          <w:sz w:val="22"/>
          <w:szCs w:val="22"/>
        </w:rPr>
        <w:t xml:space="preserve"> </w:t>
      </w:r>
    </w:p>
    <w:p w14:paraId="08C9F0A6" w14:textId="77777777" w:rsidR="008E007B" w:rsidRDefault="00885025" w:rsidP="000C1BB1">
      <w:pPr>
        <w:pStyle w:val="BodyText"/>
        <w:numPr>
          <w:ilvl w:val="1"/>
          <w:numId w:val="8"/>
        </w:numPr>
        <w:rPr>
          <w:rFonts w:ascii="Book Antiqua" w:hAnsi="Book Antiqua"/>
          <w:sz w:val="22"/>
          <w:szCs w:val="22"/>
        </w:rPr>
      </w:pPr>
      <w:r>
        <w:rPr>
          <w:rFonts w:ascii="Book Antiqua" w:hAnsi="Book Antiqua"/>
          <w:sz w:val="22"/>
          <w:szCs w:val="22"/>
        </w:rPr>
        <w:t>CO-020 Rev</w:t>
      </w:r>
      <w:r w:rsidR="00FA23C1">
        <w:rPr>
          <w:rFonts w:ascii="Book Antiqua" w:hAnsi="Book Antiqua"/>
          <w:sz w:val="22"/>
          <w:szCs w:val="22"/>
        </w:rPr>
        <w:t xml:space="preserve"> 2</w:t>
      </w:r>
      <w:r>
        <w:rPr>
          <w:rFonts w:ascii="Book Antiqua" w:hAnsi="Book Antiqua"/>
          <w:sz w:val="22"/>
          <w:szCs w:val="22"/>
        </w:rPr>
        <w:t>, C-IV Modernization</w:t>
      </w:r>
      <w:r w:rsidR="008E007B">
        <w:rPr>
          <w:rFonts w:ascii="Book Antiqua" w:hAnsi="Book Antiqua"/>
          <w:sz w:val="22"/>
          <w:szCs w:val="22"/>
        </w:rPr>
        <w:t xml:space="preserve">; and </w:t>
      </w:r>
    </w:p>
    <w:p w14:paraId="645CE973" w14:textId="2A0BEE4B" w:rsidR="004A09A8" w:rsidRPr="00E77C5E" w:rsidRDefault="008E007B" w:rsidP="000C1BB1">
      <w:pPr>
        <w:pStyle w:val="BodyText"/>
        <w:numPr>
          <w:ilvl w:val="1"/>
          <w:numId w:val="8"/>
        </w:numPr>
        <w:rPr>
          <w:rFonts w:ascii="Book Antiqua" w:hAnsi="Book Antiqua"/>
          <w:sz w:val="22"/>
          <w:szCs w:val="22"/>
        </w:rPr>
      </w:pPr>
      <w:r>
        <w:rPr>
          <w:rFonts w:ascii="Book Antiqua" w:hAnsi="Book Antiqua"/>
          <w:sz w:val="22"/>
          <w:szCs w:val="22"/>
        </w:rPr>
        <w:t>CO-015 Rev 4, LRS Joint Development</w:t>
      </w:r>
      <w:r w:rsidR="00885025">
        <w:rPr>
          <w:rFonts w:ascii="Book Antiqua" w:hAnsi="Book Antiqua"/>
          <w:sz w:val="22"/>
          <w:szCs w:val="22"/>
        </w:rPr>
        <w:t>.</w:t>
      </w:r>
    </w:p>
    <w:p w14:paraId="44D078F5" w14:textId="44179F95" w:rsidR="00171AF7" w:rsidRPr="00F4181A" w:rsidRDefault="00171AF7" w:rsidP="00EF250E">
      <w:pPr>
        <w:pStyle w:val="ListParagraph"/>
        <w:numPr>
          <w:ilvl w:val="0"/>
          <w:numId w:val="8"/>
        </w:numPr>
      </w:pPr>
      <w:r w:rsidRPr="00EF250E">
        <w:rPr>
          <w:rFonts w:cs="Arial"/>
          <w:szCs w:val="22"/>
        </w:rPr>
        <w:t xml:space="preserve">If the schedule contingency </w:t>
      </w:r>
      <w:r w:rsidRPr="00D560F1">
        <w:rPr>
          <w:rFonts w:cs="Arial"/>
          <w:szCs w:val="22"/>
        </w:rPr>
        <w:t>is not utilized, then</w:t>
      </w:r>
      <w:r w:rsidRPr="00C00009">
        <w:rPr>
          <w:rFonts w:cs="Arial"/>
          <w:szCs w:val="22"/>
        </w:rPr>
        <w:t xml:space="preserve"> a maximum of </w:t>
      </w:r>
      <w:r w:rsidR="00984C10">
        <w:rPr>
          <w:rFonts w:cs="Arial"/>
          <w:szCs w:val="22"/>
        </w:rPr>
        <w:t>21,</w:t>
      </w:r>
      <w:r w:rsidR="009836DA">
        <w:rPr>
          <w:rFonts w:cs="Arial"/>
          <w:szCs w:val="22"/>
        </w:rPr>
        <w:t>360</w:t>
      </w:r>
      <w:r w:rsidRPr="00C00009">
        <w:rPr>
          <w:rFonts w:cs="Arial"/>
          <w:szCs w:val="22"/>
        </w:rPr>
        <w:t xml:space="preserve"> QA hours will be worked under this Agreement and </w:t>
      </w:r>
      <w:r>
        <w:rPr>
          <w:rFonts w:cs="Arial"/>
          <w:szCs w:val="22"/>
        </w:rPr>
        <w:t>the</w:t>
      </w:r>
      <w:r w:rsidRPr="00EF250E">
        <w:rPr>
          <w:rFonts w:cs="Arial"/>
          <w:szCs w:val="22"/>
        </w:rPr>
        <w:t xml:space="preserve"> </w:t>
      </w:r>
      <w:r>
        <w:rPr>
          <w:rFonts w:cs="Arial"/>
          <w:szCs w:val="22"/>
        </w:rPr>
        <w:t xml:space="preserve">Consortium’s commitment will be reduced to include only the cost of QA hours </w:t>
      </w:r>
      <w:r w:rsidR="009836DA">
        <w:rPr>
          <w:rFonts w:cs="Arial"/>
          <w:szCs w:val="22"/>
        </w:rPr>
        <w:t xml:space="preserve">performed </w:t>
      </w:r>
      <w:r>
        <w:rPr>
          <w:rFonts w:cs="Arial"/>
          <w:szCs w:val="22"/>
        </w:rPr>
        <w:t>through June 2018.</w:t>
      </w:r>
    </w:p>
    <w:p w14:paraId="09C1D422" w14:textId="60110B98" w:rsidR="004655C2" w:rsidRDefault="004655C2" w:rsidP="00A7460C">
      <w:pPr>
        <w:pStyle w:val="ListParagraph"/>
        <w:numPr>
          <w:ilvl w:val="0"/>
          <w:numId w:val="8"/>
        </w:numPr>
      </w:pPr>
      <w:r w:rsidRPr="004655C2">
        <w:t xml:space="preserve">These hourly rates apply only to the QA Services described in this Change Order.  Hourly rates for future Change Orders will not be subject to these rates. </w:t>
      </w:r>
    </w:p>
    <w:p w14:paraId="3911FE5F" w14:textId="1971372D" w:rsidR="00EC3818" w:rsidRDefault="00EC3818" w:rsidP="00A7460C">
      <w:pPr>
        <w:pStyle w:val="ListParagraph"/>
        <w:numPr>
          <w:ilvl w:val="0"/>
          <w:numId w:val="8"/>
        </w:numPr>
      </w:pPr>
      <w:r w:rsidRPr="00EC3818">
        <w:t xml:space="preserve">Funding is available for this effort as outlined in this Change Order.  </w:t>
      </w:r>
      <w:r w:rsidR="004A4DF5">
        <w:t xml:space="preserve"> </w:t>
      </w:r>
    </w:p>
    <w:p w14:paraId="0223995C" w14:textId="77777777" w:rsidR="00795B2D" w:rsidRDefault="00E77C5E" w:rsidP="001234EE">
      <w:pPr>
        <w:numPr>
          <w:ilvl w:val="0"/>
          <w:numId w:val="8"/>
        </w:numPr>
      </w:pPr>
      <w:r w:rsidRPr="001234EE">
        <w:rPr>
          <w:szCs w:val="22"/>
        </w:rPr>
        <w:t>Any changes in the scope or schedule of the project will be communicated to the First Data Team by the Consortium in a timely manner.  First Data will work with the Consortium in a collaborative manner to determine the impact, if any, to the corresponding services scope, schedule and/or cost of any such changes.</w:t>
      </w:r>
      <w:r w:rsidR="00795B2D" w:rsidRPr="00795B2D">
        <w:t xml:space="preserve"> </w:t>
      </w:r>
    </w:p>
    <w:p w14:paraId="29E2BD28" w14:textId="09C6F7C0" w:rsidR="00E77C5E" w:rsidRPr="001234EE" w:rsidRDefault="00795B2D" w:rsidP="001234EE">
      <w:pPr>
        <w:numPr>
          <w:ilvl w:val="0"/>
          <w:numId w:val="8"/>
        </w:numPr>
        <w:rPr>
          <w:szCs w:val="22"/>
        </w:rPr>
      </w:pPr>
      <w:r w:rsidRPr="00E77C5E">
        <w:t>Revisions to the currently calculated hours will require a separate assessment and cost calculation for QA.</w:t>
      </w:r>
    </w:p>
    <w:p w14:paraId="7A7F6C16" w14:textId="77777777" w:rsidR="00E50806" w:rsidRDefault="00E50806" w:rsidP="00E50806">
      <w:pPr>
        <w:numPr>
          <w:ilvl w:val="0"/>
          <w:numId w:val="8"/>
        </w:numPr>
        <w:rPr>
          <w:szCs w:val="22"/>
        </w:rPr>
      </w:pPr>
      <w:r w:rsidRPr="00E77C5E">
        <w:rPr>
          <w:szCs w:val="22"/>
        </w:rPr>
        <w:t xml:space="preserve">Existing </w:t>
      </w:r>
      <w:r w:rsidR="00A86DC2" w:rsidRPr="00E77C5E">
        <w:rPr>
          <w:szCs w:val="22"/>
        </w:rPr>
        <w:t xml:space="preserve">C-IV Project Management processes will be leveraged including </w:t>
      </w:r>
      <w:r w:rsidRPr="00E77C5E">
        <w:rPr>
          <w:szCs w:val="22"/>
        </w:rPr>
        <w:t>weekly and monthly status reports and meetings to document and discuss QA progress and status updates</w:t>
      </w:r>
      <w:r w:rsidR="00E4571C" w:rsidRPr="00E77C5E">
        <w:rPr>
          <w:szCs w:val="22"/>
        </w:rPr>
        <w:t>.</w:t>
      </w:r>
    </w:p>
    <w:p w14:paraId="05628FEB" w14:textId="0362C823" w:rsidR="00805C59" w:rsidRDefault="00805C59" w:rsidP="00805C59">
      <w:pPr>
        <w:numPr>
          <w:ilvl w:val="0"/>
          <w:numId w:val="8"/>
        </w:numPr>
        <w:rPr>
          <w:szCs w:val="22"/>
        </w:rPr>
      </w:pPr>
      <w:r w:rsidRPr="00805C59">
        <w:rPr>
          <w:szCs w:val="22"/>
        </w:rPr>
        <w:t xml:space="preserve">The activities for a competitive procurement related to combined system M&amp;O for all 40 counties are not included in this effort.   </w:t>
      </w:r>
    </w:p>
    <w:p w14:paraId="7FA498B0" w14:textId="2093B2CA" w:rsidR="004655C2" w:rsidRPr="004655C2" w:rsidRDefault="004655C2" w:rsidP="00A7460C">
      <w:pPr>
        <w:pStyle w:val="ListParagraph"/>
        <w:numPr>
          <w:ilvl w:val="0"/>
          <w:numId w:val="8"/>
        </w:numPr>
        <w:rPr>
          <w:szCs w:val="22"/>
        </w:rPr>
      </w:pPr>
      <w:r w:rsidRPr="004655C2">
        <w:rPr>
          <w:szCs w:val="22"/>
        </w:rPr>
        <w:t>The Project Work Plan, staff plan, and cost proposal assume a reasonable level of cooperation, participation, and timely resolution of issues by the Consortium management team, LRS management team and participating counties, as appropriate.</w:t>
      </w:r>
    </w:p>
    <w:p w14:paraId="080465E4" w14:textId="77777777" w:rsidR="00EC3818" w:rsidRPr="00EC3818" w:rsidRDefault="00EC3818" w:rsidP="00EC3818">
      <w:pPr>
        <w:numPr>
          <w:ilvl w:val="0"/>
          <w:numId w:val="8"/>
        </w:numPr>
        <w:rPr>
          <w:szCs w:val="22"/>
        </w:rPr>
      </w:pPr>
      <w:r w:rsidRPr="00EC3818">
        <w:rPr>
          <w:szCs w:val="22"/>
        </w:rPr>
        <w:t>Support will be provided for the testing and batch needs in an available System Test Environment.</w:t>
      </w:r>
    </w:p>
    <w:p w14:paraId="2BC57F58" w14:textId="1358B801" w:rsidR="00EC3818" w:rsidRPr="00EC3818" w:rsidRDefault="00EC3818" w:rsidP="000625BB">
      <w:pPr>
        <w:numPr>
          <w:ilvl w:val="0"/>
          <w:numId w:val="8"/>
        </w:numPr>
        <w:rPr>
          <w:szCs w:val="22"/>
        </w:rPr>
      </w:pPr>
      <w:r w:rsidRPr="00EC3818">
        <w:rPr>
          <w:szCs w:val="22"/>
        </w:rPr>
        <w:t xml:space="preserve">If test witnessing is necessary, </w:t>
      </w:r>
      <w:r w:rsidR="004655C2">
        <w:rPr>
          <w:szCs w:val="22"/>
        </w:rPr>
        <w:t xml:space="preserve">the </w:t>
      </w:r>
      <w:r w:rsidR="004655C2" w:rsidRPr="000625BB">
        <w:rPr>
          <w:szCs w:val="22"/>
        </w:rPr>
        <w:t xml:space="preserve">Development </w:t>
      </w:r>
      <w:r w:rsidR="000625BB" w:rsidRPr="000625BB">
        <w:rPr>
          <w:szCs w:val="22"/>
        </w:rPr>
        <w:t xml:space="preserve">Contractor </w:t>
      </w:r>
      <w:r w:rsidRPr="00EC3818">
        <w:rPr>
          <w:szCs w:val="22"/>
        </w:rPr>
        <w:t>will provide any related test artifacts.</w:t>
      </w:r>
    </w:p>
    <w:p w14:paraId="52B3308E" w14:textId="77777777" w:rsidR="00EC3818" w:rsidRPr="001234EE" w:rsidRDefault="00EC3818" w:rsidP="00EC3818">
      <w:pPr>
        <w:numPr>
          <w:ilvl w:val="0"/>
          <w:numId w:val="8"/>
        </w:numPr>
        <w:rPr>
          <w:szCs w:val="22"/>
        </w:rPr>
      </w:pPr>
      <w:r w:rsidRPr="001234EE">
        <w:rPr>
          <w:szCs w:val="22"/>
        </w:rPr>
        <w:lastRenderedPageBreak/>
        <w:t>Any duplicate or rejected deficiencies will be discussed with the deficiency originator before closing.</w:t>
      </w:r>
    </w:p>
    <w:p w14:paraId="428F775B" w14:textId="77777777" w:rsidR="00EC3818" w:rsidRPr="00A7460C" w:rsidRDefault="00EC3818" w:rsidP="00EC3818">
      <w:pPr>
        <w:numPr>
          <w:ilvl w:val="0"/>
          <w:numId w:val="8"/>
        </w:numPr>
        <w:rPr>
          <w:rFonts w:cs="Arial"/>
          <w:szCs w:val="22"/>
        </w:rPr>
      </w:pPr>
      <w:r w:rsidRPr="00A7460C">
        <w:rPr>
          <w:szCs w:val="22"/>
        </w:rPr>
        <w:t>QA services will primarily be performed at the following two locations:</w:t>
      </w:r>
    </w:p>
    <w:p w14:paraId="14E2C2D7" w14:textId="77777777" w:rsidR="00EC3818" w:rsidRPr="00A7460C" w:rsidRDefault="00EC3818" w:rsidP="00EC3818">
      <w:pPr>
        <w:numPr>
          <w:ilvl w:val="1"/>
          <w:numId w:val="48"/>
        </w:numPr>
        <w:rPr>
          <w:szCs w:val="22"/>
        </w:rPr>
      </w:pPr>
      <w:r w:rsidRPr="00A7460C">
        <w:rPr>
          <w:szCs w:val="22"/>
        </w:rPr>
        <w:t>11290 Pyrites Way, Rancho Cordova, CA 95670 (“North”)</w:t>
      </w:r>
    </w:p>
    <w:p w14:paraId="5A597158" w14:textId="77777777" w:rsidR="00EC3818" w:rsidRPr="00A7460C" w:rsidRDefault="00EC3818" w:rsidP="00EC3818">
      <w:pPr>
        <w:numPr>
          <w:ilvl w:val="1"/>
          <w:numId w:val="48"/>
        </w:numPr>
        <w:rPr>
          <w:szCs w:val="22"/>
        </w:rPr>
      </w:pPr>
      <w:r w:rsidRPr="00A7460C">
        <w:rPr>
          <w:szCs w:val="22"/>
        </w:rPr>
        <w:t>12440 Imperial Hwy., 3rd Floor, Norwalk, CA 90650 (“South”)</w:t>
      </w:r>
    </w:p>
    <w:p w14:paraId="7F482361" w14:textId="77777777" w:rsidR="004655C2" w:rsidRPr="001234EE" w:rsidRDefault="004655C2" w:rsidP="00F47FD6">
      <w:pPr>
        <w:pStyle w:val="ListParagraph"/>
        <w:keepNext/>
        <w:numPr>
          <w:ilvl w:val="0"/>
          <w:numId w:val="8"/>
        </w:numPr>
        <w:spacing w:after="40"/>
        <w:rPr>
          <w:rFonts w:cs="Arial"/>
          <w:szCs w:val="22"/>
        </w:rPr>
      </w:pPr>
      <w:r w:rsidRPr="001234EE">
        <w:rPr>
          <w:rFonts w:cs="Arial"/>
          <w:szCs w:val="22"/>
        </w:rPr>
        <w:t>QA services cost are based on tasks being performed at the following locations:</w:t>
      </w:r>
    </w:p>
    <w:tbl>
      <w:tblPr>
        <w:tblStyle w:val="TableGrid"/>
        <w:tblW w:w="8010" w:type="dxa"/>
        <w:tblInd w:w="1440" w:type="dxa"/>
        <w:tblLayout w:type="fixed"/>
        <w:tblLook w:val="04A0" w:firstRow="1" w:lastRow="0" w:firstColumn="1" w:lastColumn="0" w:noHBand="0" w:noVBand="1"/>
      </w:tblPr>
      <w:tblGrid>
        <w:gridCol w:w="2538"/>
        <w:gridCol w:w="5472"/>
      </w:tblGrid>
      <w:tr w:rsidR="004655C2" w:rsidRPr="00896249" w14:paraId="70731F35" w14:textId="77777777" w:rsidTr="009F60C4">
        <w:trPr>
          <w:tblHeader/>
        </w:trPr>
        <w:tc>
          <w:tcPr>
            <w:tcW w:w="2538" w:type="dxa"/>
            <w:shd w:val="clear" w:color="auto" w:fill="004165"/>
            <w:vAlign w:val="center"/>
          </w:tcPr>
          <w:p w14:paraId="0D8230C9" w14:textId="77777777" w:rsidR="004655C2" w:rsidRPr="00A8704F" w:rsidRDefault="004655C2" w:rsidP="00F47FD6">
            <w:pPr>
              <w:keepNext/>
              <w:keepLines/>
              <w:jc w:val="center"/>
              <w:rPr>
                <w:rFonts w:cs="Arial"/>
                <w:b/>
                <w:sz w:val="20"/>
              </w:rPr>
            </w:pPr>
            <w:r w:rsidRPr="00A8704F">
              <w:rPr>
                <w:rFonts w:cs="Arial"/>
                <w:b/>
                <w:sz w:val="20"/>
              </w:rPr>
              <w:t>Location</w:t>
            </w:r>
          </w:p>
          <w:p w14:paraId="56963BE7" w14:textId="77777777" w:rsidR="004655C2" w:rsidRPr="00A8704F" w:rsidRDefault="004655C2" w:rsidP="00F47FD6">
            <w:pPr>
              <w:keepNext/>
              <w:keepLines/>
              <w:jc w:val="center"/>
              <w:rPr>
                <w:rFonts w:cs="Arial"/>
                <w:b/>
                <w:sz w:val="20"/>
              </w:rPr>
            </w:pPr>
            <w:r w:rsidRPr="00A8704F">
              <w:rPr>
                <w:rFonts w:cs="Arial"/>
                <w:b/>
                <w:sz w:val="20"/>
              </w:rPr>
              <w:t>Responsibility</w:t>
            </w:r>
          </w:p>
        </w:tc>
        <w:tc>
          <w:tcPr>
            <w:tcW w:w="5472" w:type="dxa"/>
            <w:shd w:val="clear" w:color="auto" w:fill="004165"/>
            <w:vAlign w:val="center"/>
          </w:tcPr>
          <w:p w14:paraId="5C84DF30" w14:textId="5F16977F" w:rsidR="004655C2" w:rsidRPr="00A8704F" w:rsidRDefault="004655C2" w:rsidP="00F47FD6">
            <w:pPr>
              <w:keepNext/>
              <w:keepLines/>
              <w:jc w:val="center"/>
              <w:rPr>
                <w:rFonts w:cs="Arial"/>
                <w:b/>
                <w:sz w:val="20"/>
              </w:rPr>
            </w:pPr>
            <w:r w:rsidRPr="00A8704F">
              <w:rPr>
                <w:rFonts w:cs="Arial"/>
                <w:b/>
                <w:sz w:val="20"/>
              </w:rPr>
              <w:t xml:space="preserve">Project </w:t>
            </w:r>
            <w:r w:rsidR="00461623">
              <w:rPr>
                <w:rFonts w:cs="Arial"/>
                <w:b/>
                <w:sz w:val="20"/>
              </w:rPr>
              <w:t>Team</w:t>
            </w:r>
          </w:p>
        </w:tc>
      </w:tr>
      <w:tr w:rsidR="004655C2" w:rsidRPr="00896249" w14:paraId="6D77C8CF" w14:textId="77777777" w:rsidTr="009F60C4">
        <w:tc>
          <w:tcPr>
            <w:tcW w:w="2538" w:type="dxa"/>
          </w:tcPr>
          <w:p w14:paraId="0B812E3E" w14:textId="0A5EF4D1" w:rsidR="004655C2" w:rsidRPr="00A8704F" w:rsidRDefault="004655C2" w:rsidP="00F47FD6">
            <w:pPr>
              <w:keepNext/>
              <w:keepLines/>
              <w:rPr>
                <w:rFonts w:cs="Arial"/>
                <w:sz w:val="20"/>
              </w:rPr>
            </w:pPr>
            <w:r w:rsidRPr="00A8704F">
              <w:rPr>
                <w:rFonts w:cs="Arial"/>
                <w:sz w:val="20"/>
              </w:rPr>
              <w:t xml:space="preserve">North </w:t>
            </w:r>
          </w:p>
        </w:tc>
        <w:tc>
          <w:tcPr>
            <w:tcW w:w="5472" w:type="dxa"/>
          </w:tcPr>
          <w:p w14:paraId="75D7A8E8" w14:textId="5C265028" w:rsidR="004655C2" w:rsidRPr="00A8704F" w:rsidRDefault="006B472A" w:rsidP="00F47FD6">
            <w:pPr>
              <w:keepNext/>
              <w:keepLines/>
              <w:rPr>
                <w:rFonts w:cs="Arial"/>
                <w:sz w:val="20"/>
              </w:rPr>
            </w:pPr>
            <w:r>
              <w:rPr>
                <w:rFonts w:cs="Arial"/>
                <w:sz w:val="20"/>
              </w:rPr>
              <w:t>Migration Planning</w:t>
            </w:r>
          </w:p>
        </w:tc>
      </w:tr>
      <w:tr w:rsidR="004655C2" w:rsidRPr="00896249" w14:paraId="266D73BE" w14:textId="77777777" w:rsidTr="009F60C4">
        <w:tc>
          <w:tcPr>
            <w:tcW w:w="2538" w:type="dxa"/>
          </w:tcPr>
          <w:p w14:paraId="275FA935" w14:textId="6E9C43C7" w:rsidR="004655C2" w:rsidRPr="00A8704F" w:rsidRDefault="00461623" w:rsidP="00F47FD6">
            <w:pPr>
              <w:keepNext/>
              <w:keepLines/>
              <w:rPr>
                <w:rFonts w:cs="Arial"/>
                <w:sz w:val="20"/>
              </w:rPr>
            </w:pPr>
            <w:r>
              <w:rPr>
                <w:rFonts w:cs="Arial"/>
                <w:sz w:val="20"/>
              </w:rPr>
              <w:t>South</w:t>
            </w:r>
          </w:p>
        </w:tc>
        <w:tc>
          <w:tcPr>
            <w:tcW w:w="5472" w:type="dxa"/>
          </w:tcPr>
          <w:p w14:paraId="1BEB2169" w14:textId="78661739" w:rsidR="004655C2" w:rsidRPr="00A8704F" w:rsidRDefault="006B472A" w:rsidP="00F47FD6">
            <w:pPr>
              <w:keepNext/>
              <w:keepLines/>
              <w:rPr>
                <w:rFonts w:cs="Arial"/>
                <w:sz w:val="20"/>
              </w:rPr>
            </w:pPr>
            <w:r>
              <w:rPr>
                <w:rFonts w:cs="Arial"/>
                <w:sz w:val="20"/>
              </w:rPr>
              <w:t>LRS Joint Development</w:t>
            </w:r>
          </w:p>
        </w:tc>
      </w:tr>
    </w:tbl>
    <w:p w14:paraId="31F868D1" w14:textId="77777777" w:rsidR="004655C2" w:rsidRPr="00A7460C" w:rsidRDefault="004655C2" w:rsidP="00A7460C">
      <w:pPr>
        <w:numPr>
          <w:ilvl w:val="0"/>
          <w:numId w:val="8"/>
        </w:numPr>
        <w:spacing w:before="120"/>
        <w:rPr>
          <w:rFonts w:cs="Arial"/>
          <w:szCs w:val="22"/>
        </w:rPr>
      </w:pPr>
      <w:r w:rsidRPr="00A7460C">
        <w:rPr>
          <w:rFonts w:cs="Arial"/>
          <w:szCs w:val="22"/>
        </w:rPr>
        <w:t>The Consortium will provide, or cause to be provided, at no cost to First Data, the following items:</w:t>
      </w:r>
    </w:p>
    <w:p w14:paraId="21D9F651" w14:textId="77777777" w:rsidR="004655C2" w:rsidRPr="00A7460C" w:rsidRDefault="004655C2" w:rsidP="004655C2">
      <w:pPr>
        <w:numPr>
          <w:ilvl w:val="0"/>
          <w:numId w:val="49"/>
        </w:numPr>
        <w:rPr>
          <w:rFonts w:cs="Arial"/>
          <w:szCs w:val="22"/>
        </w:rPr>
      </w:pPr>
      <w:r w:rsidRPr="00A7460C">
        <w:rPr>
          <w:rFonts w:cs="Arial"/>
          <w:szCs w:val="22"/>
        </w:rPr>
        <w:t xml:space="preserve">Office space </w:t>
      </w:r>
    </w:p>
    <w:p w14:paraId="41CB337A" w14:textId="77777777" w:rsidR="004655C2" w:rsidRPr="00A7460C" w:rsidRDefault="004655C2" w:rsidP="004655C2">
      <w:pPr>
        <w:numPr>
          <w:ilvl w:val="0"/>
          <w:numId w:val="49"/>
        </w:numPr>
        <w:rPr>
          <w:rFonts w:cs="Arial"/>
          <w:szCs w:val="22"/>
        </w:rPr>
      </w:pPr>
      <w:r w:rsidRPr="00A7460C">
        <w:rPr>
          <w:rFonts w:cs="Arial"/>
          <w:szCs w:val="22"/>
        </w:rPr>
        <w:t>Desk(s) and chair(s)</w:t>
      </w:r>
    </w:p>
    <w:p w14:paraId="2B82B60C" w14:textId="77777777" w:rsidR="004655C2" w:rsidRPr="00A7460C" w:rsidRDefault="004655C2" w:rsidP="004655C2">
      <w:pPr>
        <w:numPr>
          <w:ilvl w:val="0"/>
          <w:numId w:val="49"/>
        </w:numPr>
        <w:rPr>
          <w:rFonts w:cs="Arial"/>
          <w:szCs w:val="22"/>
        </w:rPr>
      </w:pPr>
      <w:r w:rsidRPr="00A7460C">
        <w:rPr>
          <w:rFonts w:cs="Arial"/>
          <w:szCs w:val="22"/>
        </w:rPr>
        <w:t>Desktop computer(s) or laptop(s), including appropriate and approved software</w:t>
      </w:r>
    </w:p>
    <w:p w14:paraId="508EC552" w14:textId="77777777" w:rsidR="004655C2" w:rsidRPr="00A7460C" w:rsidRDefault="004655C2" w:rsidP="004655C2">
      <w:pPr>
        <w:numPr>
          <w:ilvl w:val="0"/>
          <w:numId w:val="49"/>
        </w:numPr>
        <w:rPr>
          <w:rFonts w:cs="Arial"/>
          <w:szCs w:val="22"/>
        </w:rPr>
      </w:pPr>
      <w:r w:rsidRPr="00A7460C">
        <w:rPr>
          <w:rFonts w:cs="Arial"/>
          <w:szCs w:val="22"/>
        </w:rPr>
        <w:t>Printer(s)</w:t>
      </w:r>
    </w:p>
    <w:p w14:paraId="1034C843" w14:textId="77777777" w:rsidR="004655C2" w:rsidRPr="00A7460C" w:rsidRDefault="004655C2" w:rsidP="004655C2">
      <w:pPr>
        <w:numPr>
          <w:ilvl w:val="0"/>
          <w:numId w:val="49"/>
        </w:numPr>
        <w:rPr>
          <w:rFonts w:cs="Arial"/>
          <w:szCs w:val="22"/>
        </w:rPr>
      </w:pPr>
      <w:r w:rsidRPr="00A7460C">
        <w:rPr>
          <w:rFonts w:cs="Arial"/>
          <w:szCs w:val="22"/>
        </w:rPr>
        <w:t>Land line telephone(s)</w:t>
      </w:r>
    </w:p>
    <w:p w14:paraId="74DB1D92" w14:textId="0FE87CC0" w:rsidR="00EC3818" w:rsidRPr="001234EE" w:rsidRDefault="004655C2" w:rsidP="00F47FD6">
      <w:pPr>
        <w:numPr>
          <w:ilvl w:val="0"/>
          <w:numId w:val="49"/>
        </w:numPr>
        <w:rPr>
          <w:rFonts w:cs="Arial"/>
          <w:szCs w:val="22"/>
        </w:rPr>
      </w:pPr>
      <w:r w:rsidRPr="00A7460C">
        <w:rPr>
          <w:rFonts w:cs="Arial"/>
          <w:szCs w:val="22"/>
        </w:rPr>
        <w:t>Network connectivity and Internet access</w:t>
      </w:r>
    </w:p>
    <w:p w14:paraId="3137CAAB" w14:textId="77777777" w:rsidR="00E50806" w:rsidRDefault="00E50806" w:rsidP="00A86DC2">
      <w:pPr>
        <w:ind w:left="1080"/>
      </w:pPr>
    </w:p>
    <w:p w14:paraId="4466C09D" w14:textId="77777777" w:rsidR="004A09A8" w:rsidRDefault="004A09A8" w:rsidP="00B234EA">
      <w:pPr>
        <w:pStyle w:val="Heading1"/>
      </w:pPr>
      <w:r>
        <w:t xml:space="preserve">Schedule: </w:t>
      </w:r>
    </w:p>
    <w:p w14:paraId="34F80D3E" w14:textId="77777777" w:rsidR="004A09A8" w:rsidRPr="00A567AB" w:rsidRDefault="004A09A8" w:rsidP="00891288">
      <w:pPr>
        <w:pStyle w:val="BodyTextIndent2"/>
        <w:keepNext/>
        <w:rPr>
          <w:bCs/>
          <w:sz w:val="12"/>
        </w:rPr>
      </w:pPr>
    </w:p>
    <w:p w14:paraId="2B20E4EF" w14:textId="32843BDB" w:rsidR="00F16A74" w:rsidRDefault="00F16A74" w:rsidP="00F16A74">
      <w:pPr>
        <w:pStyle w:val="ListParagraph"/>
        <w:jc w:val="both"/>
      </w:pPr>
      <w:r w:rsidRPr="008819D2">
        <w:t xml:space="preserve">The schedule </w:t>
      </w:r>
      <w:r w:rsidR="00122BDD">
        <w:t>for</w:t>
      </w:r>
      <w:r w:rsidR="00122BDD" w:rsidRPr="008819D2">
        <w:t xml:space="preserve"> </w:t>
      </w:r>
      <w:r>
        <w:t>C-IV Migration Planning</w:t>
      </w:r>
      <w:r w:rsidRPr="008819D2">
        <w:t xml:space="preserve"> activities </w:t>
      </w:r>
      <w:r w:rsidR="00122BDD">
        <w:t>began in</w:t>
      </w:r>
      <w:r w:rsidR="00122BDD" w:rsidRPr="008819D2">
        <w:t xml:space="preserve"> </w:t>
      </w:r>
      <w:r w:rsidRPr="008819D2">
        <w:t>July 20</w:t>
      </w:r>
      <w:r>
        <w:t xml:space="preserve">15 and concludes in </w:t>
      </w:r>
      <w:r w:rsidR="002B0784">
        <w:t>September 2018</w:t>
      </w:r>
      <w:r>
        <w:t xml:space="preserve"> as displayed in the table below. The schedule is subject to change as decisions are made by the </w:t>
      </w:r>
      <w:r w:rsidR="005F06EA">
        <w:t>Consortium</w:t>
      </w:r>
      <w:r>
        <w:t xml:space="preserve"> and as details of the </w:t>
      </w:r>
      <w:r w:rsidR="006F12CE">
        <w:t xml:space="preserve">migration approach </w:t>
      </w:r>
      <w:r>
        <w:t>are clarified.</w:t>
      </w:r>
    </w:p>
    <w:p w14:paraId="27FB5D66" w14:textId="77777777" w:rsidR="00F16A74" w:rsidRDefault="00F16A74" w:rsidP="00F16A74">
      <w:pPr>
        <w:ind w:left="720"/>
        <w:rPr>
          <w:rFonts w:ascii="Arial" w:eastAsiaTheme="minorHAnsi" w:hAnsi="Arial" w:cstheme="minorBidi"/>
          <w:b/>
          <w:bCs/>
          <w:color w:val="4F81BD" w:themeColor="accent1"/>
          <w:sz w:val="20"/>
          <w:szCs w:val="18"/>
        </w:rPr>
      </w:pPr>
    </w:p>
    <w:tbl>
      <w:tblPr>
        <w:tblW w:w="9969" w:type="dxa"/>
        <w:tblInd w:w="607" w:type="dxa"/>
        <w:tblLook w:val="04A0" w:firstRow="1" w:lastRow="0" w:firstColumn="1" w:lastColumn="0" w:noHBand="0" w:noVBand="1"/>
      </w:tblPr>
      <w:tblGrid>
        <w:gridCol w:w="364"/>
        <w:gridCol w:w="7394"/>
        <w:gridCol w:w="1090"/>
        <w:gridCol w:w="1121"/>
      </w:tblGrid>
      <w:tr w:rsidR="009539DC" w:rsidRPr="005C296B" w14:paraId="0FEA759A" w14:textId="77777777" w:rsidTr="004A4DF5">
        <w:trPr>
          <w:trHeight w:val="483"/>
          <w:tblHeader/>
        </w:trPr>
        <w:tc>
          <w:tcPr>
            <w:tcW w:w="364" w:type="dxa"/>
            <w:tcBorders>
              <w:top w:val="single" w:sz="4" w:space="0" w:color="auto"/>
              <w:left w:val="single" w:sz="4" w:space="0" w:color="auto"/>
              <w:bottom w:val="single" w:sz="4" w:space="0" w:color="auto"/>
              <w:right w:val="single" w:sz="4" w:space="0" w:color="auto"/>
            </w:tcBorders>
            <w:shd w:val="clear" w:color="auto" w:fill="1F497D" w:themeFill="text2"/>
          </w:tcPr>
          <w:p w14:paraId="40E906C9" w14:textId="77777777" w:rsidR="001234EE" w:rsidRPr="005C296B" w:rsidRDefault="001234EE" w:rsidP="005C296B">
            <w:pPr>
              <w:pStyle w:val="TableText"/>
              <w:spacing w:before="100" w:beforeAutospacing="1" w:after="100" w:afterAutospacing="1"/>
              <w:rPr>
                <w:rFonts w:ascii="Book Antiqua" w:eastAsia="Times New Roman" w:hAnsi="Book Antiqua" w:cs="Times New Roman"/>
                <w:b/>
                <w:color w:val="FFFFFF" w:themeColor="background1"/>
                <w:sz w:val="22"/>
              </w:rPr>
            </w:pPr>
          </w:p>
        </w:tc>
        <w:tc>
          <w:tcPr>
            <w:tcW w:w="7394"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13ACAD9" w14:textId="2A455560" w:rsidR="001234EE" w:rsidRPr="005C296B" w:rsidRDefault="001234EE" w:rsidP="005C296B">
            <w:pPr>
              <w:pStyle w:val="TableText"/>
              <w:spacing w:before="100" w:beforeAutospacing="1" w:after="100" w:afterAutospacing="1"/>
              <w:rPr>
                <w:rFonts w:ascii="Book Antiqua" w:eastAsia="Times New Roman" w:hAnsi="Book Antiqua" w:cs="Times New Roman"/>
                <w:b/>
                <w:color w:val="FFFFFF" w:themeColor="background1"/>
                <w:sz w:val="22"/>
              </w:rPr>
            </w:pPr>
            <w:r w:rsidRPr="005C296B">
              <w:rPr>
                <w:rFonts w:ascii="Book Antiqua" w:eastAsia="Times New Roman" w:hAnsi="Book Antiqua" w:cs="Times New Roman"/>
                <w:b/>
                <w:color w:val="FFFFFF" w:themeColor="background1"/>
                <w:sz w:val="22"/>
              </w:rPr>
              <w:t>Planning Tasks</w:t>
            </w:r>
          </w:p>
        </w:tc>
        <w:tc>
          <w:tcPr>
            <w:tcW w:w="1090"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7784DAE5" w14:textId="77777777" w:rsidR="001234EE" w:rsidRPr="005C296B" w:rsidRDefault="001234EE" w:rsidP="005C296B">
            <w:pPr>
              <w:pStyle w:val="TableText"/>
              <w:spacing w:before="100" w:beforeAutospacing="1" w:after="100" w:afterAutospacing="1"/>
              <w:rPr>
                <w:rFonts w:ascii="Book Antiqua" w:eastAsia="Times New Roman" w:hAnsi="Book Antiqua" w:cs="Times New Roman"/>
                <w:b/>
                <w:color w:val="FFFFFF" w:themeColor="background1"/>
                <w:sz w:val="22"/>
              </w:rPr>
            </w:pPr>
            <w:r w:rsidRPr="005C296B">
              <w:rPr>
                <w:rFonts w:ascii="Book Antiqua" w:eastAsia="Times New Roman" w:hAnsi="Book Antiqua" w:cs="Times New Roman"/>
                <w:b/>
                <w:color w:val="FFFFFF" w:themeColor="background1"/>
                <w:sz w:val="22"/>
              </w:rPr>
              <w:t>Target Start</w:t>
            </w:r>
          </w:p>
        </w:tc>
        <w:tc>
          <w:tcPr>
            <w:tcW w:w="1121"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3ECE6AF8" w14:textId="77777777" w:rsidR="001234EE" w:rsidRPr="005C296B" w:rsidRDefault="001234EE" w:rsidP="005C296B">
            <w:pPr>
              <w:pStyle w:val="TableText"/>
              <w:spacing w:before="100" w:beforeAutospacing="1" w:after="100" w:afterAutospacing="1"/>
              <w:rPr>
                <w:rFonts w:ascii="Book Antiqua" w:eastAsia="Times New Roman" w:hAnsi="Book Antiqua" w:cs="Times New Roman"/>
                <w:b/>
                <w:color w:val="FFFFFF" w:themeColor="background1"/>
                <w:sz w:val="22"/>
              </w:rPr>
            </w:pPr>
            <w:r w:rsidRPr="005C296B">
              <w:rPr>
                <w:rFonts w:ascii="Book Antiqua" w:eastAsia="Times New Roman" w:hAnsi="Book Antiqua" w:cs="Times New Roman"/>
                <w:b/>
                <w:color w:val="FFFFFF" w:themeColor="background1"/>
                <w:sz w:val="22"/>
              </w:rPr>
              <w:t>Target Finish</w:t>
            </w:r>
          </w:p>
        </w:tc>
      </w:tr>
      <w:tr w:rsidR="009539DC" w:rsidRPr="005C296B" w14:paraId="73176960" w14:textId="77777777" w:rsidTr="004A4DF5">
        <w:trPr>
          <w:trHeight w:val="242"/>
        </w:trPr>
        <w:tc>
          <w:tcPr>
            <w:tcW w:w="364" w:type="dxa"/>
            <w:tcBorders>
              <w:top w:val="nil"/>
              <w:left w:val="single" w:sz="4" w:space="0" w:color="auto"/>
              <w:bottom w:val="single" w:sz="4" w:space="0" w:color="auto"/>
              <w:right w:val="single" w:sz="4" w:space="0" w:color="auto"/>
            </w:tcBorders>
          </w:tcPr>
          <w:p w14:paraId="562B6A03" w14:textId="3690E33A"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1</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30AE4FB1" w14:textId="46B62EBA"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Project Initiation</w:t>
            </w:r>
          </w:p>
        </w:tc>
        <w:tc>
          <w:tcPr>
            <w:tcW w:w="1090" w:type="dxa"/>
            <w:tcBorders>
              <w:top w:val="nil"/>
              <w:left w:val="nil"/>
              <w:bottom w:val="single" w:sz="4" w:space="0" w:color="auto"/>
              <w:right w:val="single" w:sz="4" w:space="0" w:color="auto"/>
            </w:tcBorders>
            <w:shd w:val="clear" w:color="auto" w:fill="auto"/>
            <w:noWrap/>
            <w:vAlign w:val="center"/>
            <w:hideMark/>
          </w:tcPr>
          <w:p w14:paraId="2A33FC5D" w14:textId="417F6E35"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Jul-15</w:t>
            </w:r>
          </w:p>
        </w:tc>
        <w:tc>
          <w:tcPr>
            <w:tcW w:w="1121" w:type="dxa"/>
            <w:tcBorders>
              <w:top w:val="nil"/>
              <w:left w:val="nil"/>
              <w:bottom w:val="single" w:sz="4" w:space="0" w:color="auto"/>
              <w:right w:val="single" w:sz="4" w:space="0" w:color="auto"/>
            </w:tcBorders>
            <w:shd w:val="clear" w:color="auto" w:fill="auto"/>
            <w:noWrap/>
            <w:vAlign w:val="center"/>
            <w:hideMark/>
          </w:tcPr>
          <w:p w14:paraId="27654511" w14:textId="7F255BD8"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Jul-15</w:t>
            </w:r>
          </w:p>
        </w:tc>
      </w:tr>
      <w:tr w:rsidR="009539DC" w:rsidRPr="005C296B" w14:paraId="1385F7D0" w14:textId="77777777" w:rsidTr="004A4DF5">
        <w:trPr>
          <w:trHeight w:val="306"/>
        </w:trPr>
        <w:tc>
          <w:tcPr>
            <w:tcW w:w="364" w:type="dxa"/>
            <w:tcBorders>
              <w:top w:val="nil"/>
              <w:left w:val="single" w:sz="4" w:space="0" w:color="auto"/>
              <w:bottom w:val="single" w:sz="4" w:space="0" w:color="auto"/>
              <w:right w:val="single" w:sz="4" w:space="0" w:color="auto"/>
            </w:tcBorders>
          </w:tcPr>
          <w:p w14:paraId="37B8C330" w14:textId="04D3A20D"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2</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64327DA9" w14:textId="5A8EEA20"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 xml:space="preserve">Side by Side System Comparison and Requirements Validation </w:t>
            </w:r>
          </w:p>
        </w:tc>
        <w:tc>
          <w:tcPr>
            <w:tcW w:w="1090" w:type="dxa"/>
            <w:tcBorders>
              <w:top w:val="nil"/>
              <w:left w:val="nil"/>
              <w:bottom w:val="single" w:sz="4" w:space="0" w:color="auto"/>
              <w:right w:val="single" w:sz="4" w:space="0" w:color="auto"/>
            </w:tcBorders>
            <w:shd w:val="clear" w:color="auto" w:fill="auto"/>
            <w:noWrap/>
            <w:vAlign w:val="center"/>
            <w:hideMark/>
          </w:tcPr>
          <w:p w14:paraId="000BAAEB" w14:textId="7F04BD62"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Oct-15</w:t>
            </w:r>
          </w:p>
        </w:tc>
        <w:tc>
          <w:tcPr>
            <w:tcW w:w="1121" w:type="dxa"/>
            <w:tcBorders>
              <w:top w:val="nil"/>
              <w:left w:val="nil"/>
              <w:bottom w:val="single" w:sz="4" w:space="0" w:color="auto"/>
              <w:right w:val="single" w:sz="4" w:space="0" w:color="auto"/>
            </w:tcBorders>
            <w:shd w:val="clear" w:color="auto" w:fill="auto"/>
            <w:noWrap/>
            <w:vAlign w:val="center"/>
            <w:hideMark/>
          </w:tcPr>
          <w:p w14:paraId="5AA8A9C6" w14:textId="3D9D7738"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Jan-16</w:t>
            </w:r>
          </w:p>
        </w:tc>
      </w:tr>
      <w:tr w:rsidR="009539DC" w:rsidRPr="005C296B" w14:paraId="7ED1A3A3" w14:textId="77777777" w:rsidTr="004A4DF5">
        <w:trPr>
          <w:trHeight w:val="242"/>
        </w:trPr>
        <w:tc>
          <w:tcPr>
            <w:tcW w:w="364" w:type="dxa"/>
            <w:tcBorders>
              <w:top w:val="nil"/>
              <w:left w:val="single" w:sz="4" w:space="0" w:color="auto"/>
              <w:bottom w:val="single" w:sz="4" w:space="0" w:color="auto"/>
              <w:right w:val="single" w:sz="4" w:space="0" w:color="auto"/>
            </w:tcBorders>
          </w:tcPr>
          <w:p w14:paraId="1000EFDB" w14:textId="12051689"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3</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15809060" w14:textId="14CECAF1"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Sole Source SOW/Contract/ Information Request</w:t>
            </w:r>
          </w:p>
        </w:tc>
        <w:tc>
          <w:tcPr>
            <w:tcW w:w="1090" w:type="dxa"/>
            <w:tcBorders>
              <w:top w:val="nil"/>
              <w:left w:val="nil"/>
              <w:bottom w:val="single" w:sz="4" w:space="0" w:color="auto"/>
              <w:right w:val="single" w:sz="4" w:space="0" w:color="auto"/>
            </w:tcBorders>
            <w:shd w:val="clear" w:color="auto" w:fill="auto"/>
            <w:noWrap/>
            <w:vAlign w:val="center"/>
            <w:hideMark/>
          </w:tcPr>
          <w:p w14:paraId="002F73FE" w14:textId="39AAA5A2"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Dec-16</w:t>
            </w:r>
          </w:p>
        </w:tc>
        <w:tc>
          <w:tcPr>
            <w:tcW w:w="1121" w:type="dxa"/>
            <w:tcBorders>
              <w:top w:val="nil"/>
              <w:left w:val="nil"/>
              <w:bottom w:val="single" w:sz="4" w:space="0" w:color="auto"/>
              <w:right w:val="single" w:sz="4" w:space="0" w:color="auto"/>
            </w:tcBorders>
            <w:shd w:val="clear" w:color="auto" w:fill="auto"/>
            <w:noWrap/>
            <w:vAlign w:val="center"/>
            <w:hideMark/>
          </w:tcPr>
          <w:p w14:paraId="378184D5" w14:textId="125BEBD2" w:rsidR="001234EE" w:rsidRPr="005C296B" w:rsidRDefault="005C296B"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Sep-</w:t>
            </w:r>
            <w:r w:rsidR="001234EE" w:rsidRPr="005C296B">
              <w:rPr>
                <w:rFonts w:ascii="Book Antiqua" w:eastAsia="Times New Roman" w:hAnsi="Book Antiqua" w:cs="Times New Roman"/>
                <w:sz w:val="22"/>
              </w:rPr>
              <w:t>17</w:t>
            </w:r>
          </w:p>
        </w:tc>
      </w:tr>
      <w:tr w:rsidR="009539DC" w:rsidRPr="005C296B" w14:paraId="6EE8BE01" w14:textId="77777777" w:rsidTr="004A4DF5">
        <w:trPr>
          <w:trHeight w:val="242"/>
        </w:trPr>
        <w:tc>
          <w:tcPr>
            <w:tcW w:w="364" w:type="dxa"/>
            <w:tcBorders>
              <w:top w:val="nil"/>
              <w:left w:val="single" w:sz="4" w:space="0" w:color="auto"/>
              <w:bottom w:val="single" w:sz="4" w:space="0" w:color="auto"/>
              <w:right w:val="single" w:sz="4" w:space="0" w:color="auto"/>
            </w:tcBorders>
          </w:tcPr>
          <w:p w14:paraId="504D2E61" w14:textId="73AE71F6"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4</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4B7F9EA6" w14:textId="0EFE63F4"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Vendor Response</w:t>
            </w:r>
          </w:p>
        </w:tc>
        <w:tc>
          <w:tcPr>
            <w:tcW w:w="1090" w:type="dxa"/>
            <w:tcBorders>
              <w:top w:val="nil"/>
              <w:left w:val="nil"/>
              <w:bottom w:val="single" w:sz="4" w:space="0" w:color="auto"/>
              <w:right w:val="single" w:sz="4" w:space="0" w:color="auto"/>
            </w:tcBorders>
            <w:shd w:val="clear" w:color="auto" w:fill="auto"/>
            <w:noWrap/>
            <w:vAlign w:val="center"/>
            <w:hideMark/>
          </w:tcPr>
          <w:p w14:paraId="79F618A6" w14:textId="74BF3BE6" w:rsidR="001234EE" w:rsidRPr="005C296B" w:rsidRDefault="00F37061" w:rsidP="005C296B">
            <w:pPr>
              <w:pStyle w:val="TableText"/>
              <w:spacing w:before="100" w:beforeAutospacing="1" w:after="100" w:afterAutospacing="1"/>
              <w:jc w:val="center"/>
              <w:rPr>
                <w:rFonts w:ascii="Book Antiqua" w:eastAsia="Times New Roman" w:hAnsi="Book Antiqua" w:cs="Times New Roman"/>
                <w:sz w:val="22"/>
              </w:rPr>
            </w:pPr>
            <w:r>
              <w:rPr>
                <w:rFonts w:ascii="Book Antiqua" w:eastAsia="Times New Roman" w:hAnsi="Book Antiqua" w:cs="Times New Roman"/>
                <w:sz w:val="22"/>
              </w:rPr>
              <w:t>Dec</w:t>
            </w:r>
            <w:r w:rsidR="001234EE" w:rsidRPr="005C296B">
              <w:rPr>
                <w:rFonts w:ascii="Book Antiqua" w:eastAsia="Times New Roman" w:hAnsi="Book Antiqua" w:cs="Times New Roman"/>
                <w:sz w:val="22"/>
              </w:rPr>
              <w:t>-16</w:t>
            </w:r>
          </w:p>
        </w:tc>
        <w:tc>
          <w:tcPr>
            <w:tcW w:w="1121" w:type="dxa"/>
            <w:tcBorders>
              <w:top w:val="nil"/>
              <w:left w:val="nil"/>
              <w:bottom w:val="single" w:sz="4" w:space="0" w:color="auto"/>
              <w:right w:val="single" w:sz="4" w:space="0" w:color="auto"/>
            </w:tcBorders>
            <w:shd w:val="clear" w:color="auto" w:fill="auto"/>
            <w:noWrap/>
            <w:vAlign w:val="center"/>
            <w:hideMark/>
          </w:tcPr>
          <w:p w14:paraId="711C8A0B" w14:textId="6B074A5C" w:rsidR="001234EE" w:rsidRPr="005C296B" w:rsidRDefault="00181219" w:rsidP="00181219">
            <w:pPr>
              <w:pStyle w:val="TableText"/>
              <w:spacing w:before="100" w:beforeAutospacing="1" w:after="100" w:afterAutospacing="1"/>
              <w:jc w:val="center"/>
              <w:rPr>
                <w:rFonts w:ascii="Book Antiqua" w:eastAsia="Times New Roman" w:hAnsi="Book Antiqua" w:cs="Times New Roman"/>
                <w:sz w:val="22"/>
              </w:rPr>
            </w:pPr>
            <w:r>
              <w:rPr>
                <w:rFonts w:ascii="Book Antiqua" w:eastAsia="Times New Roman" w:hAnsi="Book Antiqua" w:cs="Times New Roman"/>
                <w:sz w:val="22"/>
              </w:rPr>
              <w:t>Sep</w:t>
            </w:r>
            <w:r w:rsidR="00F37061">
              <w:rPr>
                <w:rFonts w:ascii="Book Antiqua" w:eastAsia="Times New Roman" w:hAnsi="Book Antiqua" w:cs="Times New Roman"/>
                <w:sz w:val="22"/>
              </w:rPr>
              <w:t xml:space="preserve"> 17</w:t>
            </w:r>
          </w:p>
        </w:tc>
      </w:tr>
      <w:tr w:rsidR="009539DC" w:rsidRPr="005C296B" w14:paraId="28EF751E" w14:textId="77777777" w:rsidTr="004A4DF5">
        <w:trPr>
          <w:trHeight w:val="242"/>
        </w:trPr>
        <w:tc>
          <w:tcPr>
            <w:tcW w:w="364" w:type="dxa"/>
            <w:tcBorders>
              <w:top w:val="nil"/>
              <w:left w:val="single" w:sz="4" w:space="0" w:color="auto"/>
              <w:bottom w:val="single" w:sz="4" w:space="0" w:color="auto"/>
              <w:right w:val="single" w:sz="4" w:space="0" w:color="auto"/>
            </w:tcBorders>
          </w:tcPr>
          <w:p w14:paraId="5DBCCC04" w14:textId="079BBA96"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5</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71CE2FDC" w14:textId="3BF9158E"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Contract Negotiations</w:t>
            </w:r>
          </w:p>
        </w:tc>
        <w:tc>
          <w:tcPr>
            <w:tcW w:w="1090" w:type="dxa"/>
            <w:tcBorders>
              <w:top w:val="nil"/>
              <w:left w:val="nil"/>
              <w:bottom w:val="single" w:sz="4" w:space="0" w:color="auto"/>
              <w:right w:val="single" w:sz="4" w:space="0" w:color="auto"/>
            </w:tcBorders>
            <w:shd w:val="clear" w:color="auto" w:fill="auto"/>
            <w:noWrap/>
            <w:vAlign w:val="center"/>
            <w:hideMark/>
          </w:tcPr>
          <w:p w14:paraId="0E0F02BC" w14:textId="5ED9E9DD"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Dec-16</w:t>
            </w:r>
          </w:p>
        </w:tc>
        <w:tc>
          <w:tcPr>
            <w:tcW w:w="1121" w:type="dxa"/>
            <w:tcBorders>
              <w:top w:val="nil"/>
              <w:left w:val="nil"/>
              <w:bottom w:val="single" w:sz="4" w:space="0" w:color="auto"/>
              <w:right w:val="single" w:sz="4" w:space="0" w:color="auto"/>
            </w:tcBorders>
            <w:shd w:val="clear" w:color="auto" w:fill="auto"/>
            <w:noWrap/>
            <w:vAlign w:val="center"/>
            <w:hideMark/>
          </w:tcPr>
          <w:p w14:paraId="70E8AADB" w14:textId="1A05D001" w:rsidR="001234EE" w:rsidRPr="005C296B" w:rsidRDefault="005C296B"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Sep-</w:t>
            </w:r>
            <w:r w:rsidR="001234EE" w:rsidRPr="005C296B">
              <w:rPr>
                <w:rFonts w:ascii="Book Antiqua" w:eastAsia="Times New Roman" w:hAnsi="Book Antiqua" w:cs="Times New Roman"/>
                <w:sz w:val="22"/>
              </w:rPr>
              <w:t>17</w:t>
            </w:r>
          </w:p>
        </w:tc>
      </w:tr>
      <w:tr w:rsidR="009539DC" w:rsidRPr="005C296B" w14:paraId="01DFF063" w14:textId="618432AB" w:rsidTr="004A4DF5">
        <w:trPr>
          <w:trHeight w:val="242"/>
        </w:trPr>
        <w:tc>
          <w:tcPr>
            <w:tcW w:w="364" w:type="dxa"/>
            <w:tcBorders>
              <w:top w:val="nil"/>
              <w:left w:val="single" w:sz="4" w:space="0" w:color="auto"/>
              <w:bottom w:val="single" w:sz="4" w:space="0" w:color="auto"/>
              <w:right w:val="single" w:sz="4" w:space="0" w:color="auto"/>
            </w:tcBorders>
          </w:tcPr>
          <w:p w14:paraId="1E1B9F77" w14:textId="0A2A49B4" w:rsidR="001234EE" w:rsidRPr="005C296B" w:rsidDel="001234EE" w:rsidRDefault="00181219" w:rsidP="005C296B">
            <w:pPr>
              <w:pStyle w:val="TableText"/>
              <w:spacing w:before="100" w:beforeAutospacing="1" w:after="100" w:afterAutospacing="1"/>
              <w:rPr>
                <w:rFonts w:ascii="Book Antiqua" w:eastAsia="Times New Roman" w:hAnsi="Book Antiqua" w:cs="Times New Roman"/>
                <w:sz w:val="22"/>
              </w:rPr>
            </w:pPr>
            <w:r>
              <w:rPr>
                <w:rFonts w:ascii="Book Antiqua" w:eastAsia="Times New Roman" w:hAnsi="Book Antiqua" w:cs="Times New Roman"/>
                <w:sz w:val="22"/>
              </w:rPr>
              <w:t>6</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056CC68F" w14:textId="2F6785D7" w:rsidR="001234EE" w:rsidRPr="005C296B" w:rsidRDefault="001234EE" w:rsidP="00181219">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 xml:space="preserve">Contract Review </w:t>
            </w:r>
          </w:p>
        </w:tc>
        <w:tc>
          <w:tcPr>
            <w:tcW w:w="1090" w:type="dxa"/>
            <w:tcBorders>
              <w:top w:val="nil"/>
              <w:left w:val="nil"/>
              <w:bottom w:val="single" w:sz="4" w:space="0" w:color="auto"/>
              <w:right w:val="single" w:sz="4" w:space="0" w:color="auto"/>
            </w:tcBorders>
            <w:shd w:val="clear" w:color="auto" w:fill="auto"/>
            <w:noWrap/>
            <w:vAlign w:val="center"/>
            <w:hideMark/>
          </w:tcPr>
          <w:p w14:paraId="390A1A71" w14:textId="4C089ABA" w:rsidR="001234EE" w:rsidRPr="005C296B" w:rsidRDefault="00181219" w:rsidP="005C296B">
            <w:pPr>
              <w:pStyle w:val="TableText"/>
              <w:spacing w:before="100" w:beforeAutospacing="1" w:after="100" w:afterAutospacing="1"/>
              <w:jc w:val="center"/>
              <w:rPr>
                <w:rFonts w:ascii="Book Antiqua" w:eastAsia="Times New Roman" w:hAnsi="Book Antiqua" w:cs="Times New Roman"/>
                <w:sz w:val="22"/>
              </w:rPr>
            </w:pPr>
            <w:r>
              <w:rPr>
                <w:rFonts w:ascii="Book Antiqua" w:eastAsia="Times New Roman" w:hAnsi="Book Antiqua" w:cs="Times New Roman"/>
                <w:sz w:val="22"/>
              </w:rPr>
              <w:t>Aug-17</w:t>
            </w:r>
          </w:p>
        </w:tc>
        <w:tc>
          <w:tcPr>
            <w:tcW w:w="1121" w:type="dxa"/>
            <w:tcBorders>
              <w:top w:val="nil"/>
              <w:left w:val="nil"/>
              <w:bottom w:val="single" w:sz="4" w:space="0" w:color="auto"/>
              <w:right w:val="single" w:sz="4" w:space="0" w:color="auto"/>
            </w:tcBorders>
            <w:shd w:val="clear" w:color="auto" w:fill="auto"/>
            <w:noWrap/>
            <w:vAlign w:val="center"/>
            <w:hideMark/>
          </w:tcPr>
          <w:p w14:paraId="53A52742" w14:textId="243D5F78"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Nov 17</w:t>
            </w:r>
          </w:p>
        </w:tc>
      </w:tr>
      <w:tr w:rsidR="009539DC" w:rsidRPr="005C296B" w14:paraId="7A548CE1" w14:textId="77777777" w:rsidTr="004A4DF5">
        <w:trPr>
          <w:trHeight w:val="242"/>
        </w:trPr>
        <w:tc>
          <w:tcPr>
            <w:tcW w:w="364" w:type="dxa"/>
            <w:tcBorders>
              <w:top w:val="nil"/>
              <w:left w:val="single" w:sz="4" w:space="0" w:color="auto"/>
              <w:bottom w:val="single" w:sz="4" w:space="0" w:color="auto"/>
              <w:right w:val="single" w:sz="4" w:space="0" w:color="auto"/>
            </w:tcBorders>
          </w:tcPr>
          <w:p w14:paraId="263493EB" w14:textId="59DA1004" w:rsidR="001234EE" w:rsidRPr="005C296B" w:rsidRDefault="00181219" w:rsidP="005C296B">
            <w:pPr>
              <w:pStyle w:val="TableText"/>
              <w:spacing w:before="100" w:beforeAutospacing="1" w:after="100" w:afterAutospacing="1"/>
              <w:rPr>
                <w:rFonts w:ascii="Book Antiqua" w:eastAsia="Times New Roman" w:hAnsi="Book Antiqua" w:cs="Times New Roman"/>
                <w:sz w:val="22"/>
              </w:rPr>
            </w:pPr>
            <w:r>
              <w:rPr>
                <w:rFonts w:ascii="Book Antiqua" w:eastAsia="Times New Roman" w:hAnsi="Book Antiqua" w:cs="Times New Roman"/>
                <w:sz w:val="22"/>
              </w:rPr>
              <w:t>7</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0715BE8A" w14:textId="24C149AF"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IAPD/IAPDU</w:t>
            </w:r>
          </w:p>
        </w:tc>
        <w:tc>
          <w:tcPr>
            <w:tcW w:w="1090" w:type="dxa"/>
            <w:tcBorders>
              <w:top w:val="nil"/>
              <w:left w:val="nil"/>
              <w:bottom w:val="single" w:sz="4" w:space="0" w:color="auto"/>
              <w:right w:val="single" w:sz="4" w:space="0" w:color="auto"/>
            </w:tcBorders>
            <w:shd w:val="clear" w:color="auto" w:fill="auto"/>
            <w:noWrap/>
            <w:vAlign w:val="center"/>
            <w:hideMark/>
          </w:tcPr>
          <w:p w14:paraId="683B6CEE" w14:textId="77777777"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Jan-16</w:t>
            </w:r>
          </w:p>
        </w:tc>
        <w:tc>
          <w:tcPr>
            <w:tcW w:w="1121" w:type="dxa"/>
            <w:tcBorders>
              <w:top w:val="nil"/>
              <w:left w:val="nil"/>
              <w:bottom w:val="single" w:sz="4" w:space="0" w:color="auto"/>
              <w:right w:val="single" w:sz="4" w:space="0" w:color="auto"/>
            </w:tcBorders>
            <w:shd w:val="clear" w:color="auto" w:fill="auto"/>
            <w:noWrap/>
            <w:vAlign w:val="center"/>
            <w:hideMark/>
          </w:tcPr>
          <w:p w14:paraId="4ACECB28" w14:textId="529949EC"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Sep</w:t>
            </w:r>
            <w:r w:rsidR="005C296B" w:rsidRPr="005C296B">
              <w:rPr>
                <w:rFonts w:ascii="Book Antiqua" w:eastAsia="Times New Roman" w:hAnsi="Book Antiqua" w:cs="Times New Roman"/>
                <w:sz w:val="22"/>
              </w:rPr>
              <w:t>-</w:t>
            </w:r>
            <w:r w:rsidRPr="005C296B">
              <w:rPr>
                <w:rFonts w:ascii="Book Antiqua" w:eastAsia="Times New Roman" w:hAnsi="Book Antiqua" w:cs="Times New Roman"/>
                <w:sz w:val="22"/>
              </w:rPr>
              <w:t>2017</w:t>
            </w:r>
          </w:p>
        </w:tc>
      </w:tr>
      <w:tr w:rsidR="009539DC" w:rsidRPr="005C296B" w14:paraId="0158F3F0" w14:textId="77777777" w:rsidTr="004A4DF5">
        <w:trPr>
          <w:trHeight w:val="242"/>
        </w:trPr>
        <w:tc>
          <w:tcPr>
            <w:tcW w:w="364" w:type="dxa"/>
            <w:tcBorders>
              <w:top w:val="nil"/>
              <w:left w:val="single" w:sz="4" w:space="0" w:color="auto"/>
              <w:bottom w:val="single" w:sz="4" w:space="0" w:color="auto"/>
              <w:right w:val="single" w:sz="4" w:space="0" w:color="auto"/>
            </w:tcBorders>
          </w:tcPr>
          <w:p w14:paraId="1F24E919" w14:textId="713EFACA" w:rsidR="001234EE" w:rsidRPr="005C296B" w:rsidRDefault="00181219" w:rsidP="005C296B">
            <w:pPr>
              <w:pStyle w:val="TableText"/>
              <w:spacing w:before="100" w:beforeAutospacing="1" w:after="100" w:afterAutospacing="1"/>
              <w:rPr>
                <w:rFonts w:ascii="Book Antiqua" w:eastAsia="Times New Roman" w:hAnsi="Book Antiqua" w:cs="Times New Roman"/>
                <w:sz w:val="22"/>
              </w:rPr>
            </w:pPr>
            <w:r>
              <w:rPr>
                <w:rFonts w:ascii="Book Antiqua" w:eastAsia="Times New Roman" w:hAnsi="Book Antiqua" w:cs="Times New Roman"/>
                <w:sz w:val="22"/>
              </w:rPr>
              <w:t>8</w:t>
            </w:r>
          </w:p>
        </w:tc>
        <w:tc>
          <w:tcPr>
            <w:tcW w:w="7394" w:type="dxa"/>
            <w:tcBorders>
              <w:top w:val="nil"/>
              <w:left w:val="single" w:sz="4" w:space="0" w:color="auto"/>
              <w:bottom w:val="single" w:sz="4" w:space="0" w:color="auto"/>
              <w:right w:val="single" w:sz="4" w:space="0" w:color="auto"/>
            </w:tcBorders>
            <w:shd w:val="clear" w:color="auto" w:fill="auto"/>
            <w:noWrap/>
            <w:vAlign w:val="center"/>
            <w:hideMark/>
          </w:tcPr>
          <w:p w14:paraId="2D13E576" w14:textId="7DC23980" w:rsidR="001234EE" w:rsidRPr="005C296B" w:rsidRDefault="001234EE" w:rsidP="005C296B">
            <w:pPr>
              <w:pStyle w:val="TableText"/>
              <w:spacing w:before="100" w:beforeAutospacing="1" w:after="100" w:afterAutospacing="1"/>
              <w:rPr>
                <w:rFonts w:ascii="Book Antiqua" w:eastAsia="Times New Roman" w:hAnsi="Book Antiqua" w:cs="Times New Roman"/>
                <w:sz w:val="22"/>
              </w:rPr>
            </w:pPr>
            <w:r w:rsidRPr="005C296B">
              <w:rPr>
                <w:rFonts w:ascii="Book Antiqua" w:eastAsia="Times New Roman" w:hAnsi="Book Antiqua" w:cs="Times New Roman"/>
                <w:sz w:val="22"/>
              </w:rPr>
              <w:t>Governance</w:t>
            </w:r>
          </w:p>
        </w:tc>
        <w:tc>
          <w:tcPr>
            <w:tcW w:w="1090" w:type="dxa"/>
            <w:tcBorders>
              <w:top w:val="nil"/>
              <w:left w:val="nil"/>
              <w:bottom w:val="single" w:sz="4" w:space="0" w:color="auto"/>
              <w:right w:val="single" w:sz="4" w:space="0" w:color="auto"/>
            </w:tcBorders>
            <w:shd w:val="clear" w:color="auto" w:fill="auto"/>
            <w:noWrap/>
            <w:vAlign w:val="center"/>
            <w:hideMark/>
          </w:tcPr>
          <w:p w14:paraId="6F5699A2" w14:textId="77777777" w:rsidR="001234EE" w:rsidRPr="005C296B" w:rsidRDefault="001234EE"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Jul-15</w:t>
            </w:r>
          </w:p>
        </w:tc>
        <w:tc>
          <w:tcPr>
            <w:tcW w:w="1121" w:type="dxa"/>
            <w:tcBorders>
              <w:top w:val="nil"/>
              <w:left w:val="nil"/>
              <w:bottom w:val="single" w:sz="4" w:space="0" w:color="auto"/>
              <w:right w:val="single" w:sz="4" w:space="0" w:color="auto"/>
            </w:tcBorders>
            <w:shd w:val="clear" w:color="auto" w:fill="auto"/>
            <w:noWrap/>
            <w:vAlign w:val="center"/>
            <w:hideMark/>
          </w:tcPr>
          <w:p w14:paraId="6850DDC6" w14:textId="226E9AC3" w:rsidR="001234EE" w:rsidRPr="005C296B" w:rsidRDefault="005C296B" w:rsidP="005C296B">
            <w:pPr>
              <w:pStyle w:val="TableText"/>
              <w:spacing w:before="100" w:beforeAutospacing="1" w:after="100" w:afterAutospacing="1"/>
              <w:jc w:val="center"/>
              <w:rPr>
                <w:rFonts w:ascii="Book Antiqua" w:eastAsia="Times New Roman" w:hAnsi="Book Antiqua" w:cs="Times New Roman"/>
                <w:sz w:val="22"/>
              </w:rPr>
            </w:pPr>
            <w:r w:rsidRPr="005C296B">
              <w:rPr>
                <w:rFonts w:ascii="Book Antiqua" w:eastAsia="Times New Roman" w:hAnsi="Book Antiqua" w:cs="Times New Roman"/>
                <w:sz w:val="22"/>
              </w:rPr>
              <w:t>Sep-</w:t>
            </w:r>
            <w:r w:rsidR="001234EE" w:rsidRPr="005C296B">
              <w:rPr>
                <w:rFonts w:ascii="Book Antiqua" w:eastAsia="Times New Roman" w:hAnsi="Book Antiqua" w:cs="Times New Roman"/>
                <w:sz w:val="22"/>
              </w:rPr>
              <w:t>17</w:t>
            </w:r>
          </w:p>
        </w:tc>
      </w:tr>
      <w:tr w:rsidR="00181219" w:rsidRPr="005C296B" w14:paraId="6BBAF59D"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36D34FB7" w14:textId="29BA090F" w:rsidR="00181219" w:rsidRPr="005C296B" w:rsidRDefault="00181219" w:rsidP="00181219">
            <w:pPr>
              <w:widowControl w:val="0"/>
              <w:spacing w:before="100" w:beforeAutospacing="1" w:after="100" w:afterAutospacing="1"/>
              <w:jc w:val="both"/>
              <w:rPr>
                <w:rFonts w:eastAsia="Calibri" w:cs="Arial"/>
                <w:szCs w:val="22"/>
              </w:rPr>
            </w:pPr>
            <w:r w:rsidRPr="005C296B">
              <w:rPr>
                <w:rFonts w:eastAsia="Calibri" w:cs="Arial"/>
                <w:szCs w:val="22"/>
              </w:rPr>
              <w:t>9</w:t>
            </w:r>
          </w:p>
        </w:tc>
        <w:tc>
          <w:tcPr>
            <w:tcW w:w="7394" w:type="dxa"/>
            <w:tcBorders>
              <w:top w:val="single" w:sz="4" w:space="0" w:color="auto"/>
              <w:left w:val="single" w:sz="4" w:space="0" w:color="auto"/>
              <w:bottom w:val="single" w:sz="4" w:space="0" w:color="auto"/>
              <w:right w:val="single" w:sz="4" w:space="0" w:color="auto"/>
            </w:tcBorders>
          </w:tcPr>
          <w:p w14:paraId="63A5DFEB"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Technical Planning and Analysis Initiation</w:t>
            </w:r>
          </w:p>
        </w:tc>
        <w:tc>
          <w:tcPr>
            <w:tcW w:w="1090" w:type="dxa"/>
            <w:tcBorders>
              <w:top w:val="single" w:sz="4" w:space="0" w:color="auto"/>
              <w:left w:val="single" w:sz="4" w:space="0" w:color="auto"/>
              <w:bottom w:val="single" w:sz="4" w:space="0" w:color="auto"/>
              <w:right w:val="single" w:sz="4" w:space="0" w:color="auto"/>
            </w:tcBorders>
            <w:vAlign w:val="bottom"/>
          </w:tcPr>
          <w:p w14:paraId="6D8C1C4D" w14:textId="77777777"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Jan-18</w:t>
            </w:r>
          </w:p>
        </w:tc>
        <w:tc>
          <w:tcPr>
            <w:tcW w:w="1121" w:type="dxa"/>
            <w:tcBorders>
              <w:top w:val="single" w:sz="4" w:space="0" w:color="auto"/>
              <w:left w:val="single" w:sz="4" w:space="0" w:color="auto"/>
              <w:bottom w:val="single" w:sz="4" w:space="0" w:color="auto"/>
              <w:right w:val="single" w:sz="4" w:space="0" w:color="auto"/>
            </w:tcBorders>
            <w:vAlign w:val="bottom"/>
          </w:tcPr>
          <w:p w14:paraId="33269F53" w14:textId="77777777"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Jan-18</w:t>
            </w:r>
          </w:p>
        </w:tc>
      </w:tr>
      <w:tr w:rsidR="00181219" w:rsidRPr="005C296B" w14:paraId="01F303A5"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7E6D664B" w14:textId="7F6D7526" w:rsidR="00181219" w:rsidRPr="005C296B" w:rsidRDefault="00181219" w:rsidP="00181219">
            <w:pPr>
              <w:widowControl w:val="0"/>
              <w:spacing w:before="100" w:beforeAutospacing="1" w:after="100" w:afterAutospacing="1"/>
              <w:jc w:val="both"/>
              <w:rPr>
                <w:rFonts w:eastAsia="Calibri" w:cs="Arial"/>
                <w:szCs w:val="22"/>
              </w:rPr>
            </w:pPr>
            <w:r w:rsidRPr="005C296B">
              <w:rPr>
                <w:rFonts w:eastAsia="Calibri" w:cs="Arial"/>
                <w:szCs w:val="22"/>
              </w:rPr>
              <w:t>10</w:t>
            </w:r>
          </w:p>
        </w:tc>
        <w:tc>
          <w:tcPr>
            <w:tcW w:w="7394" w:type="dxa"/>
            <w:tcBorders>
              <w:top w:val="single" w:sz="4" w:space="0" w:color="auto"/>
              <w:left w:val="single" w:sz="4" w:space="0" w:color="auto"/>
              <w:bottom w:val="single" w:sz="4" w:space="0" w:color="auto"/>
              <w:right w:val="single" w:sz="4" w:space="0" w:color="auto"/>
            </w:tcBorders>
          </w:tcPr>
          <w:p w14:paraId="45FA3891"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Continuation of Migration D&amp;I Planning</w:t>
            </w:r>
          </w:p>
        </w:tc>
        <w:tc>
          <w:tcPr>
            <w:tcW w:w="1090" w:type="dxa"/>
            <w:tcBorders>
              <w:top w:val="single" w:sz="4" w:space="0" w:color="auto"/>
              <w:left w:val="single" w:sz="4" w:space="0" w:color="auto"/>
              <w:bottom w:val="single" w:sz="4" w:space="0" w:color="auto"/>
              <w:right w:val="single" w:sz="4" w:space="0" w:color="auto"/>
            </w:tcBorders>
            <w:vAlign w:val="bottom"/>
          </w:tcPr>
          <w:p w14:paraId="2B58ED1E" w14:textId="5204432F"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Jan-18</w:t>
            </w:r>
          </w:p>
        </w:tc>
        <w:tc>
          <w:tcPr>
            <w:tcW w:w="1121" w:type="dxa"/>
            <w:tcBorders>
              <w:top w:val="single" w:sz="4" w:space="0" w:color="auto"/>
              <w:left w:val="single" w:sz="4" w:space="0" w:color="auto"/>
              <w:bottom w:val="single" w:sz="4" w:space="0" w:color="auto"/>
              <w:right w:val="single" w:sz="4" w:space="0" w:color="auto"/>
            </w:tcBorders>
            <w:vAlign w:val="bottom"/>
          </w:tcPr>
          <w:p w14:paraId="0D8D5498" w14:textId="4BB29247"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Jun-18</w:t>
            </w:r>
          </w:p>
        </w:tc>
      </w:tr>
      <w:tr w:rsidR="00181219" w:rsidRPr="005C296B" w14:paraId="5626B40D"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62DF7BCC" w14:textId="5B84E8DA" w:rsidR="00181219" w:rsidRPr="005C296B" w:rsidRDefault="00181219" w:rsidP="00181219">
            <w:pPr>
              <w:widowControl w:val="0"/>
              <w:spacing w:before="100" w:beforeAutospacing="1" w:after="100" w:afterAutospacing="1"/>
              <w:jc w:val="both"/>
              <w:rPr>
                <w:rFonts w:eastAsia="Calibri" w:cs="Arial"/>
                <w:szCs w:val="22"/>
              </w:rPr>
            </w:pPr>
            <w:r w:rsidRPr="005C296B">
              <w:rPr>
                <w:rFonts w:eastAsia="Calibri" w:cs="Arial"/>
                <w:szCs w:val="22"/>
              </w:rPr>
              <w:t>11</w:t>
            </w:r>
          </w:p>
        </w:tc>
        <w:tc>
          <w:tcPr>
            <w:tcW w:w="7394" w:type="dxa"/>
            <w:tcBorders>
              <w:top w:val="single" w:sz="4" w:space="0" w:color="auto"/>
              <w:left w:val="single" w:sz="4" w:space="0" w:color="auto"/>
              <w:bottom w:val="single" w:sz="4" w:space="0" w:color="auto"/>
              <w:right w:val="single" w:sz="4" w:space="0" w:color="auto"/>
            </w:tcBorders>
          </w:tcPr>
          <w:p w14:paraId="329D3D6B"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Analysis of C-IV and LRS Moving to Cloud Environment</w:t>
            </w:r>
          </w:p>
        </w:tc>
        <w:tc>
          <w:tcPr>
            <w:tcW w:w="1090" w:type="dxa"/>
            <w:tcBorders>
              <w:top w:val="single" w:sz="4" w:space="0" w:color="auto"/>
              <w:left w:val="single" w:sz="4" w:space="0" w:color="auto"/>
              <w:bottom w:val="single" w:sz="4" w:space="0" w:color="auto"/>
              <w:right w:val="single" w:sz="4" w:space="0" w:color="auto"/>
            </w:tcBorders>
            <w:vAlign w:val="bottom"/>
          </w:tcPr>
          <w:p w14:paraId="554A0976" w14:textId="43637B4D"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Jan-18</w:t>
            </w:r>
          </w:p>
        </w:tc>
        <w:tc>
          <w:tcPr>
            <w:tcW w:w="1121" w:type="dxa"/>
            <w:tcBorders>
              <w:top w:val="single" w:sz="4" w:space="0" w:color="auto"/>
              <w:left w:val="single" w:sz="4" w:space="0" w:color="auto"/>
              <w:bottom w:val="single" w:sz="4" w:space="0" w:color="auto"/>
              <w:right w:val="single" w:sz="4" w:space="0" w:color="auto"/>
            </w:tcBorders>
            <w:vAlign w:val="bottom"/>
          </w:tcPr>
          <w:p w14:paraId="1459DAAC" w14:textId="055B13C0"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Feb-18</w:t>
            </w:r>
          </w:p>
        </w:tc>
      </w:tr>
      <w:tr w:rsidR="00181219" w:rsidRPr="005C296B" w14:paraId="67CA09A4"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25D64013" w14:textId="52DD1711" w:rsidR="00181219" w:rsidRPr="005C296B" w:rsidRDefault="00181219" w:rsidP="00181219">
            <w:pPr>
              <w:widowControl w:val="0"/>
              <w:spacing w:before="100" w:beforeAutospacing="1" w:after="100" w:afterAutospacing="1"/>
              <w:jc w:val="both"/>
              <w:rPr>
                <w:rFonts w:eastAsia="Calibri" w:cs="Arial"/>
                <w:szCs w:val="22"/>
              </w:rPr>
            </w:pPr>
            <w:r w:rsidRPr="005C296B">
              <w:rPr>
                <w:rFonts w:eastAsia="Calibri" w:cs="Arial"/>
                <w:szCs w:val="22"/>
              </w:rPr>
              <w:t>12</w:t>
            </w:r>
          </w:p>
        </w:tc>
        <w:tc>
          <w:tcPr>
            <w:tcW w:w="7394" w:type="dxa"/>
            <w:tcBorders>
              <w:top w:val="single" w:sz="4" w:space="0" w:color="auto"/>
              <w:left w:val="single" w:sz="4" w:space="0" w:color="auto"/>
              <w:bottom w:val="single" w:sz="4" w:space="0" w:color="auto"/>
              <w:right w:val="single" w:sz="4" w:space="0" w:color="auto"/>
            </w:tcBorders>
          </w:tcPr>
          <w:p w14:paraId="2764DB37"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Analysis of Database Consolidation</w:t>
            </w:r>
          </w:p>
        </w:tc>
        <w:tc>
          <w:tcPr>
            <w:tcW w:w="1090" w:type="dxa"/>
            <w:tcBorders>
              <w:top w:val="single" w:sz="4" w:space="0" w:color="auto"/>
              <w:left w:val="single" w:sz="4" w:space="0" w:color="auto"/>
              <w:bottom w:val="single" w:sz="4" w:space="0" w:color="auto"/>
              <w:right w:val="single" w:sz="4" w:space="0" w:color="auto"/>
            </w:tcBorders>
            <w:vAlign w:val="bottom"/>
          </w:tcPr>
          <w:p w14:paraId="633A9D4D" w14:textId="42F5B4A0"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Jan-18</w:t>
            </w:r>
          </w:p>
        </w:tc>
        <w:tc>
          <w:tcPr>
            <w:tcW w:w="1121" w:type="dxa"/>
            <w:tcBorders>
              <w:top w:val="single" w:sz="4" w:space="0" w:color="auto"/>
              <w:left w:val="single" w:sz="4" w:space="0" w:color="auto"/>
              <w:bottom w:val="single" w:sz="4" w:space="0" w:color="auto"/>
              <w:right w:val="single" w:sz="4" w:space="0" w:color="auto"/>
            </w:tcBorders>
            <w:vAlign w:val="bottom"/>
          </w:tcPr>
          <w:p w14:paraId="5AB18862" w14:textId="423498D8"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r>
      <w:tr w:rsidR="00181219" w:rsidRPr="005C296B" w14:paraId="6573E165"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4CE0C3F3" w14:textId="29B4FB23" w:rsidR="00181219" w:rsidRPr="005C296B" w:rsidRDefault="00181219" w:rsidP="00181219">
            <w:pPr>
              <w:widowControl w:val="0"/>
              <w:spacing w:before="100" w:beforeAutospacing="1" w:after="100" w:afterAutospacing="1"/>
              <w:jc w:val="both"/>
              <w:rPr>
                <w:rFonts w:eastAsia="Calibri" w:cs="Arial"/>
                <w:szCs w:val="22"/>
              </w:rPr>
            </w:pPr>
            <w:r w:rsidRPr="005C296B">
              <w:rPr>
                <w:rFonts w:eastAsia="Calibri" w:cs="Arial"/>
                <w:szCs w:val="22"/>
              </w:rPr>
              <w:t>13</w:t>
            </w:r>
          </w:p>
        </w:tc>
        <w:tc>
          <w:tcPr>
            <w:tcW w:w="7394" w:type="dxa"/>
            <w:tcBorders>
              <w:top w:val="single" w:sz="4" w:space="0" w:color="auto"/>
              <w:left w:val="single" w:sz="4" w:space="0" w:color="auto"/>
              <w:bottom w:val="single" w:sz="4" w:space="0" w:color="auto"/>
              <w:right w:val="single" w:sz="4" w:space="0" w:color="auto"/>
            </w:tcBorders>
          </w:tcPr>
          <w:p w14:paraId="65CA2647"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Analysis of Data Center/Hosting Consolidation</w:t>
            </w:r>
          </w:p>
        </w:tc>
        <w:tc>
          <w:tcPr>
            <w:tcW w:w="1090" w:type="dxa"/>
            <w:tcBorders>
              <w:top w:val="single" w:sz="4" w:space="0" w:color="auto"/>
              <w:left w:val="single" w:sz="4" w:space="0" w:color="auto"/>
              <w:bottom w:val="single" w:sz="4" w:space="0" w:color="auto"/>
              <w:right w:val="single" w:sz="4" w:space="0" w:color="auto"/>
            </w:tcBorders>
            <w:vAlign w:val="bottom"/>
          </w:tcPr>
          <w:p w14:paraId="172B6C4E" w14:textId="64E9E8F5"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Jan-18</w:t>
            </w:r>
          </w:p>
        </w:tc>
        <w:tc>
          <w:tcPr>
            <w:tcW w:w="1121" w:type="dxa"/>
            <w:tcBorders>
              <w:top w:val="single" w:sz="4" w:space="0" w:color="auto"/>
              <w:left w:val="single" w:sz="4" w:space="0" w:color="auto"/>
              <w:bottom w:val="single" w:sz="4" w:space="0" w:color="auto"/>
              <w:right w:val="single" w:sz="4" w:space="0" w:color="auto"/>
            </w:tcBorders>
            <w:vAlign w:val="bottom"/>
          </w:tcPr>
          <w:p w14:paraId="77E69F22" w14:textId="2D008B4C"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r>
      <w:tr w:rsidR="00181219" w:rsidRPr="005C296B" w14:paraId="3D27B98A"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299ADE3F" w14:textId="406812DF" w:rsidR="00181219" w:rsidRPr="005C296B" w:rsidRDefault="00181219" w:rsidP="00181219">
            <w:pPr>
              <w:widowControl w:val="0"/>
              <w:spacing w:before="100" w:beforeAutospacing="1" w:after="100" w:afterAutospacing="1"/>
              <w:jc w:val="both"/>
              <w:rPr>
                <w:rFonts w:eastAsia="Calibri" w:cs="Arial"/>
                <w:szCs w:val="22"/>
              </w:rPr>
            </w:pPr>
            <w:r w:rsidRPr="005C296B">
              <w:rPr>
                <w:rFonts w:eastAsia="Calibri" w:cs="Arial"/>
                <w:szCs w:val="22"/>
              </w:rPr>
              <w:t>14</w:t>
            </w:r>
          </w:p>
        </w:tc>
        <w:tc>
          <w:tcPr>
            <w:tcW w:w="7394" w:type="dxa"/>
            <w:tcBorders>
              <w:top w:val="single" w:sz="4" w:space="0" w:color="auto"/>
              <w:left w:val="single" w:sz="4" w:space="0" w:color="auto"/>
              <w:bottom w:val="single" w:sz="4" w:space="0" w:color="auto"/>
              <w:right w:val="single" w:sz="4" w:space="0" w:color="auto"/>
            </w:tcBorders>
          </w:tcPr>
          <w:p w14:paraId="354CE8B6" w14:textId="7AD11E6F"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Prepare Analysis Results and Recommendations Report</w:t>
            </w:r>
          </w:p>
        </w:tc>
        <w:tc>
          <w:tcPr>
            <w:tcW w:w="1090" w:type="dxa"/>
            <w:tcBorders>
              <w:top w:val="single" w:sz="4" w:space="0" w:color="auto"/>
              <w:left w:val="single" w:sz="4" w:space="0" w:color="auto"/>
              <w:bottom w:val="single" w:sz="4" w:space="0" w:color="auto"/>
              <w:right w:val="single" w:sz="4" w:space="0" w:color="auto"/>
            </w:tcBorders>
            <w:vAlign w:val="bottom"/>
          </w:tcPr>
          <w:p w14:paraId="62884F14" w14:textId="3A653064"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c>
          <w:tcPr>
            <w:tcW w:w="1121" w:type="dxa"/>
            <w:tcBorders>
              <w:top w:val="single" w:sz="4" w:space="0" w:color="auto"/>
              <w:left w:val="single" w:sz="4" w:space="0" w:color="auto"/>
              <w:bottom w:val="single" w:sz="4" w:space="0" w:color="auto"/>
              <w:right w:val="single" w:sz="4" w:space="0" w:color="auto"/>
            </w:tcBorders>
            <w:vAlign w:val="bottom"/>
          </w:tcPr>
          <w:p w14:paraId="224E9E9D" w14:textId="075F6414"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r>
      <w:tr w:rsidR="00181219" w:rsidRPr="005C296B" w14:paraId="66610D08"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3805A811" w14:textId="2ECF2A76"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15</w:t>
            </w:r>
          </w:p>
        </w:tc>
        <w:tc>
          <w:tcPr>
            <w:tcW w:w="7394" w:type="dxa"/>
            <w:tcBorders>
              <w:top w:val="single" w:sz="4" w:space="0" w:color="auto"/>
              <w:left w:val="single" w:sz="4" w:space="0" w:color="auto"/>
              <w:bottom w:val="single" w:sz="4" w:space="0" w:color="auto"/>
              <w:right w:val="single" w:sz="4" w:space="0" w:color="auto"/>
            </w:tcBorders>
          </w:tcPr>
          <w:p w14:paraId="4C0D7236" w14:textId="5F185BAA"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Secure State &amp; Federal Sponsor Approval of Analysis Recommendations</w:t>
            </w:r>
          </w:p>
        </w:tc>
        <w:tc>
          <w:tcPr>
            <w:tcW w:w="1090" w:type="dxa"/>
            <w:tcBorders>
              <w:top w:val="single" w:sz="4" w:space="0" w:color="auto"/>
              <w:left w:val="single" w:sz="4" w:space="0" w:color="auto"/>
              <w:bottom w:val="single" w:sz="4" w:space="0" w:color="auto"/>
              <w:right w:val="single" w:sz="4" w:space="0" w:color="auto"/>
            </w:tcBorders>
            <w:vAlign w:val="bottom"/>
          </w:tcPr>
          <w:p w14:paraId="3AE359E2" w14:textId="7AA36B95"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c>
          <w:tcPr>
            <w:tcW w:w="1121" w:type="dxa"/>
            <w:tcBorders>
              <w:top w:val="single" w:sz="4" w:space="0" w:color="auto"/>
              <w:left w:val="single" w:sz="4" w:space="0" w:color="auto"/>
              <w:bottom w:val="single" w:sz="4" w:space="0" w:color="auto"/>
              <w:right w:val="single" w:sz="4" w:space="0" w:color="auto"/>
            </w:tcBorders>
            <w:vAlign w:val="bottom"/>
          </w:tcPr>
          <w:p w14:paraId="3EFC0BE4" w14:textId="57618003"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r>
      <w:tr w:rsidR="00181219" w:rsidRPr="005C296B" w14:paraId="7F8392BD"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43402741" w14:textId="0624D2EA"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16</w:t>
            </w:r>
          </w:p>
        </w:tc>
        <w:tc>
          <w:tcPr>
            <w:tcW w:w="7394" w:type="dxa"/>
            <w:tcBorders>
              <w:top w:val="single" w:sz="4" w:space="0" w:color="auto"/>
              <w:left w:val="single" w:sz="4" w:space="0" w:color="auto"/>
              <w:bottom w:val="single" w:sz="4" w:space="0" w:color="auto"/>
              <w:right w:val="single" w:sz="4" w:space="0" w:color="auto"/>
            </w:tcBorders>
          </w:tcPr>
          <w:p w14:paraId="0F2EAED3"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As-Needed IAPDU for SFY 18/19</w:t>
            </w:r>
          </w:p>
        </w:tc>
        <w:tc>
          <w:tcPr>
            <w:tcW w:w="1090" w:type="dxa"/>
            <w:tcBorders>
              <w:top w:val="single" w:sz="4" w:space="0" w:color="auto"/>
              <w:left w:val="single" w:sz="4" w:space="0" w:color="auto"/>
              <w:bottom w:val="single" w:sz="4" w:space="0" w:color="auto"/>
              <w:right w:val="single" w:sz="4" w:space="0" w:color="auto"/>
            </w:tcBorders>
            <w:vAlign w:val="bottom"/>
          </w:tcPr>
          <w:p w14:paraId="0CF58FB3" w14:textId="21FECC7B"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c>
          <w:tcPr>
            <w:tcW w:w="1121" w:type="dxa"/>
            <w:tcBorders>
              <w:top w:val="single" w:sz="4" w:space="0" w:color="auto"/>
              <w:left w:val="single" w:sz="4" w:space="0" w:color="auto"/>
              <w:bottom w:val="single" w:sz="4" w:space="0" w:color="auto"/>
              <w:right w:val="single" w:sz="4" w:space="0" w:color="auto"/>
            </w:tcBorders>
            <w:vAlign w:val="bottom"/>
          </w:tcPr>
          <w:p w14:paraId="43967E99" w14:textId="7F622A29"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r>
      <w:tr w:rsidR="00181219" w:rsidRPr="005C296B" w14:paraId="17587A71"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75A150B9" w14:textId="3FFAD9F2"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17</w:t>
            </w:r>
          </w:p>
        </w:tc>
        <w:tc>
          <w:tcPr>
            <w:tcW w:w="7394" w:type="dxa"/>
            <w:tcBorders>
              <w:top w:val="single" w:sz="4" w:space="0" w:color="auto"/>
              <w:left w:val="single" w:sz="4" w:space="0" w:color="auto"/>
              <w:bottom w:val="single" w:sz="4" w:space="0" w:color="auto"/>
              <w:right w:val="single" w:sz="4" w:space="0" w:color="auto"/>
            </w:tcBorders>
          </w:tcPr>
          <w:p w14:paraId="48A2B0FC"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 xml:space="preserve">Re-baseline Migration D&amp;I Project Schedule and Budget </w:t>
            </w:r>
          </w:p>
        </w:tc>
        <w:tc>
          <w:tcPr>
            <w:tcW w:w="1090" w:type="dxa"/>
            <w:tcBorders>
              <w:top w:val="single" w:sz="4" w:space="0" w:color="auto"/>
              <w:left w:val="single" w:sz="4" w:space="0" w:color="auto"/>
              <w:bottom w:val="single" w:sz="4" w:space="0" w:color="auto"/>
              <w:right w:val="single" w:sz="4" w:space="0" w:color="auto"/>
            </w:tcBorders>
            <w:vAlign w:val="bottom"/>
          </w:tcPr>
          <w:p w14:paraId="246C7D0E" w14:textId="2AFE2AD6"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c>
          <w:tcPr>
            <w:tcW w:w="1121" w:type="dxa"/>
            <w:tcBorders>
              <w:top w:val="single" w:sz="4" w:space="0" w:color="auto"/>
              <w:left w:val="single" w:sz="4" w:space="0" w:color="auto"/>
              <w:bottom w:val="single" w:sz="4" w:space="0" w:color="auto"/>
              <w:right w:val="single" w:sz="4" w:space="0" w:color="auto"/>
            </w:tcBorders>
            <w:vAlign w:val="bottom"/>
          </w:tcPr>
          <w:p w14:paraId="71063CD4" w14:textId="539BE11B"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r>
      <w:tr w:rsidR="00181219" w:rsidRPr="005C296B" w14:paraId="7E40E9A8"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385E0A68" w14:textId="1CFF9633"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18</w:t>
            </w:r>
          </w:p>
        </w:tc>
        <w:tc>
          <w:tcPr>
            <w:tcW w:w="7394" w:type="dxa"/>
            <w:tcBorders>
              <w:top w:val="single" w:sz="4" w:space="0" w:color="auto"/>
              <w:left w:val="single" w:sz="4" w:space="0" w:color="auto"/>
              <w:bottom w:val="single" w:sz="4" w:space="0" w:color="auto"/>
              <w:right w:val="single" w:sz="4" w:space="0" w:color="auto"/>
            </w:tcBorders>
          </w:tcPr>
          <w:p w14:paraId="0AC20AF5"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Prepare Revised IAPDU</w:t>
            </w:r>
          </w:p>
        </w:tc>
        <w:tc>
          <w:tcPr>
            <w:tcW w:w="1090" w:type="dxa"/>
            <w:tcBorders>
              <w:top w:val="single" w:sz="4" w:space="0" w:color="auto"/>
              <w:left w:val="single" w:sz="4" w:space="0" w:color="auto"/>
              <w:bottom w:val="single" w:sz="4" w:space="0" w:color="auto"/>
              <w:right w:val="single" w:sz="4" w:space="0" w:color="auto"/>
            </w:tcBorders>
            <w:vAlign w:val="bottom"/>
          </w:tcPr>
          <w:p w14:paraId="512AFDF1" w14:textId="515A29CF"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Apr-18</w:t>
            </w:r>
          </w:p>
        </w:tc>
        <w:tc>
          <w:tcPr>
            <w:tcW w:w="1121" w:type="dxa"/>
            <w:tcBorders>
              <w:top w:val="single" w:sz="4" w:space="0" w:color="auto"/>
              <w:left w:val="single" w:sz="4" w:space="0" w:color="auto"/>
              <w:bottom w:val="single" w:sz="4" w:space="0" w:color="auto"/>
              <w:right w:val="single" w:sz="4" w:space="0" w:color="auto"/>
            </w:tcBorders>
            <w:vAlign w:val="bottom"/>
          </w:tcPr>
          <w:p w14:paraId="795CF571" w14:textId="6C68558E"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Apr-18</w:t>
            </w:r>
          </w:p>
        </w:tc>
      </w:tr>
      <w:tr w:rsidR="00181219" w:rsidRPr="005C296B" w14:paraId="63DE44FC"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1B50CABE" w14:textId="59195CF2"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19</w:t>
            </w:r>
          </w:p>
        </w:tc>
        <w:tc>
          <w:tcPr>
            <w:tcW w:w="7394" w:type="dxa"/>
            <w:tcBorders>
              <w:top w:val="single" w:sz="4" w:space="0" w:color="auto"/>
              <w:left w:val="single" w:sz="4" w:space="0" w:color="auto"/>
              <w:bottom w:val="single" w:sz="4" w:space="0" w:color="auto"/>
              <w:right w:val="single" w:sz="4" w:space="0" w:color="auto"/>
            </w:tcBorders>
          </w:tcPr>
          <w:p w14:paraId="057EA67B" w14:textId="009969FB"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 xml:space="preserve">Secure State </w:t>
            </w:r>
            <w:r>
              <w:rPr>
                <w:rFonts w:eastAsia="Calibri" w:cs="Arial"/>
                <w:szCs w:val="22"/>
              </w:rPr>
              <w:t xml:space="preserve">and Federal </w:t>
            </w:r>
            <w:r w:rsidRPr="005C296B">
              <w:rPr>
                <w:rFonts w:eastAsia="Calibri" w:cs="Arial"/>
                <w:szCs w:val="22"/>
              </w:rPr>
              <w:t>Sponsor Approval for IAPDU</w:t>
            </w:r>
          </w:p>
        </w:tc>
        <w:tc>
          <w:tcPr>
            <w:tcW w:w="1090" w:type="dxa"/>
            <w:tcBorders>
              <w:top w:val="single" w:sz="4" w:space="0" w:color="auto"/>
              <w:left w:val="single" w:sz="4" w:space="0" w:color="auto"/>
              <w:bottom w:val="single" w:sz="4" w:space="0" w:color="auto"/>
              <w:right w:val="single" w:sz="4" w:space="0" w:color="auto"/>
            </w:tcBorders>
            <w:vAlign w:val="bottom"/>
          </w:tcPr>
          <w:p w14:paraId="66C56CC9" w14:textId="56233DE2"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Apr-18</w:t>
            </w:r>
          </w:p>
        </w:tc>
        <w:tc>
          <w:tcPr>
            <w:tcW w:w="1121" w:type="dxa"/>
            <w:tcBorders>
              <w:top w:val="single" w:sz="4" w:space="0" w:color="auto"/>
              <w:left w:val="single" w:sz="4" w:space="0" w:color="auto"/>
              <w:bottom w:val="single" w:sz="4" w:space="0" w:color="auto"/>
              <w:right w:val="single" w:sz="4" w:space="0" w:color="auto"/>
            </w:tcBorders>
            <w:vAlign w:val="bottom"/>
          </w:tcPr>
          <w:p w14:paraId="3EEB4C63" w14:textId="23438BB1"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May-18</w:t>
            </w:r>
          </w:p>
        </w:tc>
      </w:tr>
      <w:tr w:rsidR="00181219" w:rsidRPr="005C296B" w14:paraId="30752024"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53C58162" w14:textId="18FEF8F6"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lastRenderedPageBreak/>
              <w:t>20</w:t>
            </w:r>
          </w:p>
        </w:tc>
        <w:tc>
          <w:tcPr>
            <w:tcW w:w="7394" w:type="dxa"/>
            <w:tcBorders>
              <w:top w:val="single" w:sz="4" w:space="0" w:color="auto"/>
              <w:left w:val="single" w:sz="4" w:space="0" w:color="auto"/>
              <w:bottom w:val="single" w:sz="4" w:space="0" w:color="auto"/>
              <w:right w:val="single" w:sz="4" w:space="0" w:color="auto"/>
            </w:tcBorders>
          </w:tcPr>
          <w:p w14:paraId="5B015F2C" w14:textId="2A8DCF73"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 xml:space="preserve">Prepare Vendor Contract Amendment(s) </w:t>
            </w:r>
          </w:p>
        </w:tc>
        <w:tc>
          <w:tcPr>
            <w:tcW w:w="1090" w:type="dxa"/>
            <w:tcBorders>
              <w:top w:val="single" w:sz="4" w:space="0" w:color="auto"/>
              <w:left w:val="single" w:sz="4" w:space="0" w:color="auto"/>
              <w:bottom w:val="single" w:sz="4" w:space="0" w:color="auto"/>
              <w:right w:val="single" w:sz="4" w:space="0" w:color="auto"/>
            </w:tcBorders>
            <w:vAlign w:val="bottom"/>
          </w:tcPr>
          <w:p w14:paraId="5EACFB44" w14:textId="4B9F2D40"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c>
          <w:tcPr>
            <w:tcW w:w="1121" w:type="dxa"/>
            <w:tcBorders>
              <w:top w:val="single" w:sz="4" w:space="0" w:color="auto"/>
              <w:left w:val="single" w:sz="4" w:space="0" w:color="auto"/>
              <w:bottom w:val="single" w:sz="4" w:space="0" w:color="auto"/>
              <w:right w:val="single" w:sz="4" w:space="0" w:color="auto"/>
            </w:tcBorders>
            <w:vAlign w:val="bottom"/>
          </w:tcPr>
          <w:p w14:paraId="2D304934" w14:textId="41BC90CE"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Mar-18</w:t>
            </w:r>
          </w:p>
        </w:tc>
      </w:tr>
      <w:tr w:rsidR="00181219" w:rsidRPr="005C296B" w14:paraId="69717719"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185ECD29" w14:textId="3BD483C8"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21</w:t>
            </w:r>
          </w:p>
        </w:tc>
        <w:tc>
          <w:tcPr>
            <w:tcW w:w="7394" w:type="dxa"/>
            <w:tcBorders>
              <w:top w:val="single" w:sz="4" w:space="0" w:color="auto"/>
              <w:left w:val="single" w:sz="4" w:space="0" w:color="auto"/>
              <w:bottom w:val="single" w:sz="4" w:space="0" w:color="auto"/>
              <w:right w:val="single" w:sz="4" w:space="0" w:color="auto"/>
            </w:tcBorders>
          </w:tcPr>
          <w:p w14:paraId="07F16DB2" w14:textId="2A88AC23"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 xml:space="preserve">Negotiate Vendor Contract Amendment(s) </w:t>
            </w:r>
          </w:p>
        </w:tc>
        <w:tc>
          <w:tcPr>
            <w:tcW w:w="1090" w:type="dxa"/>
            <w:tcBorders>
              <w:top w:val="single" w:sz="4" w:space="0" w:color="auto"/>
              <w:left w:val="single" w:sz="4" w:space="0" w:color="auto"/>
              <w:bottom w:val="single" w:sz="4" w:space="0" w:color="auto"/>
              <w:right w:val="single" w:sz="4" w:space="0" w:color="auto"/>
            </w:tcBorders>
            <w:vAlign w:val="bottom"/>
          </w:tcPr>
          <w:p w14:paraId="540A0A4C" w14:textId="4AAEC3E3"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Apr-18</w:t>
            </w:r>
          </w:p>
        </w:tc>
        <w:tc>
          <w:tcPr>
            <w:tcW w:w="1121" w:type="dxa"/>
            <w:tcBorders>
              <w:top w:val="single" w:sz="4" w:space="0" w:color="auto"/>
              <w:left w:val="single" w:sz="4" w:space="0" w:color="auto"/>
              <w:bottom w:val="single" w:sz="4" w:space="0" w:color="auto"/>
              <w:right w:val="single" w:sz="4" w:space="0" w:color="auto"/>
            </w:tcBorders>
            <w:vAlign w:val="bottom"/>
          </w:tcPr>
          <w:p w14:paraId="2039EE23" w14:textId="5FD45506"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May-18</w:t>
            </w:r>
          </w:p>
        </w:tc>
      </w:tr>
      <w:tr w:rsidR="00181219" w:rsidRPr="005C296B" w14:paraId="4DA968C0"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40F2F7BD" w14:textId="6E721591"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22</w:t>
            </w:r>
          </w:p>
        </w:tc>
        <w:tc>
          <w:tcPr>
            <w:tcW w:w="7394" w:type="dxa"/>
            <w:tcBorders>
              <w:top w:val="single" w:sz="4" w:space="0" w:color="auto"/>
              <w:left w:val="single" w:sz="4" w:space="0" w:color="auto"/>
              <w:bottom w:val="single" w:sz="4" w:space="0" w:color="auto"/>
              <w:right w:val="single" w:sz="4" w:space="0" w:color="auto"/>
            </w:tcBorders>
          </w:tcPr>
          <w:p w14:paraId="4416D897" w14:textId="321B6321"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 xml:space="preserve">JPA, State and Federal Approval of Contract Amendment(s) </w:t>
            </w:r>
          </w:p>
        </w:tc>
        <w:tc>
          <w:tcPr>
            <w:tcW w:w="1090" w:type="dxa"/>
            <w:tcBorders>
              <w:top w:val="single" w:sz="4" w:space="0" w:color="auto"/>
              <w:left w:val="single" w:sz="4" w:space="0" w:color="auto"/>
              <w:bottom w:val="single" w:sz="4" w:space="0" w:color="auto"/>
              <w:right w:val="single" w:sz="4" w:space="0" w:color="auto"/>
            </w:tcBorders>
            <w:vAlign w:val="bottom"/>
          </w:tcPr>
          <w:p w14:paraId="3B7FE4E9" w14:textId="61EDD89D"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Jun-18</w:t>
            </w:r>
          </w:p>
        </w:tc>
        <w:tc>
          <w:tcPr>
            <w:tcW w:w="1121" w:type="dxa"/>
            <w:tcBorders>
              <w:top w:val="single" w:sz="4" w:space="0" w:color="auto"/>
              <w:left w:val="single" w:sz="4" w:space="0" w:color="auto"/>
              <w:bottom w:val="single" w:sz="4" w:space="0" w:color="auto"/>
              <w:right w:val="single" w:sz="4" w:space="0" w:color="auto"/>
            </w:tcBorders>
            <w:vAlign w:val="bottom"/>
          </w:tcPr>
          <w:p w14:paraId="347D8022" w14:textId="295E454B"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Jun-18</w:t>
            </w:r>
          </w:p>
        </w:tc>
      </w:tr>
      <w:tr w:rsidR="00181219" w:rsidRPr="005C296B" w14:paraId="0D56240D"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rPr>
          <w:trHeight w:val="165"/>
        </w:trPr>
        <w:tc>
          <w:tcPr>
            <w:tcW w:w="364" w:type="dxa"/>
            <w:tcBorders>
              <w:top w:val="single" w:sz="4" w:space="0" w:color="auto"/>
              <w:left w:val="single" w:sz="4" w:space="0" w:color="auto"/>
              <w:bottom w:val="single" w:sz="4" w:space="0" w:color="auto"/>
              <w:right w:val="single" w:sz="4" w:space="0" w:color="auto"/>
            </w:tcBorders>
          </w:tcPr>
          <w:p w14:paraId="772463C4" w14:textId="39E05F78" w:rsidR="00181219" w:rsidRPr="005C296B" w:rsidRDefault="00181219" w:rsidP="00181219">
            <w:pPr>
              <w:widowControl w:val="0"/>
              <w:spacing w:before="100" w:beforeAutospacing="1" w:after="100" w:afterAutospacing="1"/>
              <w:jc w:val="both"/>
              <w:rPr>
                <w:rFonts w:eastAsia="Calibri" w:cs="Arial"/>
                <w:szCs w:val="22"/>
              </w:rPr>
            </w:pPr>
            <w:r>
              <w:rPr>
                <w:rFonts w:eastAsia="Calibri" w:cs="Arial"/>
                <w:szCs w:val="22"/>
              </w:rPr>
              <w:t>23</w:t>
            </w:r>
          </w:p>
        </w:tc>
        <w:tc>
          <w:tcPr>
            <w:tcW w:w="7394" w:type="dxa"/>
            <w:tcBorders>
              <w:top w:val="single" w:sz="4" w:space="0" w:color="auto"/>
              <w:left w:val="single" w:sz="4" w:space="0" w:color="auto"/>
              <w:bottom w:val="single" w:sz="4" w:space="0" w:color="auto"/>
              <w:right w:val="single" w:sz="4" w:space="0" w:color="auto"/>
            </w:tcBorders>
          </w:tcPr>
          <w:p w14:paraId="4A14441F" w14:textId="77777777" w:rsidR="00181219" w:rsidRPr="005C296B" w:rsidRDefault="00181219" w:rsidP="00181219">
            <w:pPr>
              <w:widowControl w:val="0"/>
              <w:spacing w:before="100" w:beforeAutospacing="1" w:after="100" w:afterAutospacing="1"/>
              <w:rPr>
                <w:rFonts w:eastAsia="Calibri" w:cs="Arial"/>
                <w:szCs w:val="22"/>
              </w:rPr>
            </w:pPr>
            <w:r w:rsidRPr="005C296B">
              <w:rPr>
                <w:rFonts w:eastAsia="Calibri" w:cs="Arial"/>
                <w:szCs w:val="22"/>
              </w:rPr>
              <w:t>Begin Migration D&amp;I</w:t>
            </w:r>
          </w:p>
        </w:tc>
        <w:tc>
          <w:tcPr>
            <w:tcW w:w="1090" w:type="dxa"/>
            <w:tcBorders>
              <w:top w:val="single" w:sz="4" w:space="0" w:color="auto"/>
              <w:left w:val="single" w:sz="4" w:space="0" w:color="auto"/>
              <w:bottom w:val="single" w:sz="4" w:space="0" w:color="auto"/>
              <w:right w:val="single" w:sz="4" w:space="0" w:color="auto"/>
            </w:tcBorders>
            <w:vAlign w:val="bottom"/>
          </w:tcPr>
          <w:p w14:paraId="06864516" w14:textId="0AFD90A7"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Jul-18</w:t>
            </w:r>
          </w:p>
        </w:tc>
        <w:tc>
          <w:tcPr>
            <w:tcW w:w="1121" w:type="dxa"/>
            <w:tcBorders>
              <w:top w:val="single" w:sz="4" w:space="0" w:color="auto"/>
              <w:left w:val="single" w:sz="4" w:space="0" w:color="auto"/>
              <w:bottom w:val="single" w:sz="4" w:space="0" w:color="auto"/>
              <w:right w:val="single" w:sz="4" w:space="0" w:color="auto"/>
            </w:tcBorders>
            <w:vAlign w:val="bottom"/>
          </w:tcPr>
          <w:p w14:paraId="68151F14" w14:textId="22C1A697" w:rsidR="00181219" w:rsidRPr="005C296B" w:rsidRDefault="00181219" w:rsidP="00181219">
            <w:pPr>
              <w:widowControl w:val="0"/>
              <w:spacing w:before="100" w:beforeAutospacing="1" w:after="100" w:afterAutospacing="1"/>
              <w:jc w:val="center"/>
              <w:rPr>
                <w:rFonts w:eastAsia="Calibri" w:cs="Arial"/>
                <w:szCs w:val="22"/>
              </w:rPr>
            </w:pPr>
            <w:r w:rsidRPr="005C296B">
              <w:rPr>
                <w:rFonts w:eastAsia="Calibri" w:cs="Arial"/>
                <w:szCs w:val="22"/>
              </w:rPr>
              <w:t>Jul-18</w:t>
            </w:r>
          </w:p>
        </w:tc>
      </w:tr>
      <w:tr w:rsidR="001234EE" w:rsidRPr="005C296B" w14:paraId="62698215" w14:textId="77777777" w:rsidTr="004A4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Ex>
        <w:tc>
          <w:tcPr>
            <w:tcW w:w="364" w:type="dxa"/>
            <w:tcBorders>
              <w:top w:val="single" w:sz="4" w:space="0" w:color="auto"/>
              <w:left w:val="single" w:sz="4" w:space="0" w:color="auto"/>
              <w:bottom w:val="single" w:sz="4" w:space="0" w:color="auto"/>
              <w:right w:val="single" w:sz="4" w:space="0" w:color="auto"/>
            </w:tcBorders>
          </w:tcPr>
          <w:p w14:paraId="3CB1BBC6" w14:textId="67058474" w:rsidR="001234EE" w:rsidRPr="005C296B" w:rsidRDefault="001165FB" w:rsidP="00181219">
            <w:pPr>
              <w:widowControl w:val="0"/>
              <w:spacing w:before="100" w:beforeAutospacing="1" w:after="100" w:afterAutospacing="1"/>
              <w:jc w:val="both"/>
              <w:rPr>
                <w:rFonts w:eastAsia="Calibri" w:cs="Arial"/>
                <w:szCs w:val="22"/>
              </w:rPr>
            </w:pPr>
            <w:r>
              <w:rPr>
                <w:rFonts w:eastAsia="Calibri" w:cs="Arial"/>
                <w:szCs w:val="22"/>
              </w:rPr>
              <w:t>2</w:t>
            </w:r>
            <w:r w:rsidR="00181219">
              <w:rPr>
                <w:rFonts w:eastAsia="Calibri" w:cs="Arial"/>
                <w:szCs w:val="22"/>
              </w:rPr>
              <w:t>4</w:t>
            </w:r>
          </w:p>
        </w:tc>
        <w:tc>
          <w:tcPr>
            <w:tcW w:w="7394" w:type="dxa"/>
            <w:tcBorders>
              <w:top w:val="single" w:sz="4" w:space="0" w:color="auto"/>
              <w:left w:val="single" w:sz="4" w:space="0" w:color="auto"/>
              <w:bottom w:val="single" w:sz="4" w:space="0" w:color="auto"/>
              <w:right w:val="single" w:sz="4" w:space="0" w:color="auto"/>
            </w:tcBorders>
          </w:tcPr>
          <w:p w14:paraId="097D657D" w14:textId="77777777" w:rsidR="001234EE" w:rsidRPr="005C296B" w:rsidRDefault="001234EE" w:rsidP="005C296B">
            <w:pPr>
              <w:widowControl w:val="0"/>
              <w:spacing w:before="100" w:beforeAutospacing="1" w:after="100" w:afterAutospacing="1"/>
              <w:rPr>
                <w:rFonts w:eastAsia="Calibri" w:cs="Arial"/>
                <w:szCs w:val="22"/>
              </w:rPr>
            </w:pPr>
            <w:r w:rsidRPr="005C296B">
              <w:rPr>
                <w:rFonts w:eastAsia="Calibri" w:cs="Arial"/>
                <w:szCs w:val="22"/>
              </w:rPr>
              <w:t>Schedule Contingency</w:t>
            </w:r>
          </w:p>
        </w:tc>
        <w:tc>
          <w:tcPr>
            <w:tcW w:w="1090" w:type="dxa"/>
            <w:tcBorders>
              <w:top w:val="single" w:sz="4" w:space="0" w:color="auto"/>
              <w:left w:val="single" w:sz="4" w:space="0" w:color="auto"/>
              <w:bottom w:val="single" w:sz="4" w:space="0" w:color="auto"/>
              <w:right w:val="single" w:sz="4" w:space="0" w:color="auto"/>
            </w:tcBorders>
            <w:vAlign w:val="bottom"/>
          </w:tcPr>
          <w:p w14:paraId="2AAB159F" w14:textId="71CBEEEA" w:rsidR="001234EE" w:rsidRPr="005C296B" w:rsidRDefault="005C296B" w:rsidP="005C296B">
            <w:pPr>
              <w:widowControl w:val="0"/>
              <w:spacing w:before="100" w:beforeAutospacing="1" w:after="100" w:afterAutospacing="1"/>
              <w:jc w:val="center"/>
              <w:rPr>
                <w:rFonts w:eastAsia="Calibri" w:cs="Arial"/>
                <w:szCs w:val="22"/>
              </w:rPr>
            </w:pPr>
            <w:r w:rsidRPr="005C296B">
              <w:rPr>
                <w:rFonts w:eastAsia="Calibri" w:cs="Arial"/>
                <w:szCs w:val="22"/>
              </w:rPr>
              <w:t>Jul-</w:t>
            </w:r>
            <w:r w:rsidR="001234EE" w:rsidRPr="005C296B">
              <w:rPr>
                <w:rFonts w:eastAsia="Calibri" w:cs="Arial"/>
                <w:szCs w:val="22"/>
              </w:rPr>
              <w:t>18</w:t>
            </w:r>
          </w:p>
        </w:tc>
        <w:tc>
          <w:tcPr>
            <w:tcW w:w="1121" w:type="dxa"/>
            <w:tcBorders>
              <w:top w:val="single" w:sz="4" w:space="0" w:color="auto"/>
              <w:left w:val="single" w:sz="4" w:space="0" w:color="auto"/>
              <w:bottom w:val="single" w:sz="4" w:space="0" w:color="auto"/>
              <w:right w:val="single" w:sz="4" w:space="0" w:color="auto"/>
            </w:tcBorders>
            <w:vAlign w:val="bottom"/>
          </w:tcPr>
          <w:p w14:paraId="00694ADC" w14:textId="5370746D" w:rsidR="001234EE" w:rsidRPr="005C296B" w:rsidRDefault="005C296B" w:rsidP="005C296B">
            <w:pPr>
              <w:widowControl w:val="0"/>
              <w:spacing w:before="100" w:beforeAutospacing="1" w:after="100" w:afterAutospacing="1"/>
              <w:jc w:val="center"/>
              <w:rPr>
                <w:rFonts w:eastAsia="Calibri" w:cs="Arial"/>
                <w:szCs w:val="22"/>
              </w:rPr>
            </w:pPr>
            <w:r w:rsidRPr="005C296B">
              <w:rPr>
                <w:rFonts w:eastAsia="Calibri" w:cs="Arial"/>
                <w:szCs w:val="22"/>
              </w:rPr>
              <w:t>Sep-</w:t>
            </w:r>
            <w:r w:rsidR="001234EE" w:rsidRPr="005C296B">
              <w:rPr>
                <w:rFonts w:eastAsia="Calibri" w:cs="Arial"/>
                <w:szCs w:val="22"/>
              </w:rPr>
              <w:t>18</w:t>
            </w:r>
          </w:p>
        </w:tc>
      </w:tr>
    </w:tbl>
    <w:p w14:paraId="01BFE9DD" w14:textId="7F57CC83" w:rsidR="002B0784" w:rsidRDefault="002B0784" w:rsidP="004A4DF5">
      <w:pPr>
        <w:pStyle w:val="BodyTextIndent2"/>
        <w:ind w:left="0"/>
        <w:rPr>
          <w:bCs/>
        </w:rPr>
      </w:pPr>
    </w:p>
    <w:p w14:paraId="3B9E8052" w14:textId="77777777" w:rsidR="00CB7B01" w:rsidRDefault="004A09A8" w:rsidP="00F30209">
      <w:pPr>
        <w:pStyle w:val="BodyTextIndent2"/>
        <w:rPr>
          <w:bCs/>
        </w:rPr>
      </w:pPr>
      <w:r w:rsidRPr="00F06948">
        <w:rPr>
          <w:bCs/>
        </w:rPr>
        <w:t xml:space="preserve">The Services associated with this Change Order </w:t>
      </w:r>
      <w:r w:rsidR="00CB7B01">
        <w:rPr>
          <w:bCs/>
        </w:rPr>
        <w:t xml:space="preserve">shall </w:t>
      </w:r>
      <w:r w:rsidR="00CB7B01" w:rsidRPr="007C6B72">
        <w:rPr>
          <w:bCs/>
        </w:rPr>
        <w:t>commence</w:t>
      </w:r>
      <w:r w:rsidR="00CB7B01">
        <w:rPr>
          <w:bCs/>
        </w:rPr>
        <w:t xml:space="preserve"> </w:t>
      </w:r>
      <w:r w:rsidR="00FA3DB2">
        <w:rPr>
          <w:bCs/>
        </w:rPr>
        <w:t>in S</w:t>
      </w:r>
      <w:r w:rsidR="00335F69">
        <w:rPr>
          <w:bCs/>
        </w:rPr>
        <w:t>F</w:t>
      </w:r>
      <w:r w:rsidR="00FA3DB2">
        <w:rPr>
          <w:bCs/>
        </w:rPr>
        <w:t>Y 1</w:t>
      </w:r>
      <w:r w:rsidR="00DA1445">
        <w:rPr>
          <w:bCs/>
        </w:rPr>
        <w:t>5</w:t>
      </w:r>
      <w:r w:rsidR="00FA3DB2">
        <w:rPr>
          <w:bCs/>
        </w:rPr>
        <w:t>/1</w:t>
      </w:r>
      <w:r w:rsidR="00DA1445">
        <w:rPr>
          <w:bCs/>
        </w:rPr>
        <w:t>6</w:t>
      </w:r>
      <w:r w:rsidR="00FA3DB2">
        <w:rPr>
          <w:bCs/>
        </w:rPr>
        <w:t xml:space="preserve"> </w:t>
      </w:r>
      <w:r w:rsidR="00B446FA">
        <w:rPr>
          <w:bCs/>
        </w:rPr>
        <w:t xml:space="preserve">and </w:t>
      </w:r>
      <w:r w:rsidR="00D87012">
        <w:rPr>
          <w:bCs/>
        </w:rPr>
        <w:t>will continue for the duration of the Agreement</w:t>
      </w:r>
      <w:r w:rsidR="00CB7B01" w:rsidRPr="00576B56">
        <w:rPr>
          <w:bCs/>
        </w:rPr>
        <w:t>.</w:t>
      </w:r>
    </w:p>
    <w:p w14:paraId="4AAD9D7C" w14:textId="77777777" w:rsidR="00F16A74" w:rsidRDefault="00F16A74" w:rsidP="00F30209">
      <w:pPr>
        <w:pStyle w:val="BodyTextIndent2"/>
        <w:rPr>
          <w:bCs/>
        </w:rPr>
      </w:pPr>
    </w:p>
    <w:p w14:paraId="017F73C5" w14:textId="77777777" w:rsidR="004A09A8" w:rsidRPr="00D32792" w:rsidRDefault="004A09A8" w:rsidP="00B234EA">
      <w:pPr>
        <w:pStyle w:val="Heading1"/>
      </w:pPr>
      <w:r w:rsidRPr="00D32792">
        <w:t xml:space="preserve">Total Change Order Cost: </w:t>
      </w:r>
    </w:p>
    <w:p w14:paraId="1188F841" w14:textId="77777777" w:rsidR="004A09A8" w:rsidRPr="00A567AB" w:rsidRDefault="004A09A8" w:rsidP="00A567AB">
      <w:pPr>
        <w:pStyle w:val="BodyTextIndent2"/>
        <w:keepNext/>
        <w:rPr>
          <w:bCs/>
          <w:sz w:val="14"/>
        </w:rPr>
      </w:pPr>
    </w:p>
    <w:p w14:paraId="4EA8851E" w14:textId="389BFC6C" w:rsidR="0000795C" w:rsidRDefault="0000795C" w:rsidP="007538E7">
      <w:pPr>
        <w:spacing w:after="120"/>
        <w:ind w:left="720"/>
      </w:pPr>
      <w:r>
        <w:rPr>
          <w:bCs/>
        </w:rPr>
        <w:t>The costs associated with this Change Order are summarized in the table</w:t>
      </w:r>
      <w:r w:rsidR="00FA42AB">
        <w:rPr>
          <w:bCs/>
        </w:rPr>
        <w:t>s</w:t>
      </w:r>
      <w:r>
        <w:rPr>
          <w:bCs/>
        </w:rPr>
        <w:t xml:space="preserve"> below by </w:t>
      </w:r>
      <w:r>
        <w:rPr>
          <w:szCs w:val="22"/>
        </w:rPr>
        <w:t>State Fiscal Year (</w:t>
      </w:r>
      <w:r w:rsidR="002D1DE8">
        <w:rPr>
          <w:szCs w:val="22"/>
        </w:rPr>
        <w:t>“</w:t>
      </w:r>
      <w:r>
        <w:rPr>
          <w:szCs w:val="22"/>
        </w:rPr>
        <w:t>SFY</w:t>
      </w:r>
      <w:r w:rsidR="002D1DE8">
        <w:rPr>
          <w:szCs w:val="22"/>
        </w:rPr>
        <w:t>”</w:t>
      </w:r>
      <w:r>
        <w:rPr>
          <w:szCs w:val="22"/>
        </w:rPr>
        <w:t xml:space="preserve">).  </w:t>
      </w:r>
      <w:r>
        <w:t>The costs will be billed in accordance with Section 6.6 of the Agreement and as reflected in Exhibit A.</w:t>
      </w:r>
    </w:p>
    <w:p w14:paraId="532F8D5B" w14:textId="5DD179D4" w:rsidR="00FA42AB" w:rsidRDefault="00FA42AB" w:rsidP="0058420F">
      <w:pPr>
        <w:spacing w:after="120"/>
        <w:ind w:left="720"/>
      </w:pPr>
      <w:r>
        <w:t xml:space="preserve">The table below reflects the costs associated with hours performed thru </w:t>
      </w:r>
      <w:r w:rsidR="0058420F">
        <w:t xml:space="preserve">December 31, </w:t>
      </w:r>
      <w:r>
        <w:t>2017</w:t>
      </w:r>
      <w:r w:rsidR="0058420F">
        <w:t xml:space="preserve"> for one Business Analyst, one Technical Analyst one Fiscal Analyst and one Subject Matter Expert (SME).   </w:t>
      </w:r>
    </w:p>
    <w:p w14:paraId="483B9D25" w14:textId="708493ED" w:rsidR="004A4DF5" w:rsidRDefault="004A4DF5" w:rsidP="0058420F">
      <w:pPr>
        <w:spacing w:after="120"/>
        <w:ind w:left="720"/>
      </w:pPr>
      <w:r>
        <w:rPr>
          <w:noProof/>
        </w:rPr>
        <w:drawing>
          <wp:inline distT="0" distB="0" distL="0" distR="0" wp14:anchorId="292BDA5E" wp14:editId="5A49925F">
            <wp:extent cx="6400800" cy="1055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00800" cy="1055370"/>
                    </a:xfrm>
                    <a:prstGeom prst="rect">
                      <a:avLst/>
                    </a:prstGeom>
                  </pic:spPr>
                </pic:pic>
              </a:graphicData>
            </a:graphic>
          </wp:inline>
        </w:drawing>
      </w:r>
    </w:p>
    <w:p w14:paraId="4A2412C1" w14:textId="3578935A" w:rsidR="00FA42AB" w:rsidRDefault="00FA42AB" w:rsidP="007538E7">
      <w:pPr>
        <w:spacing w:after="120"/>
        <w:ind w:left="720"/>
      </w:pPr>
    </w:p>
    <w:p w14:paraId="22DB8E19" w14:textId="77777777" w:rsidR="003D7D48" w:rsidRDefault="003D7D48" w:rsidP="00F47FD6">
      <w:pPr>
        <w:spacing w:after="120"/>
        <w:ind w:left="720"/>
      </w:pPr>
      <w:r>
        <w:t>All costs for other staff during this period are reflected in Change Order CO-020 Rev 2, C-IV Modernization; and Change Order CO-015 Rev 4, LRS Joint Development.</w:t>
      </w:r>
    </w:p>
    <w:p w14:paraId="655CAF5B" w14:textId="23C6F617" w:rsidR="00FA42AB" w:rsidRDefault="00FA42AB" w:rsidP="00F47FD6">
      <w:pPr>
        <w:spacing w:after="120"/>
        <w:ind w:left="720"/>
      </w:pPr>
      <w:r>
        <w:t xml:space="preserve">The table below reflects that costs associated with hours performed </w:t>
      </w:r>
      <w:r w:rsidR="0058420F">
        <w:t>beginning January 1, 2018</w:t>
      </w:r>
      <w:r w:rsidR="0059175C">
        <w:t xml:space="preserve">, </w:t>
      </w:r>
      <w:r w:rsidR="0059175C" w:rsidRPr="0058420F">
        <w:t>including</w:t>
      </w:r>
      <w:r w:rsidR="0058420F">
        <w:t xml:space="preserve"> costs for the </w:t>
      </w:r>
      <w:r w:rsidR="0058420F" w:rsidRPr="0058420F">
        <w:t>three-month schedule contingency period</w:t>
      </w:r>
      <w:r w:rsidR="0058420F">
        <w:t xml:space="preserve">.  </w:t>
      </w:r>
    </w:p>
    <w:p w14:paraId="6EB6B856" w14:textId="6E110E68" w:rsidR="00FA42AB" w:rsidRDefault="00B67A70" w:rsidP="00F47FD6">
      <w:pPr>
        <w:spacing w:after="120"/>
        <w:ind w:left="720"/>
      </w:pPr>
      <w:r w:rsidRPr="00B67A70">
        <w:rPr>
          <w:noProof/>
        </w:rPr>
        <w:drawing>
          <wp:inline distT="0" distB="0" distL="0" distR="0" wp14:anchorId="53F9F768" wp14:editId="4D3B0BB5">
            <wp:extent cx="6400800" cy="1459839"/>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1459839"/>
                    </a:xfrm>
                    <a:prstGeom prst="rect">
                      <a:avLst/>
                    </a:prstGeom>
                    <a:noFill/>
                    <a:ln>
                      <a:noFill/>
                    </a:ln>
                  </pic:spPr>
                </pic:pic>
              </a:graphicData>
            </a:graphic>
          </wp:inline>
        </w:drawing>
      </w:r>
    </w:p>
    <w:p w14:paraId="5B4769A8" w14:textId="3554CE75" w:rsidR="0058420F" w:rsidRDefault="0058420F" w:rsidP="00F47FD6">
      <w:pPr>
        <w:spacing w:after="120"/>
        <w:ind w:left="720"/>
      </w:pPr>
      <w:r>
        <w:t xml:space="preserve">The </w:t>
      </w:r>
      <w:r w:rsidR="00B67A70">
        <w:t>t</w:t>
      </w:r>
      <w:r>
        <w:t xml:space="preserve">able below reflects the </w:t>
      </w:r>
      <w:r w:rsidR="0059175C">
        <w:t xml:space="preserve">total change order costs; the </w:t>
      </w:r>
      <w:r>
        <w:t>combined total</w:t>
      </w:r>
      <w:r w:rsidR="00B67A70">
        <w:t xml:space="preserve"> for </w:t>
      </w:r>
      <w:r w:rsidR="0059175C">
        <w:t xml:space="preserve">“Total Costs </w:t>
      </w:r>
      <w:r w:rsidR="00B67A70">
        <w:t>thru 12/31/17</w:t>
      </w:r>
      <w:r w:rsidR="0059175C">
        <w:t xml:space="preserve">” </w:t>
      </w:r>
      <w:r w:rsidR="00B67A70">
        <w:t xml:space="preserve">and the </w:t>
      </w:r>
      <w:r w:rsidR="0059175C">
        <w:t>“Total C</w:t>
      </w:r>
      <w:r w:rsidR="00B67A70">
        <w:t>ost 1/1/18 thru 9/30/18</w:t>
      </w:r>
      <w:r w:rsidR="0059175C">
        <w:t>”</w:t>
      </w:r>
      <w:r w:rsidR="00B67A70">
        <w:t>.</w:t>
      </w:r>
    </w:p>
    <w:p w14:paraId="080F82C2" w14:textId="3E5617E8" w:rsidR="0058420F" w:rsidRDefault="00B67A70" w:rsidP="00CD448B">
      <w:pPr>
        <w:spacing w:after="120"/>
        <w:ind w:left="720"/>
        <w:jc w:val="center"/>
      </w:pPr>
      <w:r w:rsidRPr="00B67A70">
        <w:rPr>
          <w:noProof/>
        </w:rPr>
        <w:lastRenderedPageBreak/>
        <w:drawing>
          <wp:inline distT="0" distB="0" distL="0" distR="0" wp14:anchorId="69E5828A" wp14:editId="6042A4A1">
            <wp:extent cx="3295650" cy="1345565"/>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9">
                      <a:extLst>
                        <a:ext uri="{28A0092B-C50C-407E-A947-70E740481C1C}">
                          <a14:useLocalDpi xmlns:a14="http://schemas.microsoft.com/office/drawing/2010/main" val="0"/>
                        </a:ext>
                      </a:extLst>
                    </a:blip>
                    <a:srcRect r="48490"/>
                    <a:stretch/>
                  </pic:blipFill>
                  <pic:spPr bwMode="auto">
                    <a:xfrm>
                      <a:off x="0" y="0"/>
                      <a:ext cx="3297080" cy="1346149"/>
                    </a:xfrm>
                    <a:prstGeom prst="rect">
                      <a:avLst/>
                    </a:prstGeom>
                    <a:noFill/>
                    <a:ln>
                      <a:noFill/>
                    </a:ln>
                    <a:extLst>
                      <a:ext uri="{53640926-AAD7-44D8-BBD7-CCE9431645EC}">
                        <a14:shadowObscured xmlns:a14="http://schemas.microsoft.com/office/drawing/2010/main"/>
                      </a:ext>
                    </a:extLst>
                  </pic:spPr>
                </pic:pic>
              </a:graphicData>
            </a:graphic>
          </wp:inline>
        </w:drawing>
      </w:r>
    </w:p>
    <w:p w14:paraId="59FA4D77" w14:textId="344D4F24" w:rsidR="0058420F" w:rsidRDefault="00B67A70" w:rsidP="00F47FD6">
      <w:pPr>
        <w:spacing w:after="120"/>
        <w:ind w:left="720"/>
      </w:pPr>
      <w:r>
        <w:t xml:space="preserve">The table below reflects the difference </w:t>
      </w:r>
      <w:r w:rsidR="0059175C">
        <w:t xml:space="preserve">for the Change Order Total </w:t>
      </w:r>
      <w:r>
        <w:t>between Revision 3 and Revision 2.</w:t>
      </w:r>
    </w:p>
    <w:tbl>
      <w:tblPr>
        <w:tblW w:w="10615" w:type="dxa"/>
        <w:tblLook w:val="04A0" w:firstRow="1" w:lastRow="0" w:firstColumn="1" w:lastColumn="0" w:noHBand="0" w:noVBand="1"/>
      </w:tblPr>
      <w:tblGrid>
        <w:gridCol w:w="1975"/>
        <w:gridCol w:w="1890"/>
        <w:gridCol w:w="810"/>
        <w:gridCol w:w="809"/>
        <w:gridCol w:w="1171"/>
        <w:gridCol w:w="805"/>
        <w:gridCol w:w="1175"/>
        <w:gridCol w:w="739"/>
        <w:gridCol w:w="1241"/>
      </w:tblGrid>
      <w:tr w:rsidR="009836DA" w:rsidRPr="009836DA" w14:paraId="5504060E" w14:textId="77777777" w:rsidTr="009836DA">
        <w:trPr>
          <w:trHeight w:val="552"/>
        </w:trPr>
        <w:tc>
          <w:tcPr>
            <w:tcW w:w="1975" w:type="dxa"/>
            <w:vMerge w:val="restart"/>
            <w:tcBorders>
              <w:top w:val="single" w:sz="4" w:space="0" w:color="auto"/>
              <w:left w:val="single" w:sz="4" w:space="0" w:color="auto"/>
              <w:bottom w:val="single" w:sz="4" w:space="0" w:color="000000"/>
              <w:right w:val="single" w:sz="4" w:space="0" w:color="auto"/>
            </w:tcBorders>
            <w:shd w:val="clear" w:color="000000" w:fill="1F497D"/>
            <w:noWrap/>
            <w:vAlign w:val="center"/>
            <w:hideMark/>
          </w:tcPr>
          <w:p w14:paraId="1F725B32"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Team</w:t>
            </w:r>
          </w:p>
        </w:tc>
        <w:tc>
          <w:tcPr>
            <w:tcW w:w="1890" w:type="dxa"/>
            <w:vMerge w:val="restart"/>
            <w:tcBorders>
              <w:top w:val="single" w:sz="4" w:space="0" w:color="auto"/>
              <w:left w:val="single" w:sz="4" w:space="0" w:color="auto"/>
              <w:bottom w:val="single" w:sz="4" w:space="0" w:color="000000"/>
              <w:right w:val="single" w:sz="4" w:space="0" w:color="auto"/>
            </w:tcBorders>
            <w:shd w:val="clear" w:color="000000" w:fill="1F497D"/>
            <w:noWrap/>
            <w:vAlign w:val="center"/>
            <w:hideMark/>
          </w:tcPr>
          <w:p w14:paraId="01216163"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Position</w:t>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78A1CCBB"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Hourly Rate</w:t>
            </w:r>
          </w:p>
        </w:tc>
        <w:tc>
          <w:tcPr>
            <w:tcW w:w="1980" w:type="dxa"/>
            <w:gridSpan w:val="2"/>
            <w:tcBorders>
              <w:top w:val="single" w:sz="4" w:space="0" w:color="auto"/>
              <w:left w:val="nil"/>
              <w:bottom w:val="single" w:sz="4" w:space="0" w:color="auto"/>
              <w:right w:val="single" w:sz="4" w:space="0" w:color="000000"/>
            </w:tcBorders>
            <w:shd w:val="clear" w:color="000000" w:fill="1F497D"/>
            <w:vAlign w:val="center"/>
            <w:hideMark/>
          </w:tcPr>
          <w:p w14:paraId="723823DC"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Change Order Total (Revision 3)</w:t>
            </w:r>
          </w:p>
        </w:tc>
        <w:tc>
          <w:tcPr>
            <w:tcW w:w="1980" w:type="dxa"/>
            <w:gridSpan w:val="2"/>
            <w:tcBorders>
              <w:top w:val="single" w:sz="4" w:space="0" w:color="auto"/>
              <w:left w:val="nil"/>
              <w:bottom w:val="single" w:sz="4" w:space="0" w:color="auto"/>
              <w:right w:val="single" w:sz="4" w:space="0" w:color="000000"/>
            </w:tcBorders>
            <w:shd w:val="clear" w:color="000000" w:fill="1F497D"/>
            <w:vAlign w:val="center"/>
            <w:hideMark/>
          </w:tcPr>
          <w:p w14:paraId="6EC492F3"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Change Order Total (Revision 2)</w:t>
            </w:r>
          </w:p>
        </w:tc>
        <w:tc>
          <w:tcPr>
            <w:tcW w:w="1980" w:type="dxa"/>
            <w:gridSpan w:val="2"/>
            <w:tcBorders>
              <w:top w:val="single" w:sz="4" w:space="0" w:color="auto"/>
              <w:left w:val="nil"/>
              <w:bottom w:val="single" w:sz="4" w:space="0" w:color="auto"/>
              <w:right w:val="single" w:sz="4" w:space="0" w:color="000000"/>
            </w:tcBorders>
            <w:shd w:val="clear" w:color="000000" w:fill="1F497D"/>
            <w:vAlign w:val="center"/>
            <w:hideMark/>
          </w:tcPr>
          <w:p w14:paraId="06466101"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Variance</w:t>
            </w:r>
          </w:p>
        </w:tc>
      </w:tr>
      <w:tr w:rsidR="009836DA" w:rsidRPr="009836DA" w14:paraId="10B8DCA6" w14:textId="77777777" w:rsidTr="009836DA">
        <w:trPr>
          <w:trHeight w:val="183"/>
        </w:trPr>
        <w:tc>
          <w:tcPr>
            <w:tcW w:w="1975" w:type="dxa"/>
            <w:vMerge/>
            <w:tcBorders>
              <w:top w:val="single" w:sz="4" w:space="0" w:color="auto"/>
              <w:left w:val="single" w:sz="4" w:space="0" w:color="auto"/>
              <w:bottom w:val="single" w:sz="4" w:space="0" w:color="000000"/>
              <w:right w:val="single" w:sz="4" w:space="0" w:color="auto"/>
            </w:tcBorders>
            <w:vAlign w:val="center"/>
            <w:hideMark/>
          </w:tcPr>
          <w:p w14:paraId="166924C0" w14:textId="77777777" w:rsidR="009836DA" w:rsidRPr="009836DA" w:rsidRDefault="009836DA" w:rsidP="009836DA">
            <w:pPr>
              <w:rPr>
                <w:rFonts w:ascii="Times New Roman" w:hAnsi="Times New Roman"/>
                <w:b/>
                <w:bCs/>
                <w:color w:val="FFFFFF"/>
                <w:sz w:val="18"/>
                <w:szCs w:val="18"/>
              </w:rPr>
            </w:pPr>
          </w:p>
        </w:tc>
        <w:tc>
          <w:tcPr>
            <w:tcW w:w="1890" w:type="dxa"/>
            <w:vMerge/>
            <w:tcBorders>
              <w:top w:val="single" w:sz="4" w:space="0" w:color="auto"/>
              <w:left w:val="single" w:sz="4" w:space="0" w:color="auto"/>
              <w:bottom w:val="single" w:sz="4" w:space="0" w:color="000000"/>
              <w:right w:val="single" w:sz="4" w:space="0" w:color="auto"/>
            </w:tcBorders>
            <w:vAlign w:val="center"/>
            <w:hideMark/>
          </w:tcPr>
          <w:p w14:paraId="5AB38F2C" w14:textId="77777777" w:rsidR="009836DA" w:rsidRPr="009836DA" w:rsidRDefault="009836DA" w:rsidP="009836DA">
            <w:pPr>
              <w:rPr>
                <w:rFonts w:ascii="Times New Roman" w:hAnsi="Times New Roman"/>
                <w:b/>
                <w:bCs/>
                <w:color w:val="FFFFFF"/>
                <w:sz w:val="18"/>
                <w:szCs w:val="18"/>
              </w:rPr>
            </w:pP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35887861" w14:textId="77777777" w:rsidR="009836DA" w:rsidRPr="009836DA" w:rsidRDefault="009836DA" w:rsidP="009836DA">
            <w:pPr>
              <w:rPr>
                <w:rFonts w:ascii="Times New Roman" w:hAnsi="Times New Roman"/>
                <w:b/>
                <w:bCs/>
                <w:color w:val="FFFFFF"/>
                <w:sz w:val="18"/>
                <w:szCs w:val="18"/>
              </w:rPr>
            </w:pPr>
          </w:p>
        </w:tc>
        <w:tc>
          <w:tcPr>
            <w:tcW w:w="809" w:type="dxa"/>
            <w:tcBorders>
              <w:top w:val="single" w:sz="4" w:space="0" w:color="auto"/>
              <w:left w:val="nil"/>
              <w:bottom w:val="single" w:sz="4" w:space="0" w:color="auto"/>
              <w:right w:val="single" w:sz="4" w:space="0" w:color="auto"/>
            </w:tcBorders>
            <w:shd w:val="clear" w:color="000000" w:fill="1F497D"/>
            <w:noWrap/>
            <w:vAlign w:val="center"/>
            <w:hideMark/>
          </w:tcPr>
          <w:p w14:paraId="4F7F0292"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Hours</w:t>
            </w:r>
          </w:p>
        </w:tc>
        <w:tc>
          <w:tcPr>
            <w:tcW w:w="1171" w:type="dxa"/>
            <w:tcBorders>
              <w:top w:val="single" w:sz="4" w:space="0" w:color="auto"/>
              <w:left w:val="nil"/>
              <w:bottom w:val="single" w:sz="4" w:space="0" w:color="auto"/>
              <w:right w:val="single" w:sz="4" w:space="0" w:color="auto"/>
            </w:tcBorders>
            <w:shd w:val="clear" w:color="000000" w:fill="1F497D"/>
            <w:vAlign w:val="center"/>
            <w:hideMark/>
          </w:tcPr>
          <w:p w14:paraId="56927301"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Cost</w:t>
            </w:r>
          </w:p>
        </w:tc>
        <w:tc>
          <w:tcPr>
            <w:tcW w:w="805" w:type="dxa"/>
            <w:tcBorders>
              <w:top w:val="single" w:sz="4" w:space="0" w:color="auto"/>
              <w:left w:val="nil"/>
              <w:bottom w:val="single" w:sz="4" w:space="0" w:color="auto"/>
              <w:right w:val="single" w:sz="4" w:space="0" w:color="auto"/>
            </w:tcBorders>
            <w:shd w:val="clear" w:color="000000" w:fill="1F497D"/>
            <w:noWrap/>
            <w:vAlign w:val="center"/>
            <w:hideMark/>
          </w:tcPr>
          <w:p w14:paraId="4B52D0A5"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Hours</w:t>
            </w:r>
          </w:p>
        </w:tc>
        <w:tc>
          <w:tcPr>
            <w:tcW w:w="1175" w:type="dxa"/>
            <w:tcBorders>
              <w:top w:val="single" w:sz="4" w:space="0" w:color="auto"/>
              <w:left w:val="nil"/>
              <w:bottom w:val="single" w:sz="4" w:space="0" w:color="auto"/>
              <w:right w:val="single" w:sz="4" w:space="0" w:color="auto"/>
            </w:tcBorders>
            <w:shd w:val="clear" w:color="000000" w:fill="1F497D"/>
            <w:vAlign w:val="center"/>
            <w:hideMark/>
          </w:tcPr>
          <w:p w14:paraId="431B1744"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Cost</w:t>
            </w:r>
          </w:p>
        </w:tc>
        <w:tc>
          <w:tcPr>
            <w:tcW w:w="739" w:type="dxa"/>
            <w:tcBorders>
              <w:top w:val="single" w:sz="4" w:space="0" w:color="auto"/>
              <w:left w:val="nil"/>
              <w:bottom w:val="single" w:sz="4" w:space="0" w:color="auto"/>
              <w:right w:val="single" w:sz="4" w:space="0" w:color="auto"/>
            </w:tcBorders>
            <w:shd w:val="clear" w:color="000000" w:fill="1F497D"/>
            <w:noWrap/>
            <w:vAlign w:val="center"/>
            <w:hideMark/>
          </w:tcPr>
          <w:p w14:paraId="015876EE"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Hours</w:t>
            </w:r>
          </w:p>
        </w:tc>
        <w:tc>
          <w:tcPr>
            <w:tcW w:w="1241" w:type="dxa"/>
            <w:tcBorders>
              <w:top w:val="single" w:sz="4" w:space="0" w:color="auto"/>
              <w:left w:val="nil"/>
              <w:bottom w:val="single" w:sz="4" w:space="0" w:color="auto"/>
              <w:right w:val="single" w:sz="4" w:space="0" w:color="auto"/>
            </w:tcBorders>
            <w:shd w:val="clear" w:color="000000" w:fill="1F497D"/>
            <w:vAlign w:val="center"/>
            <w:hideMark/>
          </w:tcPr>
          <w:p w14:paraId="39D7392A" w14:textId="77777777" w:rsidR="009836DA" w:rsidRPr="009836DA" w:rsidRDefault="009836DA" w:rsidP="009836DA">
            <w:pPr>
              <w:jc w:val="center"/>
              <w:rPr>
                <w:rFonts w:ascii="Times New Roman" w:hAnsi="Times New Roman"/>
                <w:b/>
                <w:bCs/>
                <w:color w:val="FFFFFF"/>
                <w:sz w:val="18"/>
                <w:szCs w:val="18"/>
              </w:rPr>
            </w:pPr>
            <w:r w:rsidRPr="009836DA">
              <w:rPr>
                <w:rFonts w:ascii="Times New Roman" w:hAnsi="Times New Roman"/>
                <w:b/>
                <w:bCs/>
                <w:color w:val="FFFFFF"/>
                <w:sz w:val="18"/>
                <w:szCs w:val="18"/>
              </w:rPr>
              <w:t>Cost</w:t>
            </w:r>
          </w:p>
        </w:tc>
      </w:tr>
      <w:tr w:rsidR="009836DA" w:rsidRPr="009836DA" w14:paraId="3081810A" w14:textId="77777777" w:rsidTr="009836DA">
        <w:trPr>
          <w:trHeight w:val="144"/>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1EF589D3"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Migration Planning</w:t>
            </w:r>
          </w:p>
        </w:tc>
        <w:tc>
          <w:tcPr>
            <w:tcW w:w="1890" w:type="dxa"/>
            <w:tcBorders>
              <w:top w:val="nil"/>
              <w:left w:val="nil"/>
              <w:bottom w:val="single" w:sz="4" w:space="0" w:color="auto"/>
              <w:right w:val="single" w:sz="4" w:space="0" w:color="auto"/>
            </w:tcBorders>
            <w:shd w:val="clear" w:color="auto" w:fill="auto"/>
            <w:noWrap/>
            <w:vAlign w:val="bottom"/>
            <w:hideMark/>
          </w:tcPr>
          <w:p w14:paraId="4CB51BFF"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Business Analyst Lead</w:t>
            </w:r>
          </w:p>
        </w:tc>
        <w:tc>
          <w:tcPr>
            <w:tcW w:w="810" w:type="dxa"/>
            <w:tcBorders>
              <w:top w:val="nil"/>
              <w:left w:val="nil"/>
              <w:bottom w:val="single" w:sz="4" w:space="0" w:color="auto"/>
              <w:right w:val="single" w:sz="4" w:space="0" w:color="auto"/>
            </w:tcBorders>
            <w:shd w:val="clear" w:color="auto" w:fill="auto"/>
            <w:noWrap/>
            <w:vAlign w:val="bottom"/>
            <w:hideMark/>
          </w:tcPr>
          <w:p w14:paraId="5AFFF641" w14:textId="77777777" w:rsidR="009836DA" w:rsidRPr="009836DA" w:rsidRDefault="009836DA" w:rsidP="009836DA">
            <w:pPr>
              <w:jc w:val="right"/>
              <w:rPr>
                <w:rFonts w:ascii="Times New Roman" w:hAnsi="Times New Roman"/>
                <w:sz w:val="18"/>
                <w:szCs w:val="18"/>
              </w:rPr>
            </w:pPr>
            <w:r w:rsidRPr="009836DA">
              <w:rPr>
                <w:rFonts w:ascii="Times New Roman" w:hAnsi="Times New Roman"/>
                <w:sz w:val="18"/>
                <w:szCs w:val="18"/>
              </w:rPr>
              <w:t>$121.00</w:t>
            </w:r>
          </w:p>
        </w:tc>
        <w:tc>
          <w:tcPr>
            <w:tcW w:w="809" w:type="dxa"/>
            <w:tcBorders>
              <w:top w:val="nil"/>
              <w:left w:val="nil"/>
              <w:bottom w:val="single" w:sz="4" w:space="0" w:color="auto"/>
              <w:right w:val="single" w:sz="4" w:space="0" w:color="auto"/>
            </w:tcBorders>
            <w:shd w:val="clear" w:color="auto" w:fill="auto"/>
            <w:noWrap/>
            <w:vAlign w:val="center"/>
            <w:hideMark/>
          </w:tcPr>
          <w:p w14:paraId="2896F5AE"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171" w:type="dxa"/>
            <w:tcBorders>
              <w:top w:val="nil"/>
              <w:left w:val="nil"/>
              <w:bottom w:val="single" w:sz="4" w:space="0" w:color="auto"/>
              <w:right w:val="single" w:sz="4" w:space="0" w:color="auto"/>
            </w:tcBorders>
            <w:shd w:val="clear" w:color="auto" w:fill="auto"/>
            <w:noWrap/>
            <w:vAlign w:val="center"/>
            <w:hideMark/>
          </w:tcPr>
          <w:p w14:paraId="425BD46D"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$182,952</w:t>
            </w:r>
          </w:p>
        </w:tc>
        <w:tc>
          <w:tcPr>
            <w:tcW w:w="805" w:type="dxa"/>
            <w:tcBorders>
              <w:top w:val="nil"/>
              <w:left w:val="nil"/>
              <w:bottom w:val="single" w:sz="4" w:space="0" w:color="auto"/>
              <w:right w:val="single" w:sz="4" w:space="0" w:color="auto"/>
            </w:tcBorders>
            <w:shd w:val="clear" w:color="auto" w:fill="auto"/>
            <w:noWrap/>
            <w:vAlign w:val="center"/>
            <w:hideMark/>
          </w:tcPr>
          <w:p w14:paraId="57F1269F"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c>
          <w:tcPr>
            <w:tcW w:w="1175" w:type="dxa"/>
            <w:tcBorders>
              <w:top w:val="nil"/>
              <w:left w:val="nil"/>
              <w:bottom w:val="single" w:sz="4" w:space="0" w:color="auto"/>
              <w:right w:val="single" w:sz="4" w:space="0" w:color="auto"/>
            </w:tcBorders>
            <w:shd w:val="clear" w:color="auto" w:fill="auto"/>
            <w:noWrap/>
            <w:vAlign w:val="center"/>
            <w:hideMark/>
          </w:tcPr>
          <w:p w14:paraId="59639779"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c>
          <w:tcPr>
            <w:tcW w:w="739" w:type="dxa"/>
            <w:tcBorders>
              <w:top w:val="nil"/>
              <w:left w:val="nil"/>
              <w:bottom w:val="single" w:sz="4" w:space="0" w:color="auto"/>
              <w:right w:val="single" w:sz="4" w:space="0" w:color="auto"/>
            </w:tcBorders>
            <w:shd w:val="clear" w:color="auto" w:fill="auto"/>
            <w:noWrap/>
            <w:vAlign w:val="center"/>
            <w:hideMark/>
          </w:tcPr>
          <w:p w14:paraId="5CB6E482"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241" w:type="dxa"/>
            <w:tcBorders>
              <w:top w:val="nil"/>
              <w:left w:val="nil"/>
              <w:bottom w:val="single" w:sz="4" w:space="0" w:color="auto"/>
              <w:right w:val="single" w:sz="4" w:space="0" w:color="auto"/>
            </w:tcBorders>
            <w:shd w:val="clear" w:color="auto" w:fill="auto"/>
            <w:noWrap/>
            <w:vAlign w:val="center"/>
            <w:hideMark/>
          </w:tcPr>
          <w:p w14:paraId="6F692A1D"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$182,952</w:t>
            </w:r>
          </w:p>
        </w:tc>
      </w:tr>
      <w:tr w:rsidR="009836DA" w:rsidRPr="009836DA" w14:paraId="5EE0C0EE" w14:textId="77777777" w:rsidTr="009836DA">
        <w:trPr>
          <w:trHeight w:val="144"/>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734022B0"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Migration Planning</w:t>
            </w:r>
          </w:p>
        </w:tc>
        <w:tc>
          <w:tcPr>
            <w:tcW w:w="1890" w:type="dxa"/>
            <w:tcBorders>
              <w:top w:val="nil"/>
              <w:left w:val="nil"/>
              <w:bottom w:val="single" w:sz="4" w:space="0" w:color="auto"/>
              <w:right w:val="single" w:sz="4" w:space="0" w:color="auto"/>
            </w:tcBorders>
            <w:shd w:val="clear" w:color="auto" w:fill="auto"/>
            <w:noWrap/>
            <w:vAlign w:val="bottom"/>
            <w:hideMark/>
          </w:tcPr>
          <w:p w14:paraId="7E7FB3C4"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 xml:space="preserve">Business Analyst </w:t>
            </w:r>
          </w:p>
        </w:tc>
        <w:tc>
          <w:tcPr>
            <w:tcW w:w="810" w:type="dxa"/>
            <w:tcBorders>
              <w:top w:val="nil"/>
              <w:left w:val="nil"/>
              <w:bottom w:val="single" w:sz="4" w:space="0" w:color="auto"/>
              <w:right w:val="single" w:sz="4" w:space="0" w:color="auto"/>
            </w:tcBorders>
            <w:shd w:val="clear" w:color="auto" w:fill="auto"/>
            <w:noWrap/>
            <w:vAlign w:val="bottom"/>
            <w:hideMark/>
          </w:tcPr>
          <w:p w14:paraId="042073E6" w14:textId="77777777" w:rsidR="009836DA" w:rsidRPr="009836DA" w:rsidRDefault="009836DA" w:rsidP="009836DA">
            <w:pPr>
              <w:jc w:val="right"/>
              <w:rPr>
                <w:rFonts w:ascii="Times New Roman" w:hAnsi="Times New Roman"/>
                <w:sz w:val="18"/>
                <w:szCs w:val="18"/>
              </w:rPr>
            </w:pPr>
            <w:r w:rsidRPr="009836DA">
              <w:rPr>
                <w:rFonts w:ascii="Times New Roman" w:hAnsi="Times New Roman"/>
                <w:sz w:val="18"/>
                <w:szCs w:val="18"/>
              </w:rPr>
              <w:t>$133.71</w:t>
            </w:r>
          </w:p>
        </w:tc>
        <w:tc>
          <w:tcPr>
            <w:tcW w:w="809" w:type="dxa"/>
            <w:tcBorders>
              <w:top w:val="nil"/>
              <w:left w:val="nil"/>
              <w:bottom w:val="single" w:sz="4" w:space="0" w:color="auto"/>
              <w:right w:val="single" w:sz="4" w:space="0" w:color="auto"/>
            </w:tcBorders>
            <w:shd w:val="clear" w:color="auto" w:fill="auto"/>
            <w:noWrap/>
            <w:vAlign w:val="center"/>
            <w:hideMark/>
          </w:tcPr>
          <w:p w14:paraId="6C0ADE3F"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6,208</w:t>
            </w:r>
          </w:p>
        </w:tc>
        <w:tc>
          <w:tcPr>
            <w:tcW w:w="1171" w:type="dxa"/>
            <w:tcBorders>
              <w:top w:val="nil"/>
              <w:left w:val="nil"/>
              <w:bottom w:val="single" w:sz="4" w:space="0" w:color="auto"/>
              <w:right w:val="single" w:sz="4" w:space="0" w:color="auto"/>
            </w:tcBorders>
            <w:shd w:val="clear" w:color="auto" w:fill="auto"/>
            <w:noWrap/>
            <w:vAlign w:val="center"/>
            <w:hideMark/>
          </w:tcPr>
          <w:p w14:paraId="77FD10B8"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$830,135</w:t>
            </w:r>
          </w:p>
        </w:tc>
        <w:tc>
          <w:tcPr>
            <w:tcW w:w="805" w:type="dxa"/>
            <w:tcBorders>
              <w:top w:val="nil"/>
              <w:left w:val="nil"/>
              <w:bottom w:val="single" w:sz="4" w:space="0" w:color="auto"/>
              <w:right w:val="single" w:sz="4" w:space="0" w:color="auto"/>
            </w:tcBorders>
            <w:shd w:val="clear" w:color="auto" w:fill="auto"/>
            <w:noWrap/>
            <w:vAlign w:val="center"/>
            <w:hideMark/>
          </w:tcPr>
          <w:p w14:paraId="42774A2C"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4,696</w:t>
            </w:r>
          </w:p>
        </w:tc>
        <w:tc>
          <w:tcPr>
            <w:tcW w:w="1175" w:type="dxa"/>
            <w:tcBorders>
              <w:top w:val="nil"/>
              <w:left w:val="nil"/>
              <w:bottom w:val="single" w:sz="4" w:space="0" w:color="auto"/>
              <w:right w:val="single" w:sz="4" w:space="0" w:color="auto"/>
            </w:tcBorders>
            <w:shd w:val="clear" w:color="auto" w:fill="auto"/>
            <w:noWrap/>
            <w:vAlign w:val="center"/>
            <w:hideMark/>
          </w:tcPr>
          <w:p w14:paraId="7565400A"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$627,967</w:t>
            </w:r>
          </w:p>
        </w:tc>
        <w:tc>
          <w:tcPr>
            <w:tcW w:w="739" w:type="dxa"/>
            <w:tcBorders>
              <w:top w:val="nil"/>
              <w:left w:val="nil"/>
              <w:bottom w:val="single" w:sz="4" w:space="0" w:color="auto"/>
              <w:right w:val="single" w:sz="4" w:space="0" w:color="auto"/>
            </w:tcBorders>
            <w:shd w:val="clear" w:color="auto" w:fill="auto"/>
            <w:noWrap/>
            <w:vAlign w:val="center"/>
            <w:hideMark/>
          </w:tcPr>
          <w:p w14:paraId="4856B977"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241" w:type="dxa"/>
            <w:tcBorders>
              <w:top w:val="nil"/>
              <w:left w:val="nil"/>
              <w:bottom w:val="single" w:sz="4" w:space="0" w:color="auto"/>
              <w:right w:val="single" w:sz="4" w:space="0" w:color="auto"/>
            </w:tcBorders>
            <w:shd w:val="clear" w:color="auto" w:fill="auto"/>
            <w:noWrap/>
            <w:vAlign w:val="center"/>
            <w:hideMark/>
          </w:tcPr>
          <w:p w14:paraId="4215F18F"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$202,168</w:t>
            </w:r>
          </w:p>
        </w:tc>
      </w:tr>
      <w:tr w:rsidR="009836DA" w:rsidRPr="009836DA" w14:paraId="5A9F2D0F" w14:textId="77777777" w:rsidTr="009836DA">
        <w:trPr>
          <w:trHeight w:val="144"/>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6F565D53"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Migration Planning</w:t>
            </w:r>
          </w:p>
        </w:tc>
        <w:tc>
          <w:tcPr>
            <w:tcW w:w="1890" w:type="dxa"/>
            <w:tcBorders>
              <w:top w:val="nil"/>
              <w:left w:val="nil"/>
              <w:bottom w:val="single" w:sz="4" w:space="0" w:color="auto"/>
              <w:right w:val="single" w:sz="4" w:space="0" w:color="auto"/>
            </w:tcBorders>
            <w:shd w:val="clear" w:color="auto" w:fill="auto"/>
            <w:noWrap/>
            <w:vAlign w:val="bottom"/>
            <w:hideMark/>
          </w:tcPr>
          <w:p w14:paraId="5F472473"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Technical Analyst</w:t>
            </w:r>
          </w:p>
        </w:tc>
        <w:tc>
          <w:tcPr>
            <w:tcW w:w="810" w:type="dxa"/>
            <w:tcBorders>
              <w:top w:val="nil"/>
              <w:left w:val="nil"/>
              <w:bottom w:val="single" w:sz="4" w:space="0" w:color="auto"/>
              <w:right w:val="single" w:sz="4" w:space="0" w:color="auto"/>
            </w:tcBorders>
            <w:shd w:val="clear" w:color="auto" w:fill="auto"/>
            <w:noWrap/>
            <w:vAlign w:val="bottom"/>
            <w:hideMark/>
          </w:tcPr>
          <w:p w14:paraId="474E2DD0" w14:textId="77777777" w:rsidR="009836DA" w:rsidRPr="009836DA" w:rsidRDefault="009836DA" w:rsidP="009836DA">
            <w:pPr>
              <w:jc w:val="right"/>
              <w:rPr>
                <w:rFonts w:ascii="Times New Roman" w:hAnsi="Times New Roman"/>
                <w:sz w:val="18"/>
                <w:szCs w:val="18"/>
              </w:rPr>
            </w:pPr>
            <w:r w:rsidRPr="009836DA">
              <w:rPr>
                <w:rFonts w:ascii="Times New Roman" w:hAnsi="Times New Roman"/>
                <w:sz w:val="18"/>
                <w:szCs w:val="18"/>
              </w:rPr>
              <w:t>$151.94</w:t>
            </w:r>
          </w:p>
        </w:tc>
        <w:tc>
          <w:tcPr>
            <w:tcW w:w="809" w:type="dxa"/>
            <w:tcBorders>
              <w:top w:val="nil"/>
              <w:left w:val="nil"/>
              <w:bottom w:val="single" w:sz="4" w:space="0" w:color="auto"/>
              <w:right w:val="single" w:sz="4" w:space="0" w:color="auto"/>
            </w:tcBorders>
            <w:shd w:val="clear" w:color="auto" w:fill="auto"/>
            <w:noWrap/>
            <w:vAlign w:val="center"/>
            <w:hideMark/>
          </w:tcPr>
          <w:p w14:paraId="1D405CD5"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6,216</w:t>
            </w:r>
          </w:p>
        </w:tc>
        <w:tc>
          <w:tcPr>
            <w:tcW w:w="1171" w:type="dxa"/>
            <w:tcBorders>
              <w:top w:val="nil"/>
              <w:left w:val="nil"/>
              <w:bottom w:val="single" w:sz="4" w:space="0" w:color="auto"/>
              <w:right w:val="single" w:sz="4" w:space="0" w:color="auto"/>
            </w:tcBorders>
            <w:shd w:val="clear" w:color="auto" w:fill="auto"/>
            <w:noWrap/>
            <w:vAlign w:val="center"/>
            <w:hideMark/>
          </w:tcPr>
          <w:p w14:paraId="493609CE"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$944,458</w:t>
            </w:r>
          </w:p>
        </w:tc>
        <w:tc>
          <w:tcPr>
            <w:tcW w:w="805" w:type="dxa"/>
            <w:tcBorders>
              <w:top w:val="nil"/>
              <w:left w:val="nil"/>
              <w:bottom w:val="single" w:sz="4" w:space="0" w:color="auto"/>
              <w:right w:val="single" w:sz="4" w:space="0" w:color="auto"/>
            </w:tcBorders>
            <w:shd w:val="clear" w:color="auto" w:fill="auto"/>
            <w:noWrap/>
            <w:vAlign w:val="center"/>
            <w:hideMark/>
          </w:tcPr>
          <w:p w14:paraId="3923070B"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4,704</w:t>
            </w:r>
          </w:p>
        </w:tc>
        <w:tc>
          <w:tcPr>
            <w:tcW w:w="1175" w:type="dxa"/>
            <w:tcBorders>
              <w:top w:val="nil"/>
              <w:left w:val="nil"/>
              <w:bottom w:val="single" w:sz="4" w:space="0" w:color="auto"/>
              <w:right w:val="single" w:sz="4" w:space="0" w:color="auto"/>
            </w:tcBorders>
            <w:shd w:val="clear" w:color="auto" w:fill="auto"/>
            <w:noWrap/>
            <w:vAlign w:val="center"/>
            <w:hideMark/>
          </w:tcPr>
          <w:p w14:paraId="0FD1F75B"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$714,725</w:t>
            </w:r>
          </w:p>
        </w:tc>
        <w:tc>
          <w:tcPr>
            <w:tcW w:w="739" w:type="dxa"/>
            <w:tcBorders>
              <w:top w:val="nil"/>
              <w:left w:val="nil"/>
              <w:bottom w:val="single" w:sz="4" w:space="0" w:color="auto"/>
              <w:right w:val="single" w:sz="4" w:space="0" w:color="auto"/>
            </w:tcBorders>
            <w:shd w:val="clear" w:color="auto" w:fill="auto"/>
            <w:noWrap/>
            <w:vAlign w:val="center"/>
            <w:hideMark/>
          </w:tcPr>
          <w:p w14:paraId="050B270B"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241" w:type="dxa"/>
            <w:tcBorders>
              <w:top w:val="nil"/>
              <w:left w:val="nil"/>
              <w:bottom w:val="single" w:sz="4" w:space="0" w:color="auto"/>
              <w:right w:val="single" w:sz="4" w:space="0" w:color="auto"/>
            </w:tcBorders>
            <w:shd w:val="clear" w:color="auto" w:fill="auto"/>
            <w:noWrap/>
            <w:vAlign w:val="center"/>
            <w:hideMark/>
          </w:tcPr>
          <w:p w14:paraId="17E58154"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$229,733</w:t>
            </w:r>
          </w:p>
        </w:tc>
      </w:tr>
      <w:tr w:rsidR="009836DA" w:rsidRPr="009836DA" w14:paraId="35114CAB" w14:textId="77777777" w:rsidTr="009836DA">
        <w:trPr>
          <w:trHeight w:val="144"/>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27908579"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Migration Planning</w:t>
            </w:r>
          </w:p>
        </w:tc>
        <w:tc>
          <w:tcPr>
            <w:tcW w:w="1890" w:type="dxa"/>
            <w:tcBorders>
              <w:top w:val="nil"/>
              <w:left w:val="nil"/>
              <w:bottom w:val="single" w:sz="4" w:space="0" w:color="auto"/>
              <w:right w:val="single" w:sz="4" w:space="0" w:color="auto"/>
            </w:tcBorders>
            <w:shd w:val="clear" w:color="auto" w:fill="auto"/>
            <w:noWrap/>
            <w:vAlign w:val="bottom"/>
            <w:hideMark/>
          </w:tcPr>
          <w:p w14:paraId="6E5D3172"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Fiscal Analyst</w:t>
            </w:r>
          </w:p>
        </w:tc>
        <w:tc>
          <w:tcPr>
            <w:tcW w:w="810" w:type="dxa"/>
            <w:tcBorders>
              <w:top w:val="nil"/>
              <w:left w:val="nil"/>
              <w:bottom w:val="single" w:sz="4" w:space="0" w:color="auto"/>
              <w:right w:val="single" w:sz="4" w:space="0" w:color="auto"/>
            </w:tcBorders>
            <w:shd w:val="clear" w:color="auto" w:fill="auto"/>
            <w:noWrap/>
            <w:vAlign w:val="bottom"/>
            <w:hideMark/>
          </w:tcPr>
          <w:p w14:paraId="083ECEFD" w14:textId="77777777" w:rsidR="009836DA" w:rsidRPr="009836DA" w:rsidRDefault="009836DA" w:rsidP="009836DA">
            <w:pPr>
              <w:jc w:val="right"/>
              <w:rPr>
                <w:rFonts w:ascii="Times New Roman" w:hAnsi="Times New Roman"/>
                <w:sz w:val="18"/>
                <w:szCs w:val="18"/>
              </w:rPr>
            </w:pPr>
            <w:r w:rsidRPr="009836DA">
              <w:rPr>
                <w:rFonts w:ascii="Times New Roman" w:hAnsi="Times New Roman"/>
                <w:sz w:val="18"/>
                <w:szCs w:val="18"/>
              </w:rPr>
              <w:t>$110.00</w:t>
            </w:r>
          </w:p>
        </w:tc>
        <w:tc>
          <w:tcPr>
            <w:tcW w:w="809" w:type="dxa"/>
            <w:tcBorders>
              <w:top w:val="nil"/>
              <w:left w:val="nil"/>
              <w:bottom w:val="single" w:sz="4" w:space="0" w:color="auto"/>
              <w:right w:val="single" w:sz="4" w:space="0" w:color="auto"/>
            </w:tcBorders>
            <w:shd w:val="clear" w:color="auto" w:fill="auto"/>
            <w:noWrap/>
            <w:vAlign w:val="center"/>
            <w:hideMark/>
          </w:tcPr>
          <w:p w14:paraId="6C977B07"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5,934</w:t>
            </w:r>
          </w:p>
        </w:tc>
        <w:tc>
          <w:tcPr>
            <w:tcW w:w="1171" w:type="dxa"/>
            <w:tcBorders>
              <w:top w:val="nil"/>
              <w:left w:val="nil"/>
              <w:bottom w:val="single" w:sz="4" w:space="0" w:color="auto"/>
              <w:right w:val="single" w:sz="4" w:space="0" w:color="auto"/>
            </w:tcBorders>
            <w:shd w:val="clear" w:color="auto" w:fill="auto"/>
            <w:noWrap/>
            <w:vAlign w:val="center"/>
            <w:hideMark/>
          </w:tcPr>
          <w:p w14:paraId="0A57A173"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$652,740</w:t>
            </w:r>
          </w:p>
        </w:tc>
        <w:tc>
          <w:tcPr>
            <w:tcW w:w="805" w:type="dxa"/>
            <w:tcBorders>
              <w:top w:val="nil"/>
              <w:left w:val="nil"/>
              <w:bottom w:val="single" w:sz="4" w:space="0" w:color="auto"/>
              <w:right w:val="single" w:sz="4" w:space="0" w:color="auto"/>
            </w:tcBorders>
            <w:shd w:val="clear" w:color="auto" w:fill="auto"/>
            <w:noWrap/>
            <w:vAlign w:val="center"/>
            <w:hideMark/>
          </w:tcPr>
          <w:p w14:paraId="5ED96D73"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4,422</w:t>
            </w:r>
          </w:p>
        </w:tc>
        <w:tc>
          <w:tcPr>
            <w:tcW w:w="1175" w:type="dxa"/>
            <w:tcBorders>
              <w:top w:val="nil"/>
              <w:left w:val="nil"/>
              <w:bottom w:val="single" w:sz="4" w:space="0" w:color="auto"/>
              <w:right w:val="single" w:sz="4" w:space="0" w:color="auto"/>
            </w:tcBorders>
            <w:shd w:val="clear" w:color="auto" w:fill="auto"/>
            <w:noWrap/>
            <w:vAlign w:val="center"/>
            <w:hideMark/>
          </w:tcPr>
          <w:p w14:paraId="5648C937"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$486,420</w:t>
            </w:r>
          </w:p>
        </w:tc>
        <w:tc>
          <w:tcPr>
            <w:tcW w:w="739" w:type="dxa"/>
            <w:tcBorders>
              <w:top w:val="nil"/>
              <w:left w:val="nil"/>
              <w:bottom w:val="single" w:sz="4" w:space="0" w:color="auto"/>
              <w:right w:val="single" w:sz="4" w:space="0" w:color="auto"/>
            </w:tcBorders>
            <w:shd w:val="clear" w:color="auto" w:fill="auto"/>
            <w:noWrap/>
            <w:vAlign w:val="center"/>
            <w:hideMark/>
          </w:tcPr>
          <w:p w14:paraId="415C2729"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241" w:type="dxa"/>
            <w:tcBorders>
              <w:top w:val="nil"/>
              <w:left w:val="nil"/>
              <w:bottom w:val="single" w:sz="4" w:space="0" w:color="auto"/>
              <w:right w:val="single" w:sz="4" w:space="0" w:color="auto"/>
            </w:tcBorders>
            <w:shd w:val="clear" w:color="auto" w:fill="auto"/>
            <w:noWrap/>
            <w:vAlign w:val="center"/>
            <w:hideMark/>
          </w:tcPr>
          <w:p w14:paraId="0757241E"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$166,320</w:t>
            </w:r>
          </w:p>
        </w:tc>
      </w:tr>
      <w:tr w:rsidR="009836DA" w:rsidRPr="009836DA" w14:paraId="176F29A7" w14:textId="77777777" w:rsidTr="009836DA">
        <w:trPr>
          <w:trHeight w:val="144"/>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73B717AE"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Migration Planning</w:t>
            </w:r>
          </w:p>
        </w:tc>
        <w:tc>
          <w:tcPr>
            <w:tcW w:w="1890" w:type="dxa"/>
            <w:tcBorders>
              <w:top w:val="nil"/>
              <w:left w:val="nil"/>
              <w:bottom w:val="single" w:sz="4" w:space="0" w:color="auto"/>
              <w:right w:val="single" w:sz="4" w:space="0" w:color="auto"/>
            </w:tcBorders>
            <w:shd w:val="clear" w:color="auto" w:fill="auto"/>
            <w:noWrap/>
            <w:vAlign w:val="bottom"/>
            <w:hideMark/>
          </w:tcPr>
          <w:p w14:paraId="52146D10"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SME</w:t>
            </w:r>
          </w:p>
        </w:tc>
        <w:tc>
          <w:tcPr>
            <w:tcW w:w="810" w:type="dxa"/>
            <w:tcBorders>
              <w:top w:val="nil"/>
              <w:left w:val="nil"/>
              <w:bottom w:val="single" w:sz="4" w:space="0" w:color="auto"/>
              <w:right w:val="single" w:sz="4" w:space="0" w:color="auto"/>
            </w:tcBorders>
            <w:shd w:val="clear" w:color="auto" w:fill="auto"/>
            <w:noWrap/>
            <w:vAlign w:val="bottom"/>
            <w:hideMark/>
          </w:tcPr>
          <w:p w14:paraId="74A8EC94" w14:textId="77777777" w:rsidR="009836DA" w:rsidRPr="009836DA" w:rsidRDefault="009836DA" w:rsidP="009836DA">
            <w:pPr>
              <w:jc w:val="right"/>
              <w:rPr>
                <w:rFonts w:ascii="Times New Roman" w:hAnsi="Times New Roman"/>
                <w:sz w:val="18"/>
                <w:szCs w:val="18"/>
              </w:rPr>
            </w:pPr>
            <w:r w:rsidRPr="009836DA">
              <w:rPr>
                <w:rFonts w:ascii="Times New Roman" w:hAnsi="Times New Roman"/>
                <w:sz w:val="18"/>
                <w:szCs w:val="18"/>
              </w:rPr>
              <w:t>$133.71</w:t>
            </w:r>
          </w:p>
        </w:tc>
        <w:tc>
          <w:tcPr>
            <w:tcW w:w="809" w:type="dxa"/>
            <w:tcBorders>
              <w:top w:val="nil"/>
              <w:left w:val="nil"/>
              <w:bottom w:val="single" w:sz="4" w:space="0" w:color="auto"/>
              <w:right w:val="single" w:sz="4" w:space="0" w:color="auto"/>
            </w:tcBorders>
            <w:shd w:val="clear" w:color="auto" w:fill="auto"/>
            <w:noWrap/>
            <w:vAlign w:val="center"/>
            <w:hideMark/>
          </w:tcPr>
          <w:p w14:paraId="0F88EDF1"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482</w:t>
            </w:r>
          </w:p>
        </w:tc>
        <w:tc>
          <w:tcPr>
            <w:tcW w:w="1171" w:type="dxa"/>
            <w:tcBorders>
              <w:top w:val="nil"/>
              <w:left w:val="nil"/>
              <w:bottom w:val="single" w:sz="4" w:space="0" w:color="auto"/>
              <w:right w:val="single" w:sz="4" w:space="0" w:color="auto"/>
            </w:tcBorders>
            <w:shd w:val="clear" w:color="auto" w:fill="auto"/>
            <w:noWrap/>
            <w:vAlign w:val="center"/>
            <w:hideMark/>
          </w:tcPr>
          <w:p w14:paraId="131CF9EA"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$64,448</w:t>
            </w:r>
          </w:p>
        </w:tc>
        <w:tc>
          <w:tcPr>
            <w:tcW w:w="805" w:type="dxa"/>
            <w:tcBorders>
              <w:top w:val="nil"/>
              <w:left w:val="nil"/>
              <w:bottom w:val="single" w:sz="4" w:space="0" w:color="auto"/>
              <w:right w:val="single" w:sz="4" w:space="0" w:color="auto"/>
            </w:tcBorders>
            <w:shd w:val="clear" w:color="auto" w:fill="auto"/>
            <w:noWrap/>
            <w:vAlign w:val="center"/>
            <w:hideMark/>
          </w:tcPr>
          <w:p w14:paraId="59AC44CC"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482</w:t>
            </w:r>
          </w:p>
        </w:tc>
        <w:tc>
          <w:tcPr>
            <w:tcW w:w="1175" w:type="dxa"/>
            <w:tcBorders>
              <w:top w:val="nil"/>
              <w:left w:val="nil"/>
              <w:bottom w:val="single" w:sz="4" w:space="0" w:color="auto"/>
              <w:right w:val="single" w:sz="4" w:space="0" w:color="auto"/>
            </w:tcBorders>
            <w:shd w:val="clear" w:color="auto" w:fill="auto"/>
            <w:noWrap/>
            <w:vAlign w:val="center"/>
            <w:hideMark/>
          </w:tcPr>
          <w:p w14:paraId="40D82831"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$64,448</w:t>
            </w:r>
          </w:p>
        </w:tc>
        <w:tc>
          <w:tcPr>
            <w:tcW w:w="739" w:type="dxa"/>
            <w:tcBorders>
              <w:top w:val="nil"/>
              <w:left w:val="nil"/>
              <w:bottom w:val="single" w:sz="4" w:space="0" w:color="auto"/>
              <w:right w:val="single" w:sz="4" w:space="0" w:color="auto"/>
            </w:tcBorders>
            <w:shd w:val="clear" w:color="auto" w:fill="auto"/>
            <w:noWrap/>
            <w:vAlign w:val="center"/>
            <w:hideMark/>
          </w:tcPr>
          <w:p w14:paraId="3F8AB0B9"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c>
          <w:tcPr>
            <w:tcW w:w="1241" w:type="dxa"/>
            <w:tcBorders>
              <w:top w:val="nil"/>
              <w:left w:val="nil"/>
              <w:bottom w:val="single" w:sz="4" w:space="0" w:color="auto"/>
              <w:right w:val="single" w:sz="4" w:space="0" w:color="auto"/>
            </w:tcBorders>
            <w:shd w:val="clear" w:color="auto" w:fill="auto"/>
            <w:noWrap/>
            <w:vAlign w:val="center"/>
            <w:hideMark/>
          </w:tcPr>
          <w:p w14:paraId="46AA89A4"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r>
      <w:tr w:rsidR="009836DA" w:rsidRPr="009836DA" w14:paraId="7CAF0A40" w14:textId="77777777" w:rsidTr="009836DA">
        <w:trPr>
          <w:trHeight w:val="144"/>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1E9DB3AD"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LRS Joint Development</w:t>
            </w:r>
          </w:p>
        </w:tc>
        <w:tc>
          <w:tcPr>
            <w:tcW w:w="1890" w:type="dxa"/>
            <w:tcBorders>
              <w:top w:val="nil"/>
              <w:left w:val="nil"/>
              <w:bottom w:val="single" w:sz="4" w:space="0" w:color="auto"/>
              <w:right w:val="single" w:sz="4" w:space="0" w:color="auto"/>
            </w:tcBorders>
            <w:shd w:val="clear" w:color="auto" w:fill="auto"/>
            <w:noWrap/>
            <w:vAlign w:val="bottom"/>
            <w:hideMark/>
          </w:tcPr>
          <w:p w14:paraId="2302BCAE"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Functional Lead</w:t>
            </w:r>
          </w:p>
        </w:tc>
        <w:tc>
          <w:tcPr>
            <w:tcW w:w="810" w:type="dxa"/>
            <w:tcBorders>
              <w:top w:val="nil"/>
              <w:left w:val="nil"/>
              <w:bottom w:val="single" w:sz="4" w:space="0" w:color="auto"/>
              <w:right w:val="single" w:sz="4" w:space="0" w:color="auto"/>
            </w:tcBorders>
            <w:shd w:val="clear" w:color="auto" w:fill="auto"/>
            <w:noWrap/>
            <w:vAlign w:val="bottom"/>
            <w:hideMark/>
          </w:tcPr>
          <w:p w14:paraId="3B0D27F8" w14:textId="77777777" w:rsidR="009836DA" w:rsidRPr="009836DA" w:rsidRDefault="009836DA" w:rsidP="009836DA">
            <w:pPr>
              <w:jc w:val="right"/>
              <w:rPr>
                <w:rFonts w:ascii="Times New Roman" w:hAnsi="Times New Roman"/>
                <w:sz w:val="18"/>
                <w:szCs w:val="18"/>
              </w:rPr>
            </w:pPr>
            <w:r w:rsidRPr="009836DA">
              <w:rPr>
                <w:rFonts w:ascii="Times New Roman" w:hAnsi="Times New Roman"/>
                <w:sz w:val="18"/>
                <w:szCs w:val="18"/>
              </w:rPr>
              <w:t>$162.00</w:t>
            </w:r>
          </w:p>
        </w:tc>
        <w:tc>
          <w:tcPr>
            <w:tcW w:w="809" w:type="dxa"/>
            <w:tcBorders>
              <w:top w:val="nil"/>
              <w:left w:val="nil"/>
              <w:bottom w:val="single" w:sz="4" w:space="0" w:color="auto"/>
              <w:right w:val="single" w:sz="4" w:space="0" w:color="auto"/>
            </w:tcBorders>
            <w:shd w:val="clear" w:color="auto" w:fill="auto"/>
            <w:noWrap/>
            <w:vAlign w:val="center"/>
            <w:hideMark/>
          </w:tcPr>
          <w:p w14:paraId="02C316E3"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171" w:type="dxa"/>
            <w:tcBorders>
              <w:top w:val="nil"/>
              <w:left w:val="nil"/>
              <w:bottom w:val="single" w:sz="4" w:space="0" w:color="auto"/>
              <w:right w:val="single" w:sz="4" w:space="0" w:color="auto"/>
            </w:tcBorders>
            <w:shd w:val="clear" w:color="auto" w:fill="auto"/>
            <w:noWrap/>
            <w:vAlign w:val="center"/>
            <w:hideMark/>
          </w:tcPr>
          <w:p w14:paraId="1151A203"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$244,944</w:t>
            </w:r>
          </w:p>
        </w:tc>
        <w:tc>
          <w:tcPr>
            <w:tcW w:w="805" w:type="dxa"/>
            <w:tcBorders>
              <w:top w:val="nil"/>
              <w:left w:val="nil"/>
              <w:bottom w:val="single" w:sz="4" w:space="0" w:color="auto"/>
              <w:right w:val="single" w:sz="4" w:space="0" w:color="auto"/>
            </w:tcBorders>
            <w:shd w:val="clear" w:color="auto" w:fill="auto"/>
            <w:noWrap/>
            <w:vAlign w:val="center"/>
            <w:hideMark/>
          </w:tcPr>
          <w:p w14:paraId="03C112A1"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c>
          <w:tcPr>
            <w:tcW w:w="1175" w:type="dxa"/>
            <w:tcBorders>
              <w:top w:val="nil"/>
              <w:left w:val="nil"/>
              <w:bottom w:val="single" w:sz="4" w:space="0" w:color="auto"/>
              <w:right w:val="single" w:sz="4" w:space="0" w:color="auto"/>
            </w:tcBorders>
            <w:shd w:val="clear" w:color="auto" w:fill="auto"/>
            <w:noWrap/>
            <w:vAlign w:val="center"/>
            <w:hideMark/>
          </w:tcPr>
          <w:p w14:paraId="20F4642F"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c>
          <w:tcPr>
            <w:tcW w:w="739" w:type="dxa"/>
            <w:tcBorders>
              <w:top w:val="nil"/>
              <w:left w:val="nil"/>
              <w:bottom w:val="single" w:sz="4" w:space="0" w:color="auto"/>
              <w:right w:val="single" w:sz="4" w:space="0" w:color="auto"/>
            </w:tcBorders>
            <w:shd w:val="clear" w:color="auto" w:fill="auto"/>
            <w:noWrap/>
            <w:vAlign w:val="center"/>
            <w:hideMark/>
          </w:tcPr>
          <w:p w14:paraId="5AB433AB"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241" w:type="dxa"/>
            <w:tcBorders>
              <w:top w:val="nil"/>
              <w:left w:val="nil"/>
              <w:bottom w:val="single" w:sz="4" w:space="0" w:color="auto"/>
              <w:right w:val="single" w:sz="4" w:space="0" w:color="auto"/>
            </w:tcBorders>
            <w:shd w:val="clear" w:color="auto" w:fill="auto"/>
            <w:noWrap/>
            <w:vAlign w:val="center"/>
            <w:hideMark/>
          </w:tcPr>
          <w:p w14:paraId="4E2F03BB"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$244,944</w:t>
            </w:r>
          </w:p>
        </w:tc>
      </w:tr>
      <w:tr w:rsidR="009836DA" w:rsidRPr="009836DA" w14:paraId="6D7AE838" w14:textId="77777777" w:rsidTr="009836DA">
        <w:trPr>
          <w:trHeight w:val="144"/>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622939FA"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LRS Joint Development</w:t>
            </w:r>
          </w:p>
        </w:tc>
        <w:tc>
          <w:tcPr>
            <w:tcW w:w="1890" w:type="dxa"/>
            <w:tcBorders>
              <w:top w:val="nil"/>
              <w:left w:val="nil"/>
              <w:bottom w:val="single" w:sz="4" w:space="0" w:color="auto"/>
              <w:right w:val="single" w:sz="4" w:space="0" w:color="auto"/>
            </w:tcBorders>
            <w:shd w:val="clear" w:color="auto" w:fill="auto"/>
            <w:noWrap/>
            <w:vAlign w:val="bottom"/>
            <w:hideMark/>
          </w:tcPr>
          <w:p w14:paraId="62A2080E" w14:textId="77777777" w:rsidR="009836DA" w:rsidRPr="009836DA" w:rsidRDefault="009836DA" w:rsidP="009836DA">
            <w:pPr>
              <w:rPr>
                <w:rFonts w:ascii="Times New Roman" w:hAnsi="Times New Roman"/>
                <w:sz w:val="18"/>
                <w:szCs w:val="18"/>
              </w:rPr>
            </w:pPr>
            <w:r w:rsidRPr="009836DA">
              <w:rPr>
                <w:rFonts w:ascii="Times New Roman" w:hAnsi="Times New Roman"/>
                <w:sz w:val="18"/>
                <w:szCs w:val="18"/>
              </w:rPr>
              <w:t>Business Analyst</w:t>
            </w:r>
          </w:p>
        </w:tc>
        <w:tc>
          <w:tcPr>
            <w:tcW w:w="810" w:type="dxa"/>
            <w:tcBorders>
              <w:top w:val="nil"/>
              <w:left w:val="nil"/>
              <w:bottom w:val="single" w:sz="4" w:space="0" w:color="auto"/>
              <w:right w:val="single" w:sz="4" w:space="0" w:color="auto"/>
            </w:tcBorders>
            <w:shd w:val="clear" w:color="auto" w:fill="auto"/>
            <w:noWrap/>
            <w:vAlign w:val="bottom"/>
            <w:hideMark/>
          </w:tcPr>
          <w:p w14:paraId="7D1BF1ED" w14:textId="77777777" w:rsidR="009836DA" w:rsidRPr="009836DA" w:rsidRDefault="009836DA" w:rsidP="009836DA">
            <w:pPr>
              <w:jc w:val="right"/>
              <w:rPr>
                <w:rFonts w:ascii="Times New Roman" w:hAnsi="Times New Roman"/>
                <w:sz w:val="18"/>
                <w:szCs w:val="18"/>
              </w:rPr>
            </w:pPr>
            <w:r w:rsidRPr="009836DA">
              <w:rPr>
                <w:rFonts w:ascii="Times New Roman" w:hAnsi="Times New Roman"/>
                <w:sz w:val="18"/>
                <w:szCs w:val="18"/>
              </w:rPr>
              <w:t>$121.00</w:t>
            </w:r>
          </w:p>
        </w:tc>
        <w:tc>
          <w:tcPr>
            <w:tcW w:w="809" w:type="dxa"/>
            <w:tcBorders>
              <w:top w:val="nil"/>
              <w:left w:val="nil"/>
              <w:bottom w:val="single" w:sz="4" w:space="0" w:color="auto"/>
              <w:right w:val="single" w:sz="4" w:space="0" w:color="auto"/>
            </w:tcBorders>
            <w:shd w:val="clear" w:color="auto" w:fill="auto"/>
            <w:noWrap/>
            <w:vAlign w:val="center"/>
            <w:hideMark/>
          </w:tcPr>
          <w:p w14:paraId="341D0011"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171" w:type="dxa"/>
            <w:tcBorders>
              <w:top w:val="nil"/>
              <w:left w:val="nil"/>
              <w:bottom w:val="single" w:sz="4" w:space="0" w:color="auto"/>
              <w:right w:val="single" w:sz="4" w:space="0" w:color="auto"/>
            </w:tcBorders>
            <w:shd w:val="clear" w:color="auto" w:fill="auto"/>
            <w:noWrap/>
            <w:vAlign w:val="center"/>
            <w:hideMark/>
          </w:tcPr>
          <w:p w14:paraId="57986677"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$182,952</w:t>
            </w:r>
          </w:p>
        </w:tc>
        <w:tc>
          <w:tcPr>
            <w:tcW w:w="805" w:type="dxa"/>
            <w:tcBorders>
              <w:top w:val="nil"/>
              <w:left w:val="nil"/>
              <w:bottom w:val="single" w:sz="4" w:space="0" w:color="auto"/>
              <w:right w:val="single" w:sz="4" w:space="0" w:color="auto"/>
            </w:tcBorders>
            <w:shd w:val="clear" w:color="auto" w:fill="auto"/>
            <w:noWrap/>
            <w:vAlign w:val="center"/>
            <w:hideMark/>
          </w:tcPr>
          <w:p w14:paraId="0C9FB85A"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c>
          <w:tcPr>
            <w:tcW w:w="1175" w:type="dxa"/>
            <w:tcBorders>
              <w:top w:val="nil"/>
              <w:left w:val="nil"/>
              <w:bottom w:val="single" w:sz="4" w:space="0" w:color="auto"/>
              <w:right w:val="single" w:sz="4" w:space="0" w:color="auto"/>
            </w:tcBorders>
            <w:shd w:val="clear" w:color="auto" w:fill="auto"/>
            <w:noWrap/>
            <w:vAlign w:val="center"/>
            <w:hideMark/>
          </w:tcPr>
          <w:p w14:paraId="6670155B"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$0</w:t>
            </w:r>
          </w:p>
        </w:tc>
        <w:tc>
          <w:tcPr>
            <w:tcW w:w="739" w:type="dxa"/>
            <w:tcBorders>
              <w:top w:val="nil"/>
              <w:left w:val="nil"/>
              <w:bottom w:val="single" w:sz="4" w:space="0" w:color="auto"/>
              <w:right w:val="single" w:sz="4" w:space="0" w:color="auto"/>
            </w:tcBorders>
            <w:shd w:val="clear" w:color="auto" w:fill="auto"/>
            <w:noWrap/>
            <w:vAlign w:val="center"/>
            <w:hideMark/>
          </w:tcPr>
          <w:p w14:paraId="74F03AE4"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1,512</w:t>
            </w:r>
          </w:p>
        </w:tc>
        <w:tc>
          <w:tcPr>
            <w:tcW w:w="1241" w:type="dxa"/>
            <w:tcBorders>
              <w:top w:val="nil"/>
              <w:left w:val="nil"/>
              <w:bottom w:val="single" w:sz="4" w:space="0" w:color="auto"/>
              <w:right w:val="single" w:sz="4" w:space="0" w:color="auto"/>
            </w:tcBorders>
            <w:shd w:val="clear" w:color="auto" w:fill="auto"/>
            <w:noWrap/>
            <w:vAlign w:val="center"/>
            <w:hideMark/>
          </w:tcPr>
          <w:p w14:paraId="3F10402E" w14:textId="77777777" w:rsidR="009836DA" w:rsidRPr="009836DA" w:rsidRDefault="009836DA" w:rsidP="009836DA">
            <w:pPr>
              <w:jc w:val="right"/>
              <w:rPr>
                <w:rFonts w:ascii="Times New Roman" w:hAnsi="Times New Roman"/>
                <w:color w:val="000000"/>
                <w:sz w:val="18"/>
                <w:szCs w:val="18"/>
              </w:rPr>
            </w:pPr>
            <w:r w:rsidRPr="009836DA">
              <w:rPr>
                <w:rFonts w:ascii="Times New Roman" w:hAnsi="Times New Roman"/>
                <w:color w:val="000000"/>
                <w:sz w:val="18"/>
                <w:szCs w:val="18"/>
              </w:rPr>
              <w:t>$182,952</w:t>
            </w:r>
          </w:p>
        </w:tc>
      </w:tr>
      <w:tr w:rsidR="009836DA" w:rsidRPr="009836DA" w14:paraId="2B4351DA" w14:textId="77777777" w:rsidTr="004A4DF5">
        <w:trPr>
          <w:trHeight w:val="201"/>
        </w:trPr>
        <w:tc>
          <w:tcPr>
            <w:tcW w:w="386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2B9F70" w14:textId="77777777" w:rsidR="009836DA" w:rsidRPr="009836DA" w:rsidRDefault="009836DA" w:rsidP="009836DA">
            <w:pPr>
              <w:jc w:val="right"/>
              <w:rPr>
                <w:rFonts w:ascii="Times New Roman" w:hAnsi="Times New Roman"/>
                <w:b/>
                <w:bCs/>
                <w:color w:val="000000"/>
                <w:sz w:val="18"/>
                <w:szCs w:val="18"/>
              </w:rPr>
            </w:pPr>
            <w:r w:rsidRPr="009836DA">
              <w:rPr>
                <w:rFonts w:ascii="Times New Roman" w:hAnsi="Times New Roman"/>
                <w:b/>
                <w:bCs/>
                <w:color w:val="000000"/>
                <w:sz w:val="18"/>
                <w:szCs w:val="18"/>
              </w:rPr>
              <w:t>Total</w:t>
            </w:r>
          </w:p>
        </w:tc>
        <w:tc>
          <w:tcPr>
            <w:tcW w:w="810" w:type="dxa"/>
            <w:tcBorders>
              <w:top w:val="nil"/>
              <w:left w:val="nil"/>
              <w:bottom w:val="single" w:sz="4" w:space="0" w:color="auto"/>
              <w:right w:val="single" w:sz="4" w:space="0" w:color="auto"/>
            </w:tcBorders>
            <w:shd w:val="clear" w:color="auto" w:fill="auto"/>
            <w:noWrap/>
            <w:vAlign w:val="center"/>
            <w:hideMark/>
          </w:tcPr>
          <w:p w14:paraId="67903F29" w14:textId="77777777" w:rsidR="009836DA" w:rsidRPr="009836DA" w:rsidRDefault="009836DA" w:rsidP="009836DA">
            <w:pPr>
              <w:rPr>
                <w:rFonts w:ascii="Times New Roman" w:hAnsi="Times New Roman"/>
                <w:b/>
                <w:bCs/>
                <w:color w:val="000000"/>
                <w:sz w:val="18"/>
                <w:szCs w:val="18"/>
              </w:rPr>
            </w:pPr>
            <w:r w:rsidRPr="009836DA">
              <w:rPr>
                <w:rFonts w:ascii="Times New Roman" w:hAnsi="Times New Roman"/>
                <w:b/>
                <w:bCs/>
                <w:color w:val="000000"/>
                <w:sz w:val="18"/>
                <w:szCs w:val="18"/>
              </w:rPr>
              <w:t> </w:t>
            </w:r>
          </w:p>
        </w:tc>
        <w:tc>
          <w:tcPr>
            <w:tcW w:w="809" w:type="dxa"/>
            <w:tcBorders>
              <w:top w:val="nil"/>
              <w:left w:val="nil"/>
              <w:bottom w:val="single" w:sz="4" w:space="0" w:color="auto"/>
              <w:right w:val="single" w:sz="4" w:space="0" w:color="auto"/>
            </w:tcBorders>
            <w:shd w:val="clear" w:color="auto" w:fill="auto"/>
            <w:noWrap/>
            <w:vAlign w:val="center"/>
            <w:hideMark/>
          </w:tcPr>
          <w:p w14:paraId="23D3FFEF" w14:textId="77777777" w:rsidR="009836DA" w:rsidRPr="009836DA" w:rsidRDefault="009836DA" w:rsidP="009836DA">
            <w:pPr>
              <w:jc w:val="right"/>
              <w:rPr>
                <w:rFonts w:ascii="Times New Roman" w:hAnsi="Times New Roman"/>
                <w:b/>
                <w:bCs/>
                <w:color w:val="000000"/>
                <w:sz w:val="18"/>
                <w:szCs w:val="18"/>
              </w:rPr>
            </w:pPr>
            <w:r w:rsidRPr="009836DA">
              <w:rPr>
                <w:rFonts w:ascii="Times New Roman" w:hAnsi="Times New Roman"/>
                <w:b/>
                <w:bCs/>
                <w:color w:val="000000"/>
                <w:sz w:val="18"/>
                <w:szCs w:val="18"/>
              </w:rPr>
              <w:t>23,376</w:t>
            </w:r>
          </w:p>
        </w:tc>
        <w:tc>
          <w:tcPr>
            <w:tcW w:w="1171" w:type="dxa"/>
            <w:tcBorders>
              <w:top w:val="nil"/>
              <w:left w:val="nil"/>
              <w:bottom w:val="single" w:sz="4" w:space="0" w:color="auto"/>
              <w:right w:val="single" w:sz="4" w:space="0" w:color="auto"/>
            </w:tcBorders>
            <w:shd w:val="clear" w:color="auto" w:fill="auto"/>
            <w:noWrap/>
            <w:vAlign w:val="center"/>
            <w:hideMark/>
          </w:tcPr>
          <w:p w14:paraId="170E26DA" w14:textId="77777777" w:rsidR="009836DA" w:rsidRPr="009836DA" w:rsidRDefault="009836DA" w:rsidP="009836DA">
            <w:pPr>
              <w:jc w:val="right"/>
              <w:rPr>
                <w:rFonts w:ascii="Times New Roman" w:hAnsi="Times New Roman"/>
                <w:b/>
                <w:bCs/>
                <w:color w:val="000000"/>
                <w:sz w:val="18"/>
                <w:szCs w:val="18"/>
              </w:rPr>
            </w:pPr>
            <w:r w:rsidRPr="009836DA">
              <w:rPr>
                <w:rFonts w:ascii="Times New Roman" w:hAnsi="Times New Roman"/>
                <w:b/>
                <w:bCs/>
                <w:color w:val="000000"/>
                <w:sz w:val="18"/>
                <w:szCs w:val="18"/>
              </w:rPr>
              <w:t>$3,102,629</w:t>
            </w:r>
          </w:p>
        </w:tc>
        <w:tc>
          <w:tcPr>
            <w:tcW w:w="805" w:type="dxa"/>
            <w:tcBorders>
              <w:top w:val="nil"/>
              <w:left w:val="nil"/>
              <w:bottom w:val="single" w:sz="4" w:space="0" w:color="auto"/>
              <w:right w:val="single" w:sz="4" w:space="0" w:color="auto"/>
            </w:tcBorders>
            <w:shd w:val="clear" w:color="auto" w:fill="auto"/>
            <w:noWrap/>
            <w:vAlign w:val="center"/>
            <w:hideMark/>
          </w:tcPr>
          <w:p w14:paraId="14F5476C" w14:textId="77777777" w:rsidR="009836DA" w:rsidRPr="009836DA" w:rsidRDefault="009836DA" w:rsidP="009836DA">
            <w:pPr>
              <w:jc w:val="right"/>
              <w:rPr>
                <w:rFonts w:ascii="Times New Roman" w:hAnsi="Times New Roman"/>
                <w:b/>
                <w:bCs/>
                <w:color w:val="000000"/>
                <w:sz w:val="18"/>
                <w:szCs w:val="18"/>
              </w:rPr>
            </w:pPr>
            <w:r w:rsidRPr="009836DA">
              <w:rPr>
                <w:rFonts w:ascii="Times New Roman" w:hAnsi="Times New Roman"/>
                <w:b/>
                <w:bCs/>
                <w:color w:val="000000"/>
                <w:sz w:val="18"/>
                <w:szCs w:val="18"/>
              </w:rPr>
              <w:t>14,304</w:t>
            </w:r>
          </w:p>
        </w:tc>
        <w:tc>
          <w:tcPr>
            <w:tcW w:w="1175" w:type="dxa"/>
            <w:tcBorders>
              <w:top w:val="nil"/>
              <w:left w:val="nil"/>
              <w:bottom w:val="single" w:sz="4" w:space="0" w:color="auto"/>
              <w:right w:val="single" w:sz="4" w:space="0" w:color="auto"/>
            </w:tcBorders>
            <w:shd w:val="clear" w:color="auto" w:fill="auto"/>
            <w:noWrap/>
            <w:vAlign w:val="center"/>
            <w:hideMark/>
          </w:tcPr>
          <w:p w14:paraId="20C1C5FD" w14:textId="77777777" w:rsidR="009836DA" w:rsidRPr="009836DA" w:rsidRDefault="009836DA" w:rsidP="009836DA">
            <w:pPr>
              <w:jc w:val="right"/>
              <w:rPr>
                <w:rFonts w:ascii="Times New Roman" w:hAnsi="Times New Roman"/>
                <w:b/>
                <w:bCs/>
                <w:color w:val="000000"/>
                <w:sz w:val="18"/>
                <w:szCs w:val="18"/>
              </w:rPr>
            </w:pPr>
            <w:r w:rsidRPr="009836DA">
              <w:rPr>
                <w:rFonts w:ascii="Times New Roman" w:hAnsi="Times New Roman"/>
                <w:b/>
                <w:bCs/>
                <w:color w:val="000000"/>
                <w:sz w:val="18"/>
                <w:szCs w:val="18"/>
              </w:rPr>
              <w:t>$1,893,560</w:t>
            </w:r>
          </w:p>
        </w:tc>
        <w:tc>
          <w:tcPr>
            <w:tcW w:w="739" w:type="dxa"/>
            <w:tcBorders>
              <w:top w:val="nil"/>
              <w:left w:val="nil"/>
              <w:bottom w:val="single" w:sz="4" w:space="0" w:color="auto"/>
              <w:right w:val="single" w:sz="4" w:space="0" w:color="auto"/>
            </w:tcBorders>
            <w:shd w:val="clear" w:color="auto" w:fill="auto"/>
            <w:noWrap/>
            <w:vAlign w:val="center"/>
            <w:hideMark/>
          </w:tcPr>
          <w:p w14:paraId="44D546E3" w14:textId="77777777" w:rsidR="009836DA" w:rsidRPr="009836DA" w:rsidRDefault="009836DA" w:rsidP="009836DA">
            <w:pPr>
              <w:jc w:val="right"/>
              <w:rPr>
                <w:rFonts w:ascii="Times New Roman" w:hAnsi="Times New Roman"/>
                <w:b/>
                <w:bCs/>
                <w:color w:val="000000"/>
                <w:sz w:val="18"/>
                <w:szCs w:val="18"/>
              </w:rPr>
            </w:pPr>
            <w:r w:rsidRPr="009836DA">
              <w:rPr>
                <w:rFonts w:ascii="Times New Roman" w:hAnsi="Times New Roman"/>
                <w:b/>
                <w:bCs/>
                <w:color w:val="000000"/>
                <w:sz w:val="18"/>
                <w:szCs w:val="18"/>
              </w:rPr>
              <w:t>9,072</w:t>
            </w:r>
          </w:p>
        </w:tc>
        <w:tc>
          <w:tcPr>
            <w:tcW w:w="1241" w:type="dxa"/>
            <w:tcBorders>
              <w:top w:val="nil"/>
              <w:left w:val="nil"/>
              <w:bottom w:val="single" w:sz="4" w:space="0" w:color="auto"/>
              <w:right w:val="single" w:sz="4" w:space="0" w:color="auto"/>
            </w:tcBorders>
            <w:shd w:val="clear" w:color="auto" w:fill="auto"/>
            <w:noWrap/>
            <w:vAlign w:val="center"/>
            <w:hideMark/>
          </w:tcPr>
          <w:p w14:paraId="450D5359" w14:textId="77777777" w:rsidR="009836DA" w:rsidRPr="009836DA" w:rsidRDefault="009836DA" w:rsidP="009836DA">
            <w:pPr>
              <w:jc w:val="right"/>
              <w:rPr>
                <w:rFonts w:ascii="Times New Roman" w:hAnsi="Times New Roman"/>
                <w:b/>
                <w:bCs/>
                <w:color w:val="000000"/>
                <w:sz w:val="18"/>
                <w:szCs w:val="18"/>
              </w:rPr>
            </w:pPr>
            <w:r w:rsidRPr="009836DA">
              <w:rPr>
                <w:rFonts w:ascii="Times New Roman" w:hAnsi="Times New Roman"/>
                <w:b/>
                <w:bCs/>
                <w:color w:val="000000"/>
                <w:sz w:val="18"/>
                <w:szCs w:val="18"/>
              </w:rPr>
              <w:t>$1,209,069</w:t>
            </w:r>
          </w:p>
        </w:tc>
      </w:tr>
    </w:tbl>
    <w:p w14:paraId="5A82A74E" w14:textId="77777777" w:rsidR="00F43A01" w:rsidRDefault="00F43A01" w:rsidP="004A4DF5"/>
    <w:p w14:paraId="6E61673B" w14:textId="726F79A8" w:rsidR="0000795C" w:rsidRDefault="0000795C" w:rsidP="0000795C">
      <w:pPr>
        <w:ind w:left="720"/>
        <w:rPr>
          <w:rFonts w:cs="Arial"/>
          <w:szCs w:val="22"/>
        </w:rPr>
      </w:pPr>
      <w:r w:rsidRPr="00BD68C2">
        <w:rPr>
          <w:rFonts w:cs="Arial"/>
          <w:szCs w:val="22"/>
        </w:rPr>
        <w:t>First Data’s obligation to perform under this Change Order and the Agreement, including Quality Assurance Services, are deemed to be complete, and shall terminate and expire, upon the termination of this Agreement.</w:t>
      </w:r>
    </w:p>
    <w:p w14:paraId="29C221D2" w14:textId="77777777" w:rsidR="00366115" w:rsidRDefault="00366115" w:rsidP="0084275F">
      <w:pPr>
        <w:ind w:left="720"/>
      </w:pPr>
      <w:bookmarkStart w:id="2" w:name="RANGE!A1:D4"/>
      <w:bookmarkEnd w:id="2"/>
    </w:p>
    <w:p w14:paraId="1798319C" w14:textId="77777777" w:rsidR="004A09A8" w:rsidRDefault="004A09A8" w:rsidP="00B234EA">
      <w:pPr>
        <w:pStyle w:val="Heading1"/>
      </w:pPr>
      <w:r>
        <w:t>Impact on the Agreement:</w:t>
      </w:r>
    </w:p>
    <w:p w14:paraId="44B3E99D" w14:textId="77777777" w:rsidR="004A09A8" w:rsidRDefault="004A09A8">
      <w:pPr>
        <w:pStyle w:val="BodyTextIndent2"/>
        <w:ind w:left="0"/>
      </w:pPr>
    </w:p>
    <w:p w14:paraId="451611DD" w14:textId="77777777" w:rsidR="004A09A8" w:rsidRDefault="004A09A8">
      <w:pPr>
        <w:pStyle w:val="BodyTextIndent2"/>
      </w:pPr>
      <w:r w:rsidRPr="00D55073">
        <w:t xml:space="preserve">The changes outlined in this Change Order are incorporated into the </w:t>
      </w:r>
      <w:r w:rsidR="00F111E3">
        <w:t>Agreement</w:t>
      </w:r>
      <w:r w:rsidR="00271D65">
        <w:t xml:space="preserve"> </w:t>
      </w:r>
      <w:r w:rsidRPr="00D55073">
        <w:t>as follows:</w:t>
      </w:r>
    </w:p>
    <w:p w14:paraId="7AB81F5A" w14:textId="77777777" w:rsidR="004A09A8" w:rsidRDefault="004A09A8">
      <w:pPr>
        <w:pStyle w:val="BodyTextIndent2"/>
        <w:ind w:left="1440"/>
      </w:pPr>
    </w:p>
    <w:p w14:paraId="0497B842" w14:textId="77777777" w:rsidR="004A09A8" w:rsidRDefault="004A09A8" w:rsidP="007D6754">
      <w:pPr>
        <w:pStyle w:val="BulletLevel1"/>
      </w:pPr>
      <w:r>
        <w:t>Exhibit A, Financial Matters – The total increase to the Prices and Charges under the Agreement is incorporated into Sections A, C and D.</w:t>
      </w:r>
    </w:p>
    <w:p w14:paraId="4B84797E" w14:textId="77777777" w:rsidR="004A09A8" w:rsidRDefault="004A09A8" w:rsidP="004A4DF5">
      <w:pPr>
        <w:pStyle w:val="Heading1"/>
        <w:spacing w:before="120"/>
      </w:pPr>
      <w:r>
        <w:br w:type="page"/>
      </w:r>
      <w:r>
        <w:lastRenderedPageBreak/>
        <w:t>Change Order Approval</w:t>
      </w:r>
    </w:p>
    <w:p w14:paraId="3435B57C" w14:textId="77777777" w:rsidR="004A09A8" w:rsidRDefault="004A09A8">
      <w:pPr>
        <w:pStyle w:val="Informal1"/>
        <w:spacing w:before="0" w:after="0"/>
        <w:rPr>
          <w:rFonts w:ascii="Book Antiqua" w:hAnsi="Book Antiqua"/>
          <w:noProof w:val="0"/>
          <w:sz w:val="22"/>
        </w:rPr>
      </w:pPr>
    </w:p>
    <w:p w14:paraId="4D640409" w14:textId="4BBF91E4" w:rsidR="004A09A8" w:rsidRPr="004A4DF5" w:rsidRDefault="004A09A8" w:rsidP="00B234EA">
      <w:pPr>
        <w:ind w:left="720"/>
        <w:rPr>
          <w:b/>
        </w:rPr>
      </w:pPr>
      <w:r w:rsidRPr="004A4DF5">
        <w:rPr>
          <w:b/>
        </w:rPr>
        <w:t>Subject:</w:t>
      </w:r>
      <w:r w:rsidR="002F2558" w:rsidRPr="004A4DF5">
        <w:rPr>
          <w:b/>
        </w:rPr>
        <w:t xml:space="preserve">  </w:t>
      </w:r>
      <w:r w:rsidRPr="004A4DF5">
        <w:rPr>
          <w:b/>
          <w:u w:val="single"/>
        </w:rPr>
        <w:t>Change Order CO-</w:t>
      </w:r>
      <w:r w:rsidR="002B6EB8" w:rsidRPr="004A4DF5">
        <w:rPr>
          <w:b/>
          <w:u w:val="single"/>
        </w:rPr>
        <w:t>0</w:t>
      </w:r>
      <w:r w:rsidR="004C6949" w:rsidRPr="004A4DF5">
        <w:rPr>
          <w:b/>
          <w:u w:val="single"/>
        </w:rPr>
        <w:t>31</w:t>
      </w:r>
      <w:r w:rsidR="00D70779" w:rsidRPr="004A4DF5">
        <w:rPr>
          <w:b/>
          <w:u w:val="single"/>
        </w:rPr>
        <w:t xml:space="preserve"> Rev</w:t>
      </w:r>
      <w:r w:rsidR="00685170" w:rsidRPr="004A4DF5">
        <w:rPr>
          <w:b/>
          <w:u w:val="single"/>
        </w:rPr>
        <w:t xml:space="preserve"> </w:t>
      </w:r>
      <w:r w:rsidR="00A7460C" w:rsidRPr="004A4DF5">
        <w:rPr>
          <w:b/>
          <w:u w:val="single"/>
        </w:rPr>
        <w:t>3</w:t>
      </w:r>
      <w:r w:rsidR="004C6949" w:rsidRPr="004A4DF5">
        <w:rPr>
          <w:b/>
          <w:u w:val="single"/>
        </w:rPr>
        <w:t xml:space="preserve">, </w:t>
      </w:r>
      <w:r w:rsidR="00116D96" w:rsidRPr="004A4DF5">
        <w:rPr>
          <w:b/>
          <w:u w:val="single"/>
        </w:rPr>
        <w:t xml:space="preserve">C-IV </w:t>
      </w:r>
      <w:r w:rsidR="004C6949" w:rsidRPr="004A4DF5">
        <w:rPr>
          <w:b/>
          <w:u w:val="single"/>
        </w:rPr>
        <w:t>Migration Planning</w:t>
      </w:r>
    </w:p>
    <w:p w14:paraId="10FBB3D9" w14:textId="77777777" w:rsidR="004A09A8" w:rsidRDefault="004A09A8"/>
    <w:p w14:paraId="232F58DC" w14:textId="77777777" w:rsidR="004A09A8" w:rsidRDefault="004A09A8"/>
    <w:p w14:paraId="6A70BF45" w14:textId="65D2D603" w:rsidR="004A09A8" w:rsidRDefault="004A09A8" w:rsidP="00B234EA">
      <w:pPr>
        <w:ind w:left="720"/>
      </w:pPr>
      <w:r>
        <w:t xml:space="preserve">The subject document is accepted as allowing First Data to proceed with Change Order </w:t>
      </w:r>
      <w:r w:rsidR="00396235">
        <w:t>CO-031</w:t>
      </w:r>
      <w:r w:rsidR="00D70779">
        <w:t xml:space="preserve"> Rev</w:t>
      </w:r>
      <w:r w:rsidR="00685170">
        <w:rPr>
          <w:b/>
          <w:bCs/>
        </w:rPr>
        <w:t xml:space="preserve"> </w:t>
      </w:r>
      <w:r w:rsidR="00A7460C">
        <w:rPr>
          <w:b/>
          <w:bCs/>
        </w:rPr>
        <w:t xml:space="preserve">3 </w:t>
      </w:r>
      <w:r w:rsidR="00A32E65">
        <w:t xml:space="preserve">– </w:t>
      </w:r>
      <w:r w:rsidR="00116D96">
        <w:t xml:space="preserve">C-IV </w:t>
      </w:r>
      <w:r w:rsidR="004C6949">
        <w:t>Migration Planning</w:t>
      </w:r>
      <w:r w:rsidRPr="00E43826">
        <w:t>.</w:t>
      </w:r>
    </w:p>
    <w:p w14:paraId="0266A19F" w14:textId="77777777" w:rsidR="004A09A8" w:rsidRDefault="004A09A8">
      <w:pPr>
        <w:ind w:left="720"/>
      </w:pPr>
    </w:p>
    <w:p w14:paraId="3653054A" w14:textId="77777777" w:rsidR="004A09A8" w:rsidRDefault="004A09A8">
      <w:pPr>
        <w:ind w:left="720"/>
      </w:pPr>
    </w:p>
    <w:p w14:paraId="29FEA807" w14:textId="77777777" w:rsidR="004A09A8" w:rsidRDefault="004A09A8">
      <w:pPr>
        <w:ind w:left="720"/>
      </w:pPr>
    </w:p>
    <w:p w14:paraId="2980CB3E" w14:textId="3E742A88" w:rsidR="004A09A8" w:rsidRDefault="00B234EA">
      <w:pPr>
        <w:ind w:left="810"/>
        <w:rPr>
          <w:b/>
        </w:rPr>
      </w:pPr>
      <w:r>
        <w:rPr>
          <w:b/>
        </w:rPr>
        <w:t xml:space="preserve">CALIFORNIA </w:t>
      </w:r>
      <w:r w:rsidR="002F2558">
        <w:rPr>
          <w:b/>
        </w:rPr>
        <w:t xml:space="preserve">AUTOMATED </w:t>
      </w:r>
      <w:r w:rsidR="004A09A8">
        <w:rPr>
          <w:b/>
        </w:rPr>
        <w:t>CONSORTIUM-</w:t>
      </w:r>
      <w:r w:rsidR="002F2558">
        <w:rPr>
          <w:b/>
        </w:rPr>
        <w:t>ELIGIBILITY SYSTEM</w:t>
      </w:r>
    </w:p>
    <w:p w14:paraId="4D01D3ED" w14:textId="77777777" w:rsidR="004A09A8" w:rsidRDefault="004A09A8">
      <w:pPr>
        <w:ind w:left="810"/>
        <w:rPr>
          <w:b/>
        </w:rPr>
      </w:pPr>
    </w:p>
    <w:p w14:paraId="5A2C1319" w14:textId="77777777" w:rsidR="004A09A8" w:rsidRDefault="004A09A8">
      <w:pPr>
        <w:ind w:left="810"/>
      </w:pPr>
      <w:r>
        <w:t>By:</w:t>
      </w:r>
      <w:r>
        <w:rPr>
          <w:u w:val="single"/>
        </w:rPr>
        <w:tab/>
      </w:r>
      <w:r>
        <w:rPr>
          <w:u w:val="single"/>
        </w:rPr>
        <w:tab/>
      </w:r>
      <w:r>
        <w:rPr>
          <w:u w:val="single"/>
        </w:rPr>
        <w:tab/>
      </w:r>
      <w:r>
        <w:rPr>
          <w:u w:val="single"/>
        </w:rPr>
        <w:tab/>
      </w:r>
      <w:r>
        <w:rPr>
          <w:u w:val="single"/>
        </w:rPr>
        <w:tab/>
      </w:r>
      <w:r>
        <w:rPr>
          <w:u w:val="single"/>
        </w:rPr>
        <w:tab/>
      </w:r>
      <w:r>
        <w:br/>
        <w:t>Printed Name:</w:t>
      </w:r>
      <w:r>
        <w:rPr>
          <w:u w:val="single"/>
        </w:rPr>
        <w:tab/>
      </w:r>
      <w:r>
        <w:rPr>
          <w:u w:val="single"/>
        </w:rPr>
        <w:tab/>
      </w:r>
      <w:r>
        <w:rPr>
          <w:u w:val="single"/>
        </w:rPr>
        <w:tab/>
      </w:r>
      <w:r>
        <w:rPr>
          <w:u w:val="single"/>
        </w:rPr>
        <w:tab/>
      </w:r>
      <w:r>
        <w:br/>
        <w:t>Title:</w:t>
      </w:r>
      <w:r>
        <w:rPr>
          <w:u w:val="single"/>
        </w:rPr>
        <w:tab/>
      </w:r>
      <w:r>
        <w:rPr>
          <w:u w:val="single"/>
        </w:rPr>
        <w:tab/>
      </w:r>
      <w:r>
        <w:rPr>
          <w:u w:val="single"/>
        </w:rPr>
        <w:tab/>
      </w:r>
      <w:r>
        <w:rPr>
          <w:u w:val="single"/>
        </w:rPr>
        <w:tab/>
      </w:r>
      <w:r>
        <w:rPr>
          <w:u w:val="single"/>
        </w:rPr>
        <w:tab/>
      </w:r>
      <w:r>
        <w:rPr>
          <w:u w:val="single"/>
        </w:rPr>
        <w:tab/>
      </w:r>
    </w:p>
    <w:p w14:paraId="67E5846A" w14:textId="77777777" w:rsidR="004A09A8" w:rsidRDefault="004A09A8">
      <w:pPr>
        <w:ind w:left="810"/>
      </w:pPr>
      <w:r>
        <w:t>Date:</w:t>
      </w:r>
      <w:r>
        <w:rPr>
          <w:u w:val="single"/>
        </w:rPr>
        <w:tab/>
      </w:r>
      <w:r>
        <w:rPr>
          <w:u w:val="single"/>
        </w:rPr>
        <w:tab/>
      </w:r>
      <w:r>
        <w:rPr>
          <w:u w:val="single"/>
        </w:rPr>
        <w:tab/>
      </w:r>
      <w:r>
        <w:rPr>
          <w:u w:val="single"/>
        </w:rPr>
        <w:tab/>
      </w:r>
      <w:r>
        <w:rPr>
          <w:u w:val="single"/>
        </w:rPr>
        <w:tab/>
      </w:r>
      <w:r>
        <w:rPr>
          <w:u w:val="single"/>
        </w:rPr>
        <w:tab/>
      </w:r>
    </w:p>
    <w:p w14:paraId="6B15CAA5" w14:textId="77777777" w:rsidR="004A09A8" w:rsidRDefault="004A09A8">
      <w:pPr>
        <w:ind w:left="810"/>
      </w:pPr>
    </w:p>
    <w:p w14:paraId="3E0C0A9C" w14:textId="77777777" w:rsidR="004B691C" w:rsidRDefault="004B691C" w:rsidP="004B691C">
      <w:pPr>
        <w:tabs>
          <w:tab w:val="left" w:pos="5040"/>
          <w:tab w:val="right" w:pos="9360"/>
        </w:tabs>
        <w:ind w:left="720" w:firstLine="90"/>
      </w:pPr>
      <w:r>
        <w:t xml:space="preserve">By:   </w:t>
      </w:r>
      <w:r>
        <w:rPr>
          <w:u w:val="single"/>
        </w:rPr>
        <w:tab/>
      </w:r>
    </w:p>
    <w:p w14:paraId="6EFFE773" w14:textId="3B98C916" w:rsidR="004B691C" w:rsidRDefault="004B691C" w:rsidP="004B691C">
      <w:pPr>
        <w:tabs>
          <w:tab w:val="left" w:pos="5040"/>
          <w:tab w:val="right" w:pos="9360"/>
        </w:tabs>
        <w:ind w:left="720" w:firstLine="90"/>
      </w:pPr>
      <w:r>
        <w:t>Printed Name:</w:t>
      </w:r>
      <w:r w:rsidRPr="003C797D">
        <w:rPr>
          <w:u w:val="single"/>
        </w:rPr>
        <w:tab/>
      </w:r>
    </w:p>
    <w:p w14:paraId="6A5F0C61" w14:textId="30B58B19" w:rsidR="004B691C" w:rsidRDefault="004B691C" w:rsidP="004B691C">
      <w:pPr>
        <w:tabs>
          <w:tab w:val="left" w:pos="5040"/>
          <w:tab w:val="right" w:pos="9360"/>
        </w:tabs>
        <w:ind w:left="720" w:firstLine="90"/>
      </w:pPr>
      <w:r>
        <w:t>Title:</w:t>
      </w:r>
      <w:r w:rsidRPr="003C797D">
        <w:rPr>
          <w:u w:val="single"/>
        </w:rPr>
        <w:tab/>
      </w:r>
    </w:p>
    <w:p w14:paraId="5B6ACAC4" w14:textId="77777777" w:rsidR="004B691C" w:rsidRDefault="004B691C" w:rsidP="004B691C">
      <w:pPr>
        <w:tabs>
          <w:tab w:val="left" w:pos="5040"/>
          <w:tab w:val="right" w:pos="9360"/>
        </w:tabs>
        <w:ind w:left="720" w:firstLine="90"/>
        <w:rPr>
          <w:u w:val="single"/>
        </w:rPr>
      </w:pPr>
      <w:r>
        <w:t xml:space="preserve">Date:  </w:t>
      </w:r>
      <w:r>
        <w:rPr>
          <w:u w:val="single"/>
        </w:rPr>
        <w:tab/>
      </w:r>
    </w:p>
    <w:p w14:paraId="2AF19FC4" w14:textId="77777777" w:rsidR="004B691C" w:rsidRDefault="004B691C">
      <w:pPr>
        <w:ind w:left="810"/>
      </w:pPr>
    </w:p>
    <w:p w14:paraId="128ADE86" w14:textId="77777777" w:rsidR="004B691C" w:rsidRDefault="004B691C">
      <w:pPr>
        <w:ind w:left="810"/>
      </w:pPr>
    </w:p>
    <w:p w14:paraId="7487769F" w14:textId="77777777" w:rsidR="004A09A8" w:rsidRDefault="004A09A8">
      <w:pPr>
        <w:ind w:left="810"/>
      </w:pPr>
      <w:r>
        <w:t>Notice Address:</w:t>
      </w:r>
    </w:p>
    <w:p w14:paraId="0BDE9798" w14:textId="3FFC33A9" w:rsidR="004A09A8" w:rsidRDefault="002F2558">
      <w:pPr>
        <w:ind w:left="810"/>
        <w:rPr>
          <w:snapToGrid w:val="0"/>
        </w:rPr>
      </w:pPr>
      <w:r w:rsidRPr="002F2558">
        <w:t>California Automated Consortium Eligibility System</w:t>
      </w:r>
      <w:r w:rsidRPr="002F2558" w:rsidDel="002F2558">
        <w:t xml:space="preserve"> </w:t>
      </w:r>
      <w:r w:rsidR="004A09A8">
        <w:br/>
        <w:t xml:space="preserve">Attention: </w:t>
      </w:r>
      <w:r w:rsidR="00CE309C">
        <w:t>Executive</w:t>
      </w:r>
      <w:r w:rsidR="004A09A8">
        <w:t xml:space="preserve"> Director</w:t>
      </w:r>
      <w:r w:rsidR="004A09A8">
        <w:br/>
        <w:t>11290</w:t>
      </w:r>
      <w:r w:rsidR="004A09A8">
        <w:rPr>
          <w:snapToGrid w:val="0"/>
        </w:rPr>
        <w:t xml:space="preserve"> Pyrites Way, Suite 150</w:t>
      </w:r>
    </w:p>
    <w:p w14:paraId="756A4FFF" w14:textId="77777777" w:rsidR="004A09A8" w:rsidRDefault="004A09A8">
      <w:pPr>
        <w:ind w:left="810"/>
        <w:jc w:val="both"/>
      </w:pPr>
      <w:smartTag w:uri="urn:schemas-microsoft-com:office:smarttags" w:element="City">
        <w:smartTag w:uri="urn:schemas-microsoft-com:office:smarttags" w:element="place">
          <w:r>
            <w:rPr>
              <w:snapToGrid w:val="0"/>
            </w:rPr>
            <w:t>Rancho Cordova</w:t>
          </w:r>
        </w:smartTag>
        <w:r>
          <w:rPr>
            <w:snapToGrid w:val="0"/>
          </w:rPr>
          <w:t xml:space="preserve">, </w:t>
        </w:r>
        <w:smartTag w:uri="urn:schemas-microsoft-com:office:smarttags" w:element="State">
          <w:r>
            <w:rPr>
              <w:snapToGrid w:val="0"/>
            </w:rPr>
            <w:t>CA</w:t>
          </w:r>
        </w:smartTag>
        <w:r>
          <w:rPr>
            <w:snapToGrid w:val="0"/>
          </w:rPr>
          <w:t xml:space="preserve">  </w:t>
        </w:r>
        <w:smartTag w:uri="urn:schemas-microsoft-com:office:smarttags" w:element="PostalCode">
          <w:r>
            <w:rPr>
              <w:snapToGrid w:val="0"/>
            </w:rPr>
            <w:t>95670-4481</w:t>
          </w:r>
        </w:smartTag>
      </w:smartTag>
    </w:p>
    <w:sectPr w:rsidR="004A09A8" w:rsidSect="00C91EA9">
      <w:headerReference w:type="even" r:id="rId10"/>
      <w:headerReference w:type="default" r:id="rId11"/>
      <w:footerReference w:type="even" r:id="rId12"/>
      <w:footerReference w:type="default" r:id="rId13"/>
      <w:headerReference w:type="first" r:id="rId14"/>
      <w:pgSz w:w="12240" w:h="15840" w:code="1"/>
      <w:pgMar w:top="1886" w:right="1440" w:bottom="720" w:left="720" w:header="864" w:footer="806" w:gutter="0"/>
      <w:paperSrc w:other="15"/>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231EF" w14:textId="77777777" w:rsidR="00F408F6" w:rsidRDefault="00F408F6">
      <w:r>
        <w:separator/>
      </w:r>
    </w:p>
  </w:endnote>
  <w:endnote w:type="continuationSeparator" w:id="0">
    <w:p w14:paraId="33A5461E" w14:textId="77777777" w:rsidR="00F408F6" w:rsidRDefault="00F40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189F2" w14:textId="77777777" w:rsidR="00F408F6" w:rsidRDefault="00F408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85E214" w14:textId="77777777" w:rsidR="00F408F6" w:rsidRDefault="00F408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15A65" w14:textId="325633F3" w:rsidR="00F408F6" w:rsidRDefault="00F408F6" w:rsidP="00171AF7">
    <w:pPr>
      <w:pStyle w:val="Footer"/>
      <w:framePr w:wrap="around" w:vAnchor="text" w:hAnchor="page" w:x="5416" w:y="480"/>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CE309C">
      <w:rPr>
        <w:rStyle w:val="PageNumber"/>
        <w:noProof/>
      </w:rPr>
      <w:t>10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CE309C">
      <w:rPr>
        <w:rStyle w:val="PageNumber"/>
        <w:noProof/>
      </w:rPr>
      <w:t>10</w:t>
    </w:r>
    <w:r>
      <w:rPr>
        <w:rStyle w:val="PageNumber"/>
      </w:rPr>
      <w:fldChar w:fldCharType="end"/>
    </w:r>
  </w:p>
  <w:p w14:paraId="76559F8B" w14:textId="2C13915B" w:rsidR="00F408F6" w:rsidRDefault="00F408F6" w:rsidP="00171AF7">
    <w:pPr>
      <w:pStyle w:val="Footer"/>
      <w:tabs>
        <w:tab w:val="clear" w:pos="8640"/>
        <w:tab w:val="right" w:pos="10080"/>
      </w:tabs>
      <w:spacing w:before="120"/>
      <w:ind w:left="86"/>
    </w:pPr>
    <w:r>
      <w:t xml:space="preserve">January </w:t>
    </w:r>
    <w:r w:rsidR="00C570EA" w:rsidRPr="004A4DF5">
      <w:t>26</w:t>
    </w:r>
    <w:r>
      <w:t>, 2018</w:t>
    </w:r>
    <w:r>
      <w:tab/>
    </w:r>
    <w:r>
      <w:tab/>
    </w:r>
    <w:r w:rsidRPr="00E43826">
      <w:t>CO-</w:t>
    </w:r>
    <w:r>
      <w:t>031 Rev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EDB2A" w14:textId="77777777" w:rsidR="00F408F6" w:rsidRDefault="00F408F6">
      <w:r>
        <w:separator/>
      </w:r>
    </w:p>
  </w:footnote>
  <w:footnote w:type="continuationSeparator" w:id="0">
    <w:p w14:paraId="71892B96" w14:textId="77777777" w:rsidR="00F408F6" w:rsidRDefault="00F40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BA03E" w14:textId="77777777" w:rsidR="00F408F6" w:rsidRDefault="00F408F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3F4916" w14:textId="77777777" w:rsidR="00F408F6" w:rsidRDefault="00F408F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0F201" w14:textId="5ABCCBA7" w:rsidR="00F408F6" w:rsidRPr="00867515" w:rsidRDefault="00F408F6" w:rsidP="0013016B">
    <w:pPr>
      <w:pStyle w:val="Header"/>
      <w:ind w:left="270" w:firstLine="810"/>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A43AC" w14:textId="77777777" w:rsidR="00F408F6" w:rsidRDefault="00F408F6">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9941422"/>
    <w:multiLevelType w:val="hybridMultilevel"/>
    <w:tmpl w:val="3A9CF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D28E4"/>
    <w:multiLevelType w:val="hybridMultilevel"/>
    <w:tmpl w:val="144893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4F3965"/>
    <w:multiLevelType w:val="hybridMultilevel"/>
    <w:tmpl w:val="1DA4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868B4"/>
    <w:multiLevelType w:val="hybridMultilevel"/>
    <w:tmpl w:val="65E2F2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6" w15:restartNumberingAfterBreak="0">
    <w:nsid w:val="19894884"/>
    <w:multiLevelType w:val="hybridMultilevel"/>
    <w:tmpl w:val="8500D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515EA5"/>
    <w:multiLevelType w:val="hybridMultilevel"/>
    <w:tmpl w:val="6D1E7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9"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24627B94"/>
    <w:multiLevelType w:val="hybridMultilevel"/>
    <w:tmpl w:val="786AED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22300D"/>
    <w:multiLevelType w:val="hybridMultilevel"/>
    <w:tmpl w:val="2AEC181A"/>
    <w:lvl w:ilvl="0" w:tplc="1566390E">
      <w:start w:val="1"/>
      <w:numFmt w:val="upp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1640865"/>
    <w:multiLevelType w:val="hybridMultilevel"/>
    <w:tmpl w:val="8AAE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E7384"/>
    <w:multiLevelType w:val="hybridMultilevel"/>
    <w:tmpl w:val="13085E56"/>
    <w:lvl w:ilvl="0" w:tplc="E7B46BCE">
      <w:start w:val="1"/>
      <w:numFmt w:val="bullet"/>
      <w:pStyle w:val="List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0B13E5"/>
    <w:multiLevelType w:val="hybridMultilevel"/>
    <w:tmpl w:val="B93818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F65E13"/>
    <w:multiLevelType w:val="hybridMultilevel"/>
    <w:tmpl w:val="A060E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7A65F3B"/>
    <w:multiLevelType w:val="hybridMultilevel"/>
    <w:tmpl w:val="6E32D25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15:restartNumberingAfterBreak="0">
    <w:nsid w:val="48384F35"/>
    <w:multiLevelType w:val="hybridMultilevel"/>
    <w:tmpl w:val="3DF66D6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95C19A7"/>
    <w:multiLevelType w:val="hybridMultilevel"/>
    <w:tmpl w:val="847E5B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BA3767A"/>
    <w:multiLevelType w:val="hybridMultilevel"/>
    <w:tmpl w:val="D668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CB5F4C"/>
    <w:multiLevelType w:val="hybridMultilevel"/>
    <w:tmpl w:val="48A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412F9"/>
    <w:multiLevelType w:val="hybridMultilevel"/>
    <w:tmpl w:val="3FF4D328"/>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C7120A"/>
    <w:multiLevelType w:val="multilevel"/>
    <w:tmpl w:val="87D6B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53C87998"/>
    <w:multiLevelType w:val="hybridMultilevel"/>
    <w:tmpl w:val="FCB8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5862BC0"/>
    <w:multiLevelType w:val="hybridMultilevel"/>
    <w:tmpl w:val="5F76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8B5824"/>
    <w:multiLevelType w:val="hybridMultilevel"/>
    <w:tmpl w:val="46520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AD32A12"/>
    <w:multiLevelType w:val="hybridMultilevel"/>
    <w:tmpl w:val="64E4FC26"/>
    <w:lvl w:ilvl="0" w:tplc="178817F2">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DA019D1"/>
    <w:multiLevelType w:val="hybridMultilevel"/>
    <w:tmpl w:val="7B38B8C0"/>
    <w:lvl w:ilvl="0" w:tplc="505C43D2">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62F6186"/>
    <w:multiLevelType w:val="hybridMultilevel"/>
    <w:tmpl w:val="FCE8171E"/>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77D68E5"/>
    <w:multiLevelType w:val="hybridMultilevel"/>
    <w:tmpl w:val="8AC6480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1" w15:restartNumberingAfterBreak="0">
    <w:nsid w:val="6BBD0D9B"/>
    <w:multiLevelType w:val="hybridMultilevel"/>
    <w:tmpl w:val="3A16E9D2"/>
    <w:lvl w:ilvl="0" w:tplc="352C2722">
      <w:start w:val="1"/>
      <w:numFmt w:val="bullet"/>
      <w:lvlText w:val=""/>
      <w:lvlJc w:val="left"/>
      <w:pPr>
        <w:tabs>
          <w:tab w:val="num" w:pos="-3168"/>
        </w:tabs>
        <w:ind w:left="-3168" w:hanging="216"/>
      </w:pPr>
      <w:rPr>
        <w:rFonts w:ascii="Symbol" w:hAnsi="Symbol" w:hint="default"/>
      </w:rPr>
    </w:lvl>
    <w:lvl w:ilvl="1" w:tplc="04090003" w:tentative="1">
      <w:start w:val="1"/>
      <w:numFmt w:val="bullet"/>
      <w:lvlText w:val="o"/>
      <w:lvlJc w:val="left"/>
      <w:pPr>
        <w:tabs>
          <w:tab w:val="num" w:pos="-2664"/>
        </w:tabs>
        <w:ind w:left="-266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1224"/>
        </w:tabs>
        <w:ind w:left="-1224" w:hanging="360"/>
      </w:pPr>
      <w:rPr>
        <w:rFonts w:ascii="Symbol" w:hAnsi="Symbol" w:hint="default"/>
      </w:rPr>
    </w:lvl>
    <w:lvl w:ilvl="4" w:tplc="04090003" w:tentative="1">
      <w:start w:val="1"/>
      <w:numFmt w:val="bullet"/>
      <w:lvlText w:val="o"/>
      <w:lvlJc w:val="left"/>
      <w:pPr>
        <w:tabs>
          <w:tab w:val="num" w:pos="-504"/>
        </w:tabs>
        <w:ind w:left="-504" w:hanging="360"/>
      </w:pPr>
      <w:rPr>
        <w:rFonts w:ascii="Courier New" w:hAnsi="Courier New" w:hint="default"/>
      </w:rPr>
    </w:lvl>
    <w:lvl w:ilvl="5" w:tplc="04090005" w:tentative="1">
      <w:start w:val="1"/>
      <w:numFmt w:val="bullet"/>
      <w:lvlText w:val=""/>
      <w:lvlJc w:val="left"/>
      <w:pPr>
        <w:tabs>
          <w:tab w:val="num" w:pos="216"/>
        </w:tabs>
        <w:ind w:left="216" w:hanging="360"/>
      </w:pPr>
      <w:rPr>
        <w:rFonts w:ascii="Wingdings" w:hAnsi="Wingdings" w:hint="default"/>
      </w:rPr>
    </w:lvl>
    <w:lvl w:ilvl="6" w:tplc="04090001" w:tentative="1">
      <w:start w:val="1"/>
      <w:numFmt w:val="bullet"/>
      <w:lvlText w:val=""/>
      <w:lvlJc w:val="left"/>
      <w:pPr>
        <w:tabs>
          <w:tab w:val="num" w:pos="936"/>
        </w:tabs>
        <w:ind w:left="936" w:hanging="360"/>
      </w:pPr>
      <w:rPr>
        <w:rFonts w:ascii="Symbol" w:hAnsi="Symbol" w:hint="default"/>
      </w:rPr>
    </w:lvl>
    <w:lvl w:ilvl="7" w:tplc="04090003" w:tentative="1">
      <w:start w:val="1"/>
      <w:numFmt w:val="bullet"/>
      <w:lvlText w:val="o"/>
      <w:lvlJc w:val="left"/>
      <w:pPr>
        <w:tabs>
          <w:tab w:val="num" w:pos="1656"/>
        </w:tabs>
        <w:ind w:left="1656" w:hanging="360"/>
      </w:pPr>
      <w:rPr>
        <w:rFonts w:ascii="Courier New" w:hAnsi="Courier New" w:hint="default"/>
      </w:rPr>
    </w:lvl>
    <w:lvl w:ilvl="8" w:tplc="04090005" w:tentative="1">
      <w:start w:val="1"/>
      <w:numFmt w:val="bullet"/>
      <w:lvlText w:val=""/>
      <w:lvlJc w:val="left"/>
      <w:pPr>
        <w:tabs>
          <w:tab w:val="num" w:pos="2376"/>
        </w:tabs>
        <w:ind w:left="2376" w:hanging="360"/>
      </w:pPr>
      <w:rPr>
        <w:rFonts w:ascii="Wingdings" w:hAnsi="Wingdings" w:hint="default"/>
      </w:rPr>
    </w:lvl>
  </w:abstractNum>
  <w:abstractNum w:abstractNumId="42" w15:restartNumberingAfterBreak="0">
    <w:nsid w:val="6CA37C12"/>
    <w:multiLevelType w:val="hybridMultilevel"/>
    <w:tmpl w:val="3746DF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5" w15:restartNumberingAfterBreak="0">
    <w:nsid w:val="70361F90"/>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89F3F1D"/>
    <w:multiLevelType w:val="hybridMultilevel"/>
    <w:tmpl w:val="E1889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B1E775A"/>
    <w:multiLevelType w:val="hybridMultilevel"/>
    <w:tmpl w:val="18F61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AC5C73"/>
    <w:multiLevelType w:val="hybridMultilevel"/>
    <w:tmpl w:val="D35029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F7A3994"/>
    <w:multiLevelType w:val="hybridMultilevel"/>
    <w:tmpl w:val="315C0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15"/>
  </w:num>
  <w:num w:numId="5">
    <w:abstractNumId w:val="35"/>
  </w:num>
  <w:num w:numId="6">
    <w:abstractNumId w:val="34"/>
  </w:num>
  <w:num w:numId="7">
    <w:abstractNumId w:val="41"/>
  </w:num>
  <w:num w:numId="8">
    <w:abstractNumId w:val="30"/>
  </w:num>
  <w:num w:numId="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22"/>
  </w:num>
  <w:num w:numId="12">
    <w:abstractNumId w:val="43"/>
  </w:num>
  <w:num w:numId="13">
    <w:abstractNumId w:val="40"/>
  </w:num>
  <w:num w:numId="14">
    <w:abstractNumId w:val="9"/>
  </w:num>
  <w:num w:numId="15">
    <w:abstractNumId w:val="12"/>
  </w:num>
  <w:num w:numId="16">
    <w:abstractNumId w:val="46"/>
  </w:num>
  <w:num w:numId="17">
    <w:abstractNumId w:val="48"/>
  </w:num>
  <w:num w:numId="18">
    <w:abstractNumId w:val="11"/>
  </w:num>
  <w:num w:numId="19">
    <w:abstractNumId w:val="39"/>
  </w:num>
  <w:num w:numId="20">
    <w:abstractNumId w:val="13"/>
  </w:num>
  <w:num w:numId="21">
    <w:abstractNumId w:val="38"/>
  </w:num>
  <w:num w:numId="22">
    <w:abstractNumId w:val="18"/>
  </w:num>
  <w:num w:numId="23">
    <w:abstractNumId w:val="36"/>
  </w:num>
  <w:num w:numId="24">
    <w:abstractNumId w:val="45"/>
  </w:num>
  <w:num w:numId="25">
    <w:abstractNumId w:val="7"/>
  </w:num>
  <w:num w:numId="26">
    <w:abstractNumId w:val="20"/>
  </w:num>
  <w:num w:numId="27">
    <w:abstractNumId w:val="37"/>
  </w:num>
  <w:num w:numId="28">
    <w:abstractNumId w:val="28"/>
  </w:num>
  <w:num w:numId="29">
    <w:abstractNumId w:val="21"/>
  </w:num>
  <w:num w:numId="30">
    <w:abstractNumId w:val="32"/>
  </w:num>
  <w:num w:numId="31">
    <w:abstractNumId w:val="27"/>
  </w:num>
  <w:num w:numId="32">
    <w:abstractNumId w:val="26"/>
  </w:num>
  <w:num w:numId="33">
    <w:abstractNumId w:val="33"/>
  </w:num>
  <w:num w:numId="34">
    <w:abstractNumId w:val="17"/>
  </w:num>
  <w:num w:numId="35">
    <w:abstractNumId w:val="29"/>
  </w:num>
  <w:num w:numId="36">
    <w:abstractNumId w:val="47"/>
  </w:num>
  <w:num w:numId="37">
    <w:abstractNumId w:val="4"/>
  </w:num>
  <w:num w:numId="38">
    <w:abstractNumId w:val="19"/>
  </w:num>
  <w:num w:numId="39">
    <w:abstractNumId w:val="31"/>
  </w:num>
  <w:num w:numId="40">
    <w:abstractNumId w:val="10"/>
  </w:num>
  <w:num w:numId="41">
    <w:abstractNumId w:val="2"/>
  </w:num>
  <w:num w:numId="42">
    <w:abstractNumId w:val="16"/>
  </w:num>
  <w:num w:numId="43">
    <w:abstractNumId w:val="42"/>
  </w:num>
  <w:num w:numId="44">
    <w:abstractNumId w:val="3"/>
  </w:num>
  <w:num w:numId="45">
    <w:abstractNumId w:val="6"/>
  </w:num>
  <w:num w:numId="46">
    <w:abstractNumId w:val="50"/>
  </w:num>
  <w:num w:numId="47">
    <w:abstractNumId w:val="23"/>
  </w:num>
  <w:num w:numId="48">
    <w:abstractNumId w:val="24"/>
  </w:num>
  <w:num w:numId="49">
    <w:abstractNumId w:val="14"/>
  </w:num>
  <w:num w:numId="50">
    <w:abstractNumId w:val="25"/>
  </w:num>
  <w:num w:numId="51">
    <w:abstractNumId w:val="49"/>
  </w:num>
  <w:num w:numId="52">
    <w:abstractNumId w:val="51"/>
  </w:num>
  <w:num w:numId="53">
    <w:abstractNumId w:val="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2F8F"/>
    <w:rsid w:val="00006AE3"/>
    <w:rsid w:val="00006B6B"/>
    <w:rsid w:val="0000795C"/>
    <w:rsid w:val="00010952"/>
    <w:rsid w:val="00011B67"/>
    <w:rsid w:val="000122CE"/>
    <w:rsid w:val="0001496E"/>
    <w:rsid w:val="0002110E"/>
    <w:rsid w:val="00022DDE"/>
    <w:rsid w:val="00026EC1"/>
    <w:rsid w:val="00030B42"/>
    <w:rsid w:val="000360E9"/>
    <w:rsid w:val="00045642"/>
    <w:rsid w:val="00046748"/>
    <w:rsid w:val="00047286"/>
    <w:rsid w:val="0005005E"/>
    <w:rsid w:val="00060545"/>
    <w:rsid w:val="00060DD0"/>
    <w:rsid w:val="000625BB"/>
    <w:rsid w:val="00085091"/>
    <w:rsid w:val="00090F60"/>
    <w:rsid w:val="000B3C2E"/>
    <w:rsid w:val="000B5047"/>
    <w:rsid w:val="000B6CF4"/>
    <w:rsid w:val="000C1BB1"/>
    <w:rsid w:val="000C2BDC"/>
    <w:rsid w:val="000D220C"/>
    <w:rsid w:val="000D239C"/>
    <w:rsid w:val="000D53A6"/>
    <w:rsid w:val="000D54AE"/>
    <w:rsid w:val="000D67B1"/>
    <w:rsid w:val="000D6DD7"/>
    <w:rsid w:val="000E1322"/>
    <w:rsid w:val="000E1DEC"/>
    <w:rsid w:val="000E3C48"/>
    <w:rsid w:val="000E6311"/>
    <w:rsid w:val="000E6548"/>
    <w:rsid w:val="000F0321"/>
    <w:rsid w:val="000F484F"/>
    <w:rsid w:val="000F6982"/>
    <w:rsid w:val="000F6EA1"/>
    <w:rsid w:val="001008B8"/>
    <w:rsid w:val="00100DDD"/>
    <w:rsid w:val="00104D00"/>
    <w:rsid w:val="001130B9"/>
    <w:rsid w:val="001165FB"/>
    <w:rsid w:val="00116D96"/>
    <w:rsid w:val="0012033D"/>
    <w:rsid w:val="00121C38"/>
    <w:rsid w:val="00121E76"/>
    <w:rsid w:val="0012213C"/>
    <w:rsid w:val="00122BDD"/>
    <w:rsid w:val="001234EE"/>
    <w:rsid w:val="00124C00"/>
    <w:rsid w:val="00126A07"/>
    <w:rsid w:val="001277F3"/>
    <w:rsid w:val="0013016B"/>
    <w:rsid w:val="00134003"/>
    <w:rsid w:val="001351C2"/>
    <w:rsid w:val="00141B29"/>
    <w:rsid w:val="00142FFA"/>
    <w:rsid w:val="00143260"/>
    <w:rsid w:val="001647D6"/>
    <w:rsid w:val="00171AF7"/>
    <w:rsid w:val="001732A9"/>
    <w:rsid w:val="00176FC5"/>
    <w:rsid w:val="00177A1B"/>
    <w:rsid w:val="00181219"/>
    <w:rsid w:val="00183974"/>
    <w:rsid w:val="00187CE3"/>
    <w:rsid w:val="00190D80"/>
    <w:rsid w:val="00192BD2"/>
    <w:rsid w:val="00192EA8"/>
    <w:rsid w:val="00195DF8"/>
    <w:rsid w:val="001971C4"/>
    <w:rsid w:val="00197813"/>
    <w:rsid w:val="00197A3B"/>
    <w:rsid w:val="001A0CEB"/>
    <w:rsid w:val="001B2CC5"/>
    <w:rsid w:val="001C07CD"/>
    <w:rsid w:val="001C0BC6"/>
    <w:rsid w:val="001C1576"/>
    <w:rsid w:val="001D20A4"/>
    <w:rsid w:val="001D2FE1"/>
    <w:rsid w:val="001E1E7A"/>
    <w:rsid w:val="001E3A5E"/>
    <w:rsid w:val="001E3B57"/>
    <w:rsid w:val="001E724D"/>
    <w:rsid w:val="001E76E9"/>
    <w:rsid w:val="001E7982"/>
    <w:rsid w:val="001F55BE"/>
    <w:rsid w:val="001F5E85"/>
    <w:rsid w:val="00203F70"/>
    <w:rsid w:val="002065A4"/>
    <w:rsid w:val="002125F5"/>
    <w:rsid w:val="002147A5"/>
    <w:rsid w:val="00221686"/>
    <w:rsid w:val="00222E54"/>
    <w:rsid w:val="0022344D"/>
    <w:rsid w:val="00226811"/>
    <w:rsid w:val="0023128B"/>
    <w:rsid w:val="00240784"/>
    <w:rsid w:val="00240D85"/>
    <w:rsid w:val="00240F49"/>
    <w:rsid w:val="00242F69"/>
    <w:rsid w:val="002473C5"/>
    <w:rsid w:val="00247BF3"/>
    <w:rsid w:val="00253AB7"/>
    <w:rsid w:val="00257B27"/>
    <w:rsid w:val="00262A0F"/>
    <w:rsid w:val="00270C4A"/>
    <w:rsid w:val="00271D65"/>
    <w:rsid w:val="002809D3"/>
    <w:rsid w:val="002823C0"/>
    <w:rsid w:val="00284CB6"/>
    <w:rsid w:val="0028614B"/>
    <w:rsid w:val="00290EAB"/>
    <w:rsid w:val="00292B74"/>
    <w:rsid w:val="00295EBE"/>
    <w:rsid w:val="002A2A3C"/>
    <w:rsid w:val="002A6C73"/>
    <w:rsid w:val="002B0784"/>
    <w:rsid w:val="002B0D59"/>
    <w:rsid w:val="002B651A"/>
    <w:rsid w:val="002B6EB8"/>
    <w:rsid w:val="002B7873"/>
    <w:rsid w:val="002C7F1D"/>
    <w:rsid w:val="002D15BB"/>
    <w:rsid w:val="002D1DE8"/>
    <w:rsid w:val="002E0ABF"/>
    <w:rsid w:val="002E2B4F"/>
    <w:rsid w:val="002E60DB"/>
    <w:rsid w:val="002F0E66"/>
    <w:rsid w:val="002F240E"/>
    <w:rsid w:val="002F2558"/>
    <w:rsid w:val="002F3993"/>
    <w:rsid w:val="002F3F20"/>
    <w:rsid w:val="002F41F7"/>
    <w:rsid w:val="00302853"/>
    <w:rsid w:val="00304298"/>
    <w:rsid w:val="00305C49"/>
    <w:rsid w:val="00310543"/>
    <w:rsid w:val="003112B3"/>
    <w:rsid w:val="00314688"/>
    <w:rsid w:val="00316E9A"/>
    <w:rsid w:val="00316FEA"/>
    <w:rsid w:val="003173FB"/>
    <w:rsid w:val="00324E26"/>
    <w:rsid w:val="00326CE0"/>
    <w:rsid w:val="003306CA"/>
    <w:rsid w:val="00330F72"/>
    <w:rsid w:val="003314D6"/>
    <w:rsid w:val="00335F69"/>
    <w:rsid w:val="003372A6"/>
    <w:rsid w:val="00341196"/>
    <w:rsid w:val="0034243A"/>
    <w:rsid w:val="003435B1"/>
    <w:rsid w:val="003438F5"/>
    <w:rsid w:val="00346D33"/>
    <w:rsid w:val="00353A83"/>
    <w:rsid w:val="00365DC2"/>
    <w:rsid w:val="00366115"/>
    <w:rsid w:val="0036742D"/>
    <w:rsid w:val="003705D9"/>
    <w:rsid w:val="00372B77"/>
    <w:rsid w:val="003746F1"/>
    <w:rsid w:val="003752A2"/>
    <w:rsid w:val="00385A3B"/>
    <w:rsid w:val="003908BA"/>
    <w:rsid w:val="00392EA5"/>
    <w:rsid w:val="003952EE"/>
    <w:rsid w:val="00395A74"/>
    <w:rsid w:val="00396235"/>
    <w:rsid w:val="00397AB9"/>
    <w:rsid w:val="003A23AD"/>
    <w:rsid w:val="003A36B7"/>
    <w:rsid w:val="003A3F97"/>
    <w:rsid w:val="003A6A80"/>
    <w:rsid w:val="003B78EC"/>
    <w:rsid w:val="003C0863"/>
    <w:rsid w:val="003C09F6"/>
    <w:rsid w:val="003C1A0A"/>
    <w:rsid w:val="003C2FAA"/>
    <w:rsid w:val="003C76E6"/>
    <w:rsid w:val="003D16C4"/>
    <w:rsid w:val="003D3A18"/>
    <w:rsid w:val="003D65F0"/>
    <w:rsid w:val="003D70E0"/>
    <w:rsid w:val="003D7D48"/>
    <w:rsid w:val="003E4A4B"/>
    <w:rsid w:val="003E7E3D"/>
    <w:rsid w:val="003F01F7"/>
    <w:rsid w:val="003F1282"/>
    <w:rsid w:val="003F356D"/>
    <w:rsid w:val="003F4423"/>
    <w:rsid w:val="004047B3"/>
    <w:rsid w:val="0040539A"/>
    <w:rsid w:val="0040681C"/>
    <w:rsid w:val="00411F81"/>
    <w:rsid w:val="004131F4"/>
    <w:rsid w:val="00422387"/>
    <w:rsid w:val="00422528"/>
    <w:rsid w:val="00426CD1"/>
    <w:rsid w:val="0042713F"/>
    <w:rsid w:val="00436644"/>
    <w:rsid w:val="00437499"/>
    <w:rsid w:val="00440F8B"/>
    <w:rsid w:val="00443506"/>
    <w:rsid w:val="0044672D"/>
    <w:rsid w:val="00452B80"/>
    <w:rsid w:val="00454865"/>
    <w:rsid w:val="00456242"/>
    <w:rsid w:val="00460350"/>
    <w:rsid w:val="00461623"/>
    <w:rsid w:val="00464C25"/>
    <w:rsid w:val="004655C2"/>
    <w:rsid w:val="0047501C"/>
    <w:rsid w:val="0048014E"/>
    <w:rsid w:val="00480725"/>
    <w:rsid w:val="00480A82"/>
    <w:rsid w:val="004830D0"/>
    <w:rsid w:val="00483DB1"/>
    <w:rsid w:val="004847D6"/>
    <w:rsid w:val="00486F2C"/>
    <w:rsid w:val="0049547C"/>
    <w:rsid w:val="004A09A8"/>
    <w:rsid w:val="004A3853"/>
    <w:rsid w:val="004A4D6E"/>
    <w:rsid w:val="004A4DF5"/>
    <w:rsid w:val="004A55A7"/>
    <w:rsid w:val="004B089B"/>
    <w:rsid w:val="004B24B9"/>
    <w:rsid w:val="004B691C"/>
    <w:rsid w:val="004C1F4D"/>
    <w:rsid w:val="004C2C7B"/>
    <w:rsid w:val="004C2D33"/>
    <w:rsid w:val="004C32C0"/>
    <w:rsid w:val="004C6949"/>
    <w:rsid w:val="004D5225"/>
    <w:rsid w:val="004E1AF0"/>
    <w:rsid w:val="004E4913"/>
    <w:rsid w:val="004E4B03"/>
    <w:rsid w:val="004E5EFE"/>
    <w:rsid w:val="004F22D5"/>
    <w:rsid w:val="004F36EA"/>
    <w:rsid w:val="004F6E60"/>
    <w:rsid w:val="00505783"/>
    <w:rsid w:val="005060A6"/>
    <w:rsid w:val="005069EE"/>
    <w:rsid w:val="0050713E"/>
    <w:rsid w:val="00507C8C"/>
    <w:rsid w:val="00515558"/>
    <w:rsid w:val="005204C9"/>
    <w:rsid w:val="0052137C"/>
    <w:rsid w:val="00522AB7"/>
    <w:rsid w:val="00524DF6"/>
    <w:rsid w:val="0054052D"/>
    <w:rsid w:val="005444C3"/>
    <w:rsid w:val="005445C7"/>
    <w:rsid w:val="005453D7"/>
    <w:rsid w:val="00550AF1"/>
    <w:rsid w:val="00551054"/>
    <w:rsid w:val="0055635B"/>
    <w:rsid w:val="00562495"/>
    <w:rsid w:val="005630C4"/>
    <w:rsid w:val="00565097"/>
    <w:rsid w:val="00565BF1"/>
    <w:rsid w:val="005735E8"/>
    <w:rsid w:val="00574750"/>
    <w:rsid w:val="0057497E"/>
    <w:rsid w:val="00576B56"/>
    <w:rsid w:val="00577891"/>
    <w:rsid w:val="005816FF"/>
    <w:rsid w:val="005820FF"/>
    <w:rsid w:val="0058420F"/>
    <w:rsid w:val="00586D71"/>
    <w:rsid w:val="00586EA7"/>
    <w:rsid w:val="0059175C"/>
    <w:rsid w:val="00592ADE"/>
    <w:rsid w:val="005A352B"/>
    <w:rsid w:val="005A3CFD"/>
    <w:rsid w:val="005A7763"/>
    <w:rsid w:val="005C04C8"/>
    <w:rsid w:val="005C1662"/>
    <w:rsid w:val="005C2102"/>
    <w:rsid w:val="005C296B"/>
    <w:rsid w:val="005D0908"/>
    <w:rsid w:val="005D1C16"/>
    <w:rsid w:val="005D3B3E"/>
    <w:rsid w:val="005D57B2"/>
    <w:rsid w:val="005D651A"/>
    <w:rsid w:val="005D72FF"/>
    <w:rsid w:val="005E152B"/>
    <w:rsid w:val="005E38C1"/>
    <w:rsid w:val="005F06EA"/>
    <w:rsid w:val="005F0F6F"/>
    <w:rsid w:val="005F16A6"/>
    <w:rsid w:val="005F2D89"/>
    <w:rsid w:val="005F7EA2"/>
    <w:rsid w:val="00606FEF"/>
    <w:rsid w:val="0060743F"/>
    <w:rsid w:val="006248F7"/>
    <w:rsid w:val="00630893"/>
    <w:rsid w:val="00630AD6"/>
    <w:rsid w:val="006363A3"/>
    <w:rsid w:val="0064257B"/>
    <w:rsid w:val="00643952"/>
    <w:rsid w:val="00643CBD"/>
    <w:rsid w:val="00644260"/>
    <w:rsid w:val="00646C5B"/>
    <w:rsid w:val="00646EAB"/>
    <w:rsid w:val="00654AED"/>
    <w:rsid w:val="00654D32"/>
    <w:rsid w:val="00654E6E"/>
    <w:rsid w:val="00663BCD"/>
    <w:rsid w:val="00667A12"/>
    <w:rsid w:val="00670796"/>
    <w:rsid w:val="006738C1"/>
    <w:rsid w:val="006740CF"/>
    <w:rsid w:val="0068342B"/>
    <w:rsid w:val="00685170"/>
    <w:rsid w:val="00687719"/>
    <w:rsid w:val="00690A55"/>
    <w:rsid w:val="006910BB"/>
    <w:rsid w:val="00692E52"/>
    <w:rsid w:val="006A2940"/>
    <w:rsid w:val="006A4CF0"/>
    <w:rsid w:val="006A6183"/>
    <w:rsid w:val="006A64E4"/>
    <w:rsid w:val="006A6B35"/>
    <w:rsid w:val="006A7042"/>
    <w:rsid w:val="006B1E79"/>
    <w:rsid w:val="006B318F"/>
    <w:rsid w:val="006B32DC"/>
    <w:rsid w:val="006B4188"/>
    <w:rsid w:val="006B472A"/>
    <w:rsid w:val="006C0410"/>
    <w:rsid w:val="006C1148"/>
    <w:rsid w:val="006C5138"/>
    <w:rsid w:val="006C580C"/>
    <w:rsid w:val="006D5CA5"/>
    <w:rsid w:val="006D793E"/>
    <w:rsid w:val="006E4F6C"/>
    <w:rsid w:val="006E74BC"/>
    <w:rsid w:val="006F0A94"/>
    <w:rsid w:val="006F12CE"/>
    <w:rsid w:val="006F50DE"/>
    <w:rsid w:val="006F5228"/>
    <w:rsid w:val="006F69C9"/>
    <w:rsid w:val="006F6D08"/>
    <w:rsid w:val="006F6E82"/>
    <w:rsid w:val="0070118A"/>
    <w:rsid w:val="0070399F"/>
    <w:rsid w:val="00703C1F"/>
    <w:rsid w:val="00703CF0"/>
    <w:rsid w:val="007044F0"/>
    <w:rsid w:val="0070543A"/>
    <w:rsid w:val="00707364"/>
    <w:rsid w:val="00707770"/>
    <w:rsid w:val="00713372"/>
    <w:rsid w:val="007139B8"/>
    <w:rsid w:val="0072065E"/>
    <w:rsid w:val="00722C56"/>
    <w:rsid w:val="0072484B"/>
    <w:rsid w:val="0072602C"/>
    <w:rsid w:val="007310BB"/>
    <w:rsid w:val="00731E08"/>
    <w:rsid w:val="00733D9F"/>
    <w:rsid w:val="007354A5"/>
    <w:rsid w:val="0074180F"/>
    <w:rsid w:val="007524A4"/>
    <w:rsid w:val="007533C5"/>
    <w:rsid w:val="007538E7"/>
    <w:rsid w:val="007557C9"/>
    <w:rsid w:val="007561B8"/>
    <w:rsid w:val="00760165"/>
    <w:rsid w:val="007644CA"/>
    <w:rsid w:val="007665CC"/>
    <w:rsid w:val="007719BD"/>
    <w:rsid w:val="00774BB5"/>
    <w:rsid w:val="00782F63"/>
    <w:rsid w:val="007846DC"/>
    <w:rsid w:val="0078798C"/>
    <w:rsid w:val="0079199B"/>
    <w:rsid w:val="00795B2D"/>
    <w:rsid w:val="007969F2"/>
    <w:rsid w:val="007A12D3"/>
    <w:rsid w:val="007A1DDD"/>
    <w:rsid w:val="007A2D03"/>
    <w:rsid w:val="007A336C"/>
    <w:rsid w:val="007A6AF4"/>
    <w:rsid w:val="007A6B9D"/>
    <w:rsid w:val="007B0637"/>
    <w:rsid w:val="007C1647"/>
    <w:rsid w:val="007C2B20"/>
    <w:rsid w:val="007C6B72"/>
    <w:rsid w:val="007D13C1"/>
    <w:rsid w:val="007D40BD"/>
    <w:rsid w:val="007D6754"/>
    <w:rsid w:val="007E1511"/>
    <w:rsid w:val="007E1676"/>
    <w:rsid w:val="007E21D7"/>
    <w:rsid w:val="007F2F48"/>
    <w:rsid w:val="007F5DF8"/>
    <w:rsid w:val="00801F02"/>
    <w:rsid w:val="00805C59"/>
    <w:rsid w:val="00806F68"/>
    <w:rsid w:val="00813A24"/>
    <w:rsid w:val="00826700"/>
    <w:rsid w:val="00834D11"/>
    <w:rsid w:val="00836FB2"/>
    <w:rsid w:val="00837D6C"/>
    <w:rsid w:val="0084275F"/>
    <w:rsid w:val="00844545"/>
    <w:rsid w:val="008458B3"/>
    <w:rsid w:val="00845C9F"/>
    <w:rsid w:val="00847134"/>
    <w:rsid w:val="00850357"/>
    <w:rsid w:val="00853334"/>
    <w:rsid w:val="0085538C"/>
    <w:rsid w:val="00860A0E"/>
    <w:rsid w:val="008643A8"/>
    <w:rsid w:val="008664A5"/>
    <w:rsid w:val="00866DC7"/>
    <w:rsid w:val="00867515"/>
    <w:rsid w:val="00867CA5"/>
    <w:rsid w:val="00871126"/>
    <w:rsid w:val="008743C1"/>
    <w:rsid w:val="00877B3C"/>
    <w:rsid w:val="00880182"/>
    <w:rsid w:val="00882C15"/>
    <w:rsid w:val="00885025"/>
    <w:rsid w:val="0088645D"/>
    <w:rsid w:val="00891288"/>
    <w:rsid w:val="0089199F"/>
    <w:rsid w:val="00895688"/>
    <w:rsid w:val="008A0525"/>
    <w:rsid w:val="008A7B9A"/>
    <w:rsid w:val="008B18F4"/>
    <w:rsid w:val="008B2DB7"/>
    <w:rsid w:val="008B7819"/>
    <w:rsid w:val="008C0FB7"/>
    <w:rsid w:val="008D08DE"/>
    <w:rsid w:val="008D0EB5"/>
    <w:rsid w:val="008D108C"/>
    <w:rsid w:val="008D38B1"/>
    <w:rsid w:val="008E007B"/>
    <w:rsid w:val="008E0AD5"/>
    <w:rsid w:val="008E5A87"/>
    <w:rsid w:val="008E78DC"/>
    <w:rsid w:val="008F20AF"/>
    <w:rsid w:val="008F341D"/>
    <w:rsid w:val="008F36DB"/>
    <w:rsid w:val="008F59DE"/>
    <w:rsid w:val="008F7BBA"/>
    <w:rsid w:val="00901D5F"/>
    <w:rsid w:val="009054F4"/>
    <w:rsid w:val="009107B4"/>
    <w:rsid w:val="00910DB0"/>
    <w:rsid w:val="00911EE0"/>
    <w:rsid w:val="00913FB6"/>
    <w:rsid w:val="00914BB5"/>
    <w:rsid w:val="0091549D"/>
    <w:rsid w:val="00925B55"/>
    <w:rsid w:val="00933590"/>
    <w:rsid w:val="00934803"/>
    <w:rsid w:val="00934B33"/>
    <w:rsid w:val="00936C96"/>
    <w:rsid w:val="009376A7"/>
    <w:rsid w:val="00942100"/>
    <w:rsid w:val="0094315D"/>
    <w:rsid w:val="00952BCD"/>
    <w:rsid w:val="009539DC"/>
    <w:rsid w:val="00954045"/>
    <w:rsid w:val="009550D6"/>
    <w:rsid w:val="00956972"/>
    <w:rsid w:val="00956FD1"/>
    <w:rsid w:val="00961FB0"/>
    <w:rsid w:val="00963504"/>
    <w:rsid w:val="0096518E"/>
    <w:rsid w:val="00970D4C"/>
    <w:rsid w:val="00975F38"/>
    <w:rsid w:val="009773E9"/>
    <w:rsid w:val="00977B98"/>
    <w:rsid w:val="009836DA"/>
    <w:rsid w:val="00983996"/>
    <w:rsid w:val="00984C10"/>
    <w:rsid w:val="0098527D"/>
    <w:rsid w:val="0098604F"/>
    <w:rsid w:val="009917C2"/>
    <w:rsid w:val="0099206F"/>
    <w:rsid w:val="009A1D0B"/>
    <w:rsid w:val="009A2203"/>
    <w:rsid w:val="009D0D02"/>
    <w:rsid w:val="009D76C8"/>
    <w:rsid w:val="009E23A9"/>
    <w:rsid w:val="009E57EC"/>
    <w:rsid w:val="009F10F0"/>
    <w:rsid w:val="009F60C4"/>
    <w:rsid w:val="009F6CC7"/>
    <w:rsid w:val="00A01AED"/>
    <w:rsid w:val="00A04836"/>
    <w:rsid w:val="00A065B3"/>
    <w:rsid w:val="00A07F62"/>
    <w:rsid w:val="00A10258"/>
    <w:rsid w:val="00A12D19"/>
    <w:rsid w:val="00A238C9"/>
    <w:rsid w:val="00A30077"/>
    <w:rsid w:val="00A3243D"/>
    <w:rsid w:val="00A32E65"/>
    <w:rsid w:val="00A42635"/>
    <w:rsid w:val="00A4597F"/>
    <w:rsid w:val="00A47392"/>
    <w:rsid w:val="00A50ABB"/>
    <w:rsid w:val="00A5213F"/>
    <w:rsid w:val="00A567AB"/>
    <w:rsid w:val="00A654C1"/>
    <w:rsid w:val="00A72879"/>
    <w:rsid w:val="00A7460C"/>
    <w:rsid w:val="00A77BCB"/>
    <w:rsid w:val="00A818BD"/>
    <w:rsid w:val="00A825EB"/>
    <w:rsid w:val="00A82A18"/>
    <w:rsid w:val="00A8596E"/>
    <w:rsid w:val="00A8635B"/>
    <w:rsid w:val="00A86DC2"/>
    <w:rsid w:val="00A95C57"/>
    <w:rsid w:val="00A95C61"/>
    <w:rsid w:val="00A97A8A"/>
    <w:rsid w:val="00AA29E6"/>
    <w:rsid w:val="00AB05AD"/>
    <w:rsid w:val="00AB17CB"/>
    <w:rsid w:val="00AB20B6"/>
    <w:rsid w:val="00AB293C"/>
    <w:rsid w:val="00AB3430"/>
    <w:rsid w:val="00AB62D7"/>
    <w:rsid w:val="00AB7BEB"/>
    <w:rsid w:val="00AC7E7F"/>
    <w:rsid w:val="00AD04B1"/>
    <w:rsid w:val="00AD1C60"/>
    <w:rsid w:val="00AD4CDB"/>
    <w:rsid w:val="00AE5FA1"/>
    <w:rsid w:val="00AE6AF8"/>
    <w:rsid w:val="00AE7D7F"/>
    <w:rsid w:val="00AF155B"/>
    <w:rsid w:val="00B10F11"/>
    <w:rsid w:val="00B11C80"/>
    <w:rsid w:val="00B16C97"/>
    <w:rsid w:val="00B206B9"/>
    <w:rsid w:val="00B21A13"/>
    <w:rsid w:val="00B21B74"/>
    <w:rsid w:val="00B234EA"/>
    <w:rsid w:val="00B23D2D"/>
    <w:rsid w:val="00B26081"/>
    <w:rsid w:val="00B31A1B"/>
    <w:rsid w:val="00B33D4E"/>
    <w:rsid w:val="00B446FA"/>
    <w:rsid w:val="00B502D8"/>
    <w:rsid w:val="00B528BD"/>
    <w:rsid w:val="00B56C20"/>
    <w:rsid w:val="00B62CFD"/>
    <w:rsid w:val="00B67A70"/>
    <w:rsid w:val="00B81FFC"/>
    <w:rsid w:val="00B824B4"/>
    <w:rsid w:val="00B859BF"/>
    <w:rsid w:val="00B935CE"/>
    <w:rsid w:val="00BA07ED"/>
    <w:rsid w:val="00BA1EEB"/>
    <w:rsid w:val="00BA24AF"/>
    <w:rsid w:val="00BA2B6A"/>
    <w:rsid w:val="00BA3945"/>
    <w:rsid w:val="00BA56FC"/>
    <w:rsid w:val="00BA6EC8"/>
    <w:rsid w:val="00BA798B"/>
    <w:rsid w:val="00BB1CCD"/>
    <w:rsid w:val="00BB1D36"/>
    <w:rsid w:val="00BC12DE"/>
    <w:rsid w:val="00BC2362"/>
    <w:rsid w:val="00BC2577"/>
    <w:rsid w:val="00BD1890"/>
    <w:rsid w:val="00BD2B9F"/>
    <w:rsid w:val="00BD68C2"/>
    <w:rsid w:val="00BD7459"/>
    <w:rsid w:val="00BD7FFE"/>
    <w:rsid w:val="00BE52A6"/>
    <w:rsid w:val="00BE5789"/>
    <w:rsid w:val="00BE65C5"/>
    <w:rsid w:val="00BF1A97"/>
    <w:rsid w:val="00BF2739"/>
    <w:rsid w:val="00BF2893"/>
    <w:rsid w:val="00C00009"/>
    <w:rsid w:val="00C027B6"/>
    <w:rsid w:val="00C034AF"/>
    <w:rsid w:val="00C0366E"/>
    <w:rsid w:val="00C03D9E"/>
    <w:rsid w:val="00C050AE"/>
    <w:rsid w:val="00C23619"/>
    <w:rsid w:val="00C2550E"/>
    <w:rsid w:val="00C34FF8"/>
    <w:rsid w:val="00C43AFA"/>
    <w:rsid w:val="00C46845"/>
    <w:rsid w:val="00C5122C"/>
    <w:rsid w:val="00C53CD2"/>
    <w:rsid w:val="00C54BA9"/>
    <w:rsid w:val="00C554DC"/>
    <w:rsid w:val="00C570EA"/>
    <w:rsid w:val="00C573EB"/>
    <w:rsid w:val="00C6797A"/>
    <w:rsid w:val="00C73E15"/>
    <w:rsid w:val="00C75C99"/>
    <w:rsid w:val="00C76486"/>
    <w:rsid w:val="00C834E0"/>
    <w:rsid w:val="00C90A01"/>
    <w:rsid w:val="00C91EA9"/>
    <w:rsid w:val="00C93E47"/>
    <w:rsid w:val="00C9697E"/>
    <w:rsid w:val="00CA07CA"/>
    <w:rsid w:val="00CB37D3"/>
    <w:rsid w:val="00CB4E9C"/>
    <w:rsid w:val="00CB7B01"/>
    <w:rsid w:val="00CC0C16"/>
    <w:rsid w:val="00CC107C"/>
    <w:rsid w:val="00CC3365"/>
    <w:rsid w:val="00CD3443"/>
    <w:rsid w:val="00CD3A43"/>
    <w:rsid w:val="00CD448B"/>
    <w:rsid w:val="00CD525F"/>
    <w:rsid w:val="00CD6EA8"/>
    <w:rsid w:val="00CE21D2"/>
    <w:rsid w:val="00CE309C"/>
    <w:rsid w:val="00CF2302"/>
    <w:rsid w:val="00CF2E7F"/>
    <w:rsid w:val="00CF516F"/>
    <w:rsid w:val="00D038D5"/>
    <w:rsid w:val="00D03B57"/>
    <w:rsid w:val="00D14120"/>
    <w:rsid w:val="00D14CF3"/>
    <w:rsid w:val="00D14D15"/>
    <w:rsid w:val="00D15257"/>
    <w:rsid w:val="00D205C7"/>
    <w:rsid w:val="00D217AA"/>
    <w:rsid w:val="00D22467"/>
    <w:rsid w:val="00D23584"/>
    <w:rsid w:val="00D2716F"/>
    <w:rsid w:val="00D32792"/>
    <w:rsid w:val="00D419FC"/>
    <w:rsid w:val="00D41C8D"/>
    <w:rsid w:val="00D44A22"/>
    <w:rsid w:val="00D45E21"/>
    <w:rsid w:val="00D46CB0"/>
    <w:rsid w:val="00D476E6"/>
    <w:rsid w:val="00D506DA"/>
    <w:rsid w:val="00D523C5"/>
    <w:rsid w:val="00D53BC1"/>
    <w:rsid w:val="00D55073"/>
    <w:rsid w:val="00D560F1"/>
    <w:rsid w:val="00D56C8E"/>
    <w:rsid w:val="00D64F3E"/>
    <w:rsid w:val="00D7054F"/>
    <w:rsid w:val="00D70779"/>
    <w:rsid w:val="00D737E7"/>
    <w:rsid w:val="00D74568"/>
    <w:rsid w:val="00D80595"/>
    <w:rsid w:val="00D85FBA"/>
    <w:rsid w:val="00D86F1F"/>
    <w:rsid w:val="00D87012"/>
    <w:rsid w:val="00D92894"/>
    <w:rsid w:val="00D94EBE"/>
    <w:rsid w:val="00D969E1"/>
    <w:rsid w:val="00D96CDF"/>
    <w:rsid w:val="00D970AB"/>
    <w:rsid w:val="00DA0AC0"/>
    <w:rsid w:val="00DA10D6"/>
    <w:rsid w:val="00DA1445"/>
    <w:rsid w:val="00DA1A56"/>
    <w:rsid w:val="00DA7ADD"/>
    <w:rsid w:val="00DB2D1A"/>
    <w:rsid w:val="00DB36FF"/>
    <w:rsid w:val="00DB557F"/>
    <w:rsid w:val="00DB6B88"/>
    <w:rsid w:val="00DC70D0"/>
    <w:rsid w:val="00DD373B"/>
    <w:rsid w:val="00DD6022"/>
    <w:rsid w:val="00DE1C2C"/>
    <w:rsid w:val="00DE36F3"/>
    <w:rsid w:val="00DE5701"/>
    <w:rsid w:val="00DE6BF8"/>
    <w:rsid w:val="00DF3940"/>
    <w:rsid w:val="00DF4190"/>
    <w:rsid w:val="00DF7F00"/>
    <w:rsid w:val="00E03BFD"/>
    <w:rsid w:val="00E0599E"/>
    <w:rsid w:val="00E076D3"/>
    <w:rsid w:val="00E11A6D"/>
    <w:rsid w:val="00E12ECC"/>
    <w:rsid w:val="00E2162A"/>
    <w:rsid w:val="00E21D8C"/>
    <w:rsid w:val="00E245AF"/>
    <w:rsid w:val="00E31839"/>
    <w:rsid w:val="00E32DB4"/>
    <w:rsid w:val="00E33855"/>
    <w:rsid w:val="00E35D57"/>
    <w:rsid w:val="00E36491"/>
    <w:rsid w:val="00E36B40"/>
    <w:rsid w:val="00E41B29"/>
    <w:rsid w:val="00E43826"/>
    <w:rsid w:val="00E43DE7"/>
    <w:rsid w:val="00E4571C"/>
    <w:rsid w:val="00E50806"/>
    <w:rsid w:val="00E55249"/>
    <w:rsid w:val="00E553F8"/>
    <w:rsid w:val="00E60716"/>
    <w:rsid w:val="00E62867"/>
    <w:rsid w:val="00E6469C"/>
    <w:rsid w:val="00E64C64"/>
    <w:rsid w:val="00E73584"/>
    <w:rsid w:val="00E77C0A"/>
    <w:rsid w:val="00E77C5E"/>
    <w:rsid w:val="00E8157D"/>
    <w:rsid w:val="00E861B6"/>
    <w:rsid w:val="00E90FA3"/>
    <w:rsid w:val="00EA2940"/>
    <w:rsid w:val="00EA4689"/>
    <w:rsid w:val="00EB33B1"/>
    <w:rsid w:val="00EB7534"/>
    <w:rsid w:val="00EB7766"/>
    <w:rsid w:val="00EC3818"/>
    <w:rsid w:val="00EC4A74"/>
    <w:rsid w:val="00EE5D92"/>
    <w:rsid w:val="00EE64D9"/>
    <w:rsid w:val="00EF0524"/>
    <w:rsid w:val="00EF250E"/>
    <w:rsid w:val="00EF2DCD"/>
    <w:rsid w:val="00F00777"/>
    <w:rsid w:val="00F0181C"/>
    <w:rsid w:val="00F0349F"/>
    <w:rsid w:val="00F050D8"/>
    <w:rsid w:val="00F06948"/>
    <w:rsid w:val="00F101BE"/>
    <w:rsid w:val="00F111E3"/>
    <w:rsid w:val="00F130E9"/>
    <w:rsid w:val="00F130ED"/>
    <w:rsid w:val="00F1671B"/>
    <w:rsid w:val="00F16A74"/>
    <w:rsid w:val="00F16DEF"/>
    <w:rsid w:val="00F201C1"/>
    <w:rsid w:val="00F21938"/>
    <w:rsid w:val="00F26575"/>
    <w:rsid w:val="00F30209"/>
    <w:rsid w:val="00F3315E"/>
    <w:rsid w:val="00F3484D"/>
    <w:rsid w:val="00F37061"/>
    <w:rsid w:val="00F408F6"/>
    <w:rsid w:val="00F42810"/>
    <w:rsid w:val="00F431EE"/>
    <w:rsid w:val="00F43A01"/>
    <w:rsid w:val="00F4487D"/>
    <w:rsid w:val="00F47BF0"/>
    <w:rsid w:val="00F47FD6"/>
    <w:rsid w:val="00F5075C"/>
    <w:rsid w:val="00F556A7"/>
    <w:rsid w:val="00F57C16"/>
    <w:rsid w:val="00F64916"/>
    <w:rsid w:val="00F64DCB"/>
    <w:rsid w:val="00F70218"/>
    <w:rsid w:val="00F7072B"/>
    <w:rsid w:val="00F76669"/>
    <w:rsid w:val="00F80DA5"/>
    <w:rsid w:val="00F81588"/>
    <w:rsid w:val="00F82D90"/>
    <w:rsid w:val="00F83273"/>
    <w:rsid w:val="00F84951"/>
    <w:rsid w:val="00F86D0E"/>
    <w:rsid w:val="00F906F8"/>
    <w:rsid w:val="00F92532"/>
    <w:rsid w:val="00F92B88"/>
    <w:rsid w:val="00F94E8F"/>
    <w:rsid w:val="00F97762"/>
    <w:rsid w:val="00FA1B3E"/>
    <w:rsid w:val="00FA23C1"/>
    <w:rsid w:val="00FA3DB2"/>
    <w:rsid w:val="00FA42AB"/>
    <w:rsid w:val="00FB61DF"/>
    <w:rsid w:val="00FC25FE"/>
    <w:rsid w:val="00FC29F3"/>
    <w:rsid w:val="00FC4B89"/>
    <w:rsid w:val="00FC7008"/>
    <w:rsid w:val="00FD0A04"/>
    <w:rsid w:val="00FD2389"/>
    <w:rsid w:val="00FD6101"/>
    <w:rsid w:val="00FD6923"/>
    <w:rsid w:val="00FE57F5"/>
    <w:rsid w:val="00FE7B99"/>
    <w:rsid w:val="00FF24C4"/>
    <w:rsid w:val="00FF4042"/>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place"/>
  <w:shapeDefaults>
    <o:shapedefaults v:ext="edit" spidmax="98305"/>
    <o:shapelayout v:ext="edit">
      <o:idmap v:ext="edit" data="1"/>
    </o:shapelayout>
  </w:shapeDefaults>
  <w:decimalSymbol w:val="."/>
  <w:listSeparator w:val=","/>
  <w14:docId w14:val="376AF689"/>
  <w15:docId w15:val="{3186A1F0-1EA6-425C-BC7C-33C68FE6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E32DB4"/>
    <w:pPr>
      <w:widowControl w:val="0"/>
      <w:numPr>
        <w:numId w:val="5"/>
      </w:numPr>
      <w:tabs>
        <w:tab w:val="left" w:pos="90"/>
      </w:tabs>
      <w:autoSpaceDE w:val="0"/>
      <w:autoSpaceDN w:val="0"/>
      <w:adjustRightInd w:val="0"/>
      <w:outlineLvl w:val="0"/>
    </w:pPr>
    <w:rPr>
      <w:b/>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DB4"/>
    <w:rPr>
      <w:rFonts w:ascii="Book Antiqua" w:hAnsi="Book Antiqua" w:cs="Times New Roman"/>
      <w:b/>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uiPriority w:val="99"/>
    <w:locked/>
    <w:rsid w:val="008458B3"/>
    <w:rPr>
      <w:rFonts w:ascii="Book Antiqua" w:hAnsi="Book Antiqua"/>
      <w:sz w:val="22"/>
    </w:rPr>
  </w:style>
  <w:style w:type="paragraph" w:customStyle="1" w:styleId="BulletLevel1">
    <w:name w:val="Bullet Level 1"/>
    <w:basedOn w:val="Normal"/>
    <w:next w:val="Normal"/>
    <w:autoRedefine/>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ListParagraph">
    <w:name w:val="List Paragraph"/>
    <w:basedOn w:val="Normal"/>
    <w:uiPriority w:val="34"/>
    <w:qFormat/>
    <w:rsid w:val="006E74BC"/>
    <w:pPr>
      <w:ind w:left="720"/>
      <w:contextualSpacing/>
    </w:pPr>
  </w:style>
  <w:style w:type="character" w:styleId="Emphasis">
    <w:name w:val="Emphasis"/>
    <w:basedOn w:val="DefaultParagraphFont"/>
    <w:qFormat/>
    <w:rsid w:val="008D08DE"/>
    <w:rPr>
      <w:i/>
      <w:iCs/>
    </w:rPr>
  </w:style>
  <w:style w:type="table" w:styleId="TableGrid">
    <w:name w:val="Table Grid"/>
    <w:basedOn w:val="TableNormal"/>
    <w:uiPriority w:val="39"/>
    <w:rsid w:val="001E3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20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ListBullet"/>
    <w:qFormat/>
    <w:rsid w:val="00DA1445"/>
    <w:pPr>
      <w:numPr>
        <w:numId w:val="34"/>
      </w:numPr>
      <w:spacing w:before="120" w:after="120"/>
      <w:jc w:val="both"/>
    </w:pPr>
    <w:rPr>
      <w:rFonts w:ascii="Arial" w:hAnsi="Arial"/>
    </w:rPr>
  </w:style>
  <w:style w:type="paragraph" w:styleId="Caption">
    <w:name w:val="caption"/>
    <w:basedOn w:val="Normal"/>
    <w:next w:val="Normal"/>
    <w:uiPriority w:val="35"/>
    <w:unhideWhenUsed/>
    <w:qFormat/>
    <w:rsid w:val="00DA0AC0"/>
    <w:pPr>
      <w:keepNext/>
      <w:spacing w:after="120"/>
      <w:jc w:val="both"/>
    </w:pPr>
    <w:rPr>
      <w:rFonts w:ascii="Arial" w:eastAsiaTheme="minorHAnsi" w:hAnsi="Arial" w:cstheme="minorBidi"/>
      <w:b/>
      <w:bCs/>
      <w:color w:val="4F81BD" w:themeColor="accent1"/>
      <w:sz w:val="20"/>
      <w:szCs w:val="18"/>
    </w:rPr>
  </w:style>
  <w:style w:type="paragraph" w:customStyle="1" w:styleId="TableText">
    <w:name w:val="Table Text"/>
    <w:basedOn w:val="NoSpacing"/>
    <w:link w:val="TableTextChar"/>
    <w:qFormat/>
    <w:rsid w:val="00DA0AC0"/>
    <w:rPr>
      <w:rFonts w:ascii="Arial" w:eastAsiaTheme="minorHAnsi" w:hAnsi="Arial" w:cstheme="minorBidi"/>
      <w:sz w:val="20"/>
    </w:rPr>
  </w:style>
  <w:style w:type="character" w:customStyle="1" w:styleId="TableTextChar">
    <w:name w:val="Table Text Char"/>
    <w:basedOn w:val="DefaultParagraphFont"/>
    <w:link w:val="TableText"/>
    <w:rsid w:val="00DA0AC0"/>
    <w:rPr>
      <w:rFonts w:ascii="Arial" w:eastAsiaTheme="minorHAnsi" w:hAnsi="Arial" w:cstheme="minorBidi"/>
    </w:rPr>
  </w:style>
  <w:style w:type="paragraph" w:styleId="NoSpacing">
    <w:name w:val="No Spacing"/>
    <w:uiPriority w:val="1"/>
    <w:qFormat/>
    <w:rsid w:val="00DA0AC0"/>
    <w:rPr>
      <w:rFonts w:ascii="Book Antiqua" w:hAnsi="Book Antiqua" w:cs="Times New Roman"/>
      <w:sz w:val="22"/>
    </w:rPr>
  </w:style>
  <w:style w:type="paragraph" w:styleId="Revision">
    <w:name w:val="Revision"/>
    <w:hidden/>
    <w:uiPriority w:val="99"/>
    <w:semiHidden/>
    <w:rsid w:val="00100DDD"/>
    <w:rPr>
      <w:rFonts w:ascii="Book Antiqua" w:hAnsi="Book Antiqu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7332">
      <w:bodyDiv w:val="1"/>
      <w:marLeft w:val="0"/>
      <w:marRight w:val="0"/>
      <w:marTop w:val="0"/>
      <w:marBottom w:val="0"/>
      <w:divBdr>
        <w:top w:val="none" w:sz="0" w:space="0" w:color="auto"/>
        <w:left w:val="none" w:sz="0" w:space="0" w:color="auto"/>
        <w:bottom w:val="none" w:sz="0" w:space="0" w:color="auto"/>
        <w:right w:val="none" w:sz="0" w:space="0" w:color="auto"/>
      </w:divBdr>
    </w:div>
    <w:div w:id="22560001">
      <w:bodyDiv w:val="1"/>
      <w:marLeft w:val="0"/>
      <w:marRight w:val="0"/>
      <w:marTop w:val="0"/>
      <w:marBottom w:val="0"/>
      <w:divBdr>
        <w:top w:val="none" w:sz="0" w:space="0" w:color="auto"/>
        <w:left w:val="none" w:sz="0" w:space="0" w:color="auto"/>
        <w:bottom w:val="none" w:sz="0" w:space="0" w:color="auto"/>
        <w:right w:val="none" w:sz="0" w:space="0" w:color="auto"/>
      </w:divBdr>
    </w:div>
    <w:div w:id="36663158">
      <w:bodyDiv w:val="1"/>
      <w:marLeft w:val="0"/>
      <w:marRight w:val="0"/>
      <w:marTop w:val="0"/>
      <w:marBottom w:val="0"/>
      <w:divBdr>
        <w:top w:val="none" w:sz="0" w:space="0" w:color="auto"/>
        <w:left w:val="none" w:sz="0" w:space="0" w:color="auto"/>
        <w:bottom w:val="none" w:sz="0" w:space="0" w:color="auto"/>
        <w:right w:val="none" w:sz="0" w:space="0" w:color="auto"/>
      </w:divBdr>
    </w:div>
    <w:div w:id="56515397">
      <w:bodyDiv w:val="1"/>
      <w:marLeft w:val="0"/>
      <w:marRight w:val="0"/>
      <w:marTop w:val="0"/>
      <w:marBottom w:val="0"/>
      <w:divBdr>
        <w:top w:val="none" w:sz="0" w:space="0" w:color="auto"/>
        <w:left w:val="none" w:sz="0" w:space="0" w:color="auto"/>
        <w:bottom w:val="none" w:sz="0" w:space="0" w:color="auto"/>
        <w:right w:val="none" w:sz="0" w:space="0" w:color="auto"/>
      </w:divBdr>
    </w:div>
    <w:div w:id="77676233">
      <w:bodyDiv w:val="1"/>
      <w:marLeft w:val="0"/>
      <w:marRight w:val="0"/>
      <w:marTop w:val="0"/>
      <w:marBottom w:val="0"/>
      <w:divBdr>
        <w:top w:val="none" w:sz="0" w:space="0" w:color="auto"/>
        <w:left w:val="none" w:sz="0" w:space="0" w:color="auto"/>
        <w:bottom w:val="none" w:sz="0" w:space="0" w:color="auto"/>
        <w:right w:val="none" w:sz="0" w:space="0" w:color="auto"/>
      </w:divBdr>
    </w:div>
    <w:div w:id="167598561">
      <w:bodyDiv w:val="1"/>
      <w:marLeft w:val="0"/>
      <w:marRight w:val="0"/>
      <w:marTop w:val="0"/>
      <w:marBottom w:val="0"/>
      <w:divBdr>
        <w:top w:val="none" w:sz="0" w:space="0" w:color="auto"/>
        <w:left w:val="none" w:sz="0" w:space="0" w:color="auto"/>
        <w:bottom w:val="none" w:sz="0" w:space="0" w:color="auto"/>
        <w:right w:val="none" w:sz="0" w:space="0" w:color="auto"/>
      </w:divBdr>
    </w:div>
    <w:div w:id="252128791">
      <w:bodyDiv w:val="1"/>
      <w:marLeft w:val="0"/>
      <w:marRight w:val="0"/>
      <w:marTop w:val="0"/>
      <w:marBottom w:val="0"/>
      <w:divBdr>
        <w:top w:val="none" w:sz="0" w:space="0" w:color="auto"/>
        <w:left w:val="none" w:sz="0" w:space="0" w:color="auto"/>
        <w:bottom w:val="none" w:sz="0" w:space="0" w:color="auto"/>
        <w:right w:val="none" w:sz="0" w:space="0" w:color="auto"/>
      </w:divBdr>
    </w:div>
    <w:div w:id="279150055">
      <w:bodyDiv w:val="1"/>
      <w:marLeft w:val="0"/>
      <w:marRight w:val="0"/>
      <w:marTop w:val="0"/>
      <w:marBottom w:val="0"/>
      <w:divBdr>
        <w:top w:val="none" w:sz="0" w:space="0" w:color="auto"/>
        <w:left w:val="none" w:sz="0" w:space="0" w:color="auto"/>
        <w:bottom w:val="none" w:sz="0" w:space="0" w:color="auto"/>
        <w:right w:val="none" w:sz="0" w:space="0" w:color="auto"/>
      </w:divBdr>
    </w:div>
    <w:div w:id="287325349">
      <w:bodyDiv w:val="1"/>
      <w:marLeft w:val="0"/>
      <w:marRight w:val="0"/>
      <w:marTop w:val="0"/>
      <w:marBottom w:val="0"/>
      <w:divBdr>
        <w:top w:val="none" w:sz="0" w:space="0" w:color="auto"/>
        <w:left w:val="none" w:sz="0" w:space="0" w:color="auto"/>
        <w:bottom w:val="none" w:sz="0" w:space="0" w:color="auto"/>
        <w:right w:val="none" w:sz="0" w:space="0" w:color="auto"/>
      </w:divBdr>
    </w:div>
    <w:div w:id="362248199">
      <w:bodyDiv w:val="1"/>
      <w:marLeft w:val="0"/>
      <w:marRight w:val="0"/>
      <w:marTop w:val="0"/>
      <w:marBottom w:val="0"/>
      <w:divBdr>
        <w:top w:val="none" w:sz="0" w:space="0" w:color="auto"/>
        <w:left w:val="none" w:sz="0" w:space="0" w:color="auto"/>
        <w:bottom w:val="none" w:sz="0" w:space="0" w:color="auto"/>
        <w:right w:val="none" w:sz="0" w:space="0" w:color="auto"/>
      </w:divBdr>
    </w:div>
    <w:div w:id="391778626">
      <w:bodyDiv w:val="1"/>
      <w:marLeft w:val="0"/>
      <w:marRight w:val="0"/>
      <w:marTop w:val="0"/>
      <w:marBottom w:val="0"/>
      <w:divBdr>
        <w:top w:val="none" w:sz="0" w:space="0" w:color="auto"/>
        <w:left w:val="none" w:sz="0" w:space="0" w:color="auto"/>
        <w:bottom w:val="none" w:sz="0" w:space="0" w:color="auto"/>
        <w:right w:val="none" w:sz="0" w:space="0" w:color="auto"/>
      </w:divBdr>
    </w:div>
    <w:div w:id="396629017">
      <w:bodyDiv w:val="1"/>
      <w:marLeft w:val="0"/>
      <w:marRight w:val="0"/>
      <w:marTop w:val="0"/>
      <w:marBottom w:val="0"/>
      <w:divBdr>
        <w:top w:val="none" w:sz="0" w:space="0" w:color="auto"/>
        <w:left w:val="none" w:sz="0" w:space="0" w:color="auto"/>
        <w:bottom w:val="none" w:sz="0" w:space="0" w:color="auto"/>
        <w:right w:val="none" w:sz="0" w:space="0" w:color="auto"/>
      </w:divBdr>
    </w:div>
    <w:div w:id="418528621">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54177738">
      <w:bodyDiv w:val="1"/>
      <w:marLeft w:val="0"/>
      <w:marRight w:val="0"/>
      <w:marTop w:val="0"/>
      <w:marBottom w:val="0"/>
      <w:divBdr>
        <w:top w:val="none" w:sz="0" w:space="0" w:color="auto"/>
        <w:left w:val="none" w:sz="0" w:space="0" w:color="auto"/>
        <w:bottom w:val="none" w:sz="0" w:space="0" w:color="auto"/>
        <w:right w:val="none" w:sz="0" w:space="0" w:color="auto"/>
      </w:divBdr>
    </w:div>
    <w:div w:id="500463506">
      <w:bodyDiv w:val="1"/>
      <w:marLeft w:val="0"/>
      <w:marRight w:val="0"/>
      <w:marTop w:val="0"/>
      <w:marBottom w:val="0"/>
      <w:divBdr>
        <w:top w:val="none" w:sz="0" w:space="0" w:color="auto"/>
        <w:left w:val="none" w:sz="0" w:space="0" w:color="auto"/>
        <w:bottom w:val="none" w:sz="0" w:space="0" w:color="auto"/>
        <w:right w:val="none" w:sz="0" w:space="0" w:color="auto"/>
      </w:divBdr>
    </w:div>
    <w:div w:id="505247418">
      <w:bodyDiv w:val="1"/>
      <w:marLeft w:val="0"/>
      <w:marRight w:val="0"/>
      <w:marTop w:val="0"/>
      <w:marBottom w:val="0"/>
      <w:divBdr>
        <w:top w:val="none" w:sz="0" w:space="0" w:color="auto"/>
        <w:left w:val="none" w:sz="0" w:space="0" w:color="auto"/>
        <w:bottom w:val="none" w:sz="0" w:space="0" w:color="auto"/>
        <w:right w:val="none" w:sz="0" w:space="0" w:color="auto"/>
      </w:divBdr>
    </w:div>
    <w:div w:id="526211668">
      <w:bodyDiv w:val="1"/>
      <w:marLeft w:val="0"/>
      <w:marRight w:val="0"/>
      <w:marTop w:val="0"/>
      <w:marBottom w:val="0"/>
      <w:divBdr>
        <w:top w:val="none" w:sz="0" w:space="0" w:color="auto"/>
        <w:left w:val="none" w:sz="0" w:space="0" w:color="auto"/>
        <w:bottom w:val="none" w:sz="0" w:space="0" w:color="auto"/>
        <w:right w:val="none" w:sz="0" w:space="0" w:color="auto"/>
      </w:divBdr>
    </w:div>
    <w:div w:id="542864440">
      <w:bodyDiv w:val="1"/>
      <w:marLeft w:val="0"/>
      <w:marRight w:val="0"/>
      <w:marTop w:val="0"/>
      <w:marBottom w:val="0"/>
      <w:divBdr>
        <w:top w:val="none" w:sz="0" w:space="0" w:color="auto"/>
        <w:left w:val="none" w:sz="0" w:space="0" w:color="auto"/>
        <w:bottom w:val="none" w:sz="0" w:space="0" w:color="auto"/>
        <w:right w:val="none" w:sz="0" w:space="0" w:color="auto"/>
      </w:divBdr>
    </w:div>
    <w:div w:id="581334978">
      <w:bodyDiv w:val="1"/>
      <w:marLeft w:val="0"/>
      <w:marRight w:val="0"/>
      <w:marTop w:val="0"/>
      <w:marBottom w:val="0"/>
      <w:divBdr>
        <w:top w:val="none" w:sz="0" w:space="0" w:color="auto"/>
        <w:left w:val="none" w:sz="0" w:space="0" w:color="auto"/>
        <w:bottom w:val="none" w:sz="0" w:space="0" w:color="auto"/>
        <w:right w:val="none" w:sz="0" w:space="0" w:color="auto"/>
      </w:divBdr>
    </w:div>
    <w:div w:id="611859891">
      <w:bodyDiv w:val="1"/>
      <w:marLeft w:val="0"/>
      <w:marRight w:val="0"/>
      <w:marTop w:val="0"/>
      <w:marBottom w:val="0"/>
      <w:divBdr>
        <w:top w:val="none" w:sz="0" w:space="0" w:color="auto"/>
        <w:left w:val="none" w:sz="0" w:space="0" w:color="auto"/>
        <w:bottom w:val="none" w:sz="0" w:space="0" w:color="auto"/>
        <w:right w:val="none" w:sz="0" w:space="0" w:color="auto"/>
      </w:divBdr>
    </w:div>
    <w:div w:id="650672307">
      <w:bodyDiv w:val="1"/>
      <w:marLeft w:val="0"/>
      <w:marRight w:val="0"/>
      <w:marTop w:val="0"/>
      <w:marBottom w:val="0"/>
      <w:divBdr>
        <w:top w:val="none" w:sz="0" w:space="0" w:color="auto"/>
        <w:left w:val="none" w:sz="0" w:space="0" w:color="auto"/>
        <w:bottom w:val="none" w:sz="0" w:space="0" w:color="auto"/>
        <w:right w:val="none" w:sz="0" w:space="0" w:color="auto"/>
      </w:divBdr>
    </w:div>
    <w:div w:id="651787373">
      <w:bodyDiv w:val="1"/>
      <w:marLeft w:val="0"/>
      <w:marRight w:val="0"/>
      <w:marTop w:val="0"/>
      <w:marBottom w:val="0"/>
      <w:divBdr>
        <w:top w:val="none" w:sz="0" w:space="0" w:color="auto"/>
        <w:left w:val="none" w:sz="0" w:space="0" w:color="auto"/>
        <w:bottom w:val="none" w:sz="0" w:space="0" w:color="auto"/>
        <w:right w:val="none" w:sz="0" w:space="0" w:color="auto"/>
      </w:divBdr>
    </w:div>
    <w:div w:id="714230591">
      <w:bodyDiv w:val="1"/>
      <w:marLeft w:val="0"/>
      <w:marRight w:val="0"/>
      <w:marTop w:val="0"/>
      <w:marBottom w:val="0"/>
      <w:divBdr>
        <w:top w:val="none" w:sz="0" w:space="0" w:color="auto"/>
        <w:left w:val="none" w:sz="0" w:space="0" w:color="auto"/>
        <w:bottom w:val="none" w:sz="0" w:space="0" w:color="auto"/>
        <w:right w:val="none" w:sz="0" w:space="0" w:color="auto"/>
      </w:divBdr>
    </w:div>
    <w:div w:id="716469170">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978848241">
      <w:bodyDiv w:val="1"/>
      <w:marLeft w:val="0"/>
      <w:marRight w:val="0"/>
      <w:marTop w:val="0"/>
      <w:marBottom w:val="0"/>
      <w:divBdr>
        <w:top w:val="none" w:sz="0" w:space="0" w:color="auto"/>
        <w:left w:val="none" w:sz="0" w:space="0" w:color="auto"/>
        <w:bottom w:val="none" w:sz="0" w:space="0" w:color="auto"/>
        <w:right w:val="none" w:sz="0" w:space="0" w:color="auto"/>
      </w:divBdr>
    </w:div>
    <w:div w:id="1046561996">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30710686">
      <w:bodyDiv w:val="1"/>
      <w:marLeft w:val="0"/>
      <w:marRight w:val="0"/>
      <w:marTop w:val="0"/>
      <w:marBottom w:val="0"/>
      <w:divBdr>
        <w:top w:val="none" w:sz="0" w:space="0" w:color="auto"/>
        <w:left w:val="none" w:sz="0" w:space="0" w:color="auto"/>
        <w:bottom w:val="none" w:sz="0" w:space="0" w:color="auto"/>
        <w:right w:val="none" w:sz="0" w:space="0" w:color="auto"/>
      </w:divBdr>
    </w:div>
    <w:div w:id="1205604139">
      <w:bodyDiv w:val="1"/>
      <w:marLeft w:val="0"/>
      <w:marRight w:val="0"/>
      <w:marTop w:val="0"/>
      <w:marBottom w:val="0"/>
      <w:divBdr>
        <w:top w:val="none" w:sz="0" w:space="0" w:color="auto"/>
        <w:left w:val="none" w:sz="0" w:space="0" w:color="auto"/>
        <w:bottom w:val="none" w:sz="0" w:space="0" w:color="auto"/>
        <w:right w:val="none" w:sz="0" w:space="0" w:color="auto"/>
      </w:divBdr>
    </w:div>
    <w:div w:id="1207446267">
      <w:bodyDiv w:val="1"/>
      <w:marLeft w:val="0"/>
      <w:marRight w:val="0"/>
      <w:marTop w:val="0"/>
      <w:marBottom w:val="0"/>
      <w:divBdr>
        <w:top w:val="none" w:sz="0" w:space="0" w:color="auto"/>
        <w:left w:val="none" w:sz="0" w:space="0" w:color="auto"/>
        <w:bottom w:val="none" w:sz="0" w:space="0" w:color="auto"/>
        <w:right w:val="none" w:sz="0" w:space="0" w:color="auto"/>
      </w:divBdr>
    </w:div>
    <w:div w:id="1258829817">
      <w:bodyDiv w:val="1"/>
      <w:marLeft w:val="0"/>
      <w:marRight w:val="0"/>
      <w:marTop w:val="0"/>
      <w:marBottom w:val="0"/>
      <w:divBdr>
        <w:top w:val="none" w:sz="0" w:space="0" w:color="auto"/>
        <w:left w:val="none" w:sz="0" w:space="0" w:color="auto"/>
        <w:bottom w:val="none" w:sz="0" w:space="0" w:color="auto"/>
        <w:right w:val="none" w:sz="0" w:space="0" w:color="auto"/>
      </w:divBdr>
    </w:div>
    <w:div w:id="1283729342">
      <w:bodyDiv w:val="1"/>
      <w:marLeft w:val="0"/>
      <w:marRight w:val="0"/>
      <w:marTop w:val="0"/>
      <w:marBottom w:val="0"/>
      <w:divBdr>
        <w:top w:val="none" w:sz="0" w:space="0" w:color="auto"/>
        <w:left w:val="none" w:sz="0" w:space="0" w:color="auto"/>
        <w:bottom w:val="none" w:sz="0" w:space="0" w:color="auto"/>
        <w:right w:val="none" w:sz="0" w:space="0" w:color="auto"/>
      </w:divBdr>
    </w:div>
    <w:div w:id="1290015059">
      <w:bodyDiv w:val="1"/>
      <w:marLeft w:val="0"/>
      <w:marRight w:val="0"/>
      <w:marTop w:val="0"/>
      <w:marBottom w:val="0"/>
      <w:divBdr>
        <w:top w:val="none" w:sz="0" w:space="0" w:color="auto"/>
        <w:left w:val="none" w:sz="0" w:space="0" w:color="auto"/>
        <w:bottom w:val="none" w:sz="0" w:space="0" w:color="auto"/>
        <w:right w:val="none" w:sz="0" w:space="0" w:color="auto"/>
      </w:divBdr>
    </w:div>
    <w:div w:id="1295872040">
      <w:bodyDiv w:val="1"/>
      <w:marLeft w:val="0"/>
      <w:marRight w:val="0"/>
      <w:marTop w:val="0"/>
      <w:marBottom w:val="0"/>
      <w:divBdr>
        <w:top w:val="none" w:sz="0" w:space="0" w:color="auto"/>
        <w:left w:val="none" w:sz="0" w:space="0" w:color="auto"/>
        <w:bottom w:val="none" w:sz="0" w:space="0" w:color="auto"/>
        <w:right w:val="none" w:sz="0" w:space="0" w:color="auto"/>
      </w:divBdr>
      <w:divsChild>
        <w:div w:id="657072079">
          <w:marLeft w:val="0"/>
          <w:marRight w:val="0"/>
          <w:marTop w:val="0"/>
          <w:marBottom w:val="0"/>
          <w:divBdr>
            <w:top w:val="none" w:sz="0" w:space="0" w:color="auto"/>
            <w:left w:val="none" w:sz="0" w:space="0" w:color="auto"/>
            <w:bottom w:val="none" w:sz="0" w:space="0" w:color="auto"/>
            <w:right w:val="none" w:sz="0" w:space="0" w:color="auto"/>
          </w:divBdr>
          <w:divsChild>
            <w:div w:id="171991568">
              <w:marLeft w:val="0"/>
              <w:marRight w:val="0"/>
              <w:marTop w:val="0"/>
              <w:marBottom w:val="0"/>
              <w:divBdr>
                <w:top w:val="none" w:sz="0" w:space="0" w:color="auto"/>
                <w:left w:val="none" w:sz="0" w:space="0" w:color="auto"/>
                <w:bottom w:val="none" w:sz="0" w:space="0" w:color="auto"/>
                <w:right w:val="none" w:sz="0" w:space="0" w:color="auto"/>
              </w:divBdr>
              <w:divsChild>
                <w:div w:id="1546023814">
                  <w:marLeft w:val="0"/>
                  <w:marRight w:val="0"/>
                  <w:marTop w:val="0"/>
                  <w:marBottom w:val="0"/>
                  <w:divBdr>
                    <w:top w:val="none" w:sz="0" w:space="0" w:color="auto"/>
                    <w:left w:val="none" w:sz="0" w:space="0" w:color="auto"/>
                    <w:bottom w:val="none" w:sz="0" w:space="0" w:color="auto"/>
                    <w:right w:val="none" w:sz="0" w:space="0" w:color="auto"/>
                  </w:divBdr>
                  <w:divsChild>
                    <w:div w:id="13894208">
                      <w:marLeft w:val="0"/>
                      <w:marRight w:val="0"/>
                      <w:marTop w:val="0"/>
                      <w:marBottom w:val="0"/>
                      <w:divBdr>
                        <w:top w:val="none" w:sz="0" w:space="0" w:color="auto"/>
                        <w:left w:val="none" w:sz="0" w:space="0" w:color="auto"/>
                        <w:bottom w:val="none" w:sz="0" w:space="0" w:color="auto"/>
                        <w:right w:val="none" w:sz="0" w:space="0" w:color="auto"/>
                      </w:divBdr>
                      <w:divsChild>
                        <w:div w:id="1939872046">
                          <w:marLeft w:val="0"/>
                          <w:marRight w:val="0"/>
                          <w:marTop w:val="0"/>
                          <w:marBottom w:val="0"/>
                          <w:divBdr>
                            <w:top w:val="none" w:sz="0" w:space="0" w:color="auto"/>
                            <w:left w:val="none" w:sz="0" w:space="0" w:color="auto"/>
                            <w:bottom w:val="none" w:sz="0" w:space="0" w:color="auto"/>
                            <w:right w:val="none" w:sz="0" w:space="0" w:color="auto"/>
                          </w:divBdr>
                          <w:divsChild>
                            <w:div w:id="606695982">
                              <w:marLeft w:val="-225"/>
                              <w:marRight w:val="0"/>
                              <w:marTop w:val="0"/>
                              <w:marBottom w:val="0"/>
                              <w:divBdr>
                                <w:top w:val="none" w:sz="0" w:space="0" w:color="auto"/>
                                <w:left w:val="none" w:sz="0" w:space="0" w:color="auto"/>
                                <w:bottom w:val="none" w:sz="0" w:space="0" w:color="auto"/>
                                <w:right w:val="none" w:sz="0" w:space="0" w:color="auto"/>
                              </w:divBdr>
                              <w:divsChild>
                                <w:div w:id="632251477">
                                  <w:marLeft w:val="0"/>
                                  <w:marRight w:val="0"/>
                                  <w:marTop w:val="0"/>
                                  <w:marBottom w:val="0"/>
                                  <w:divBdr>
                                    <w:top w:val="none" w:sz="0" w:space="0" w:color="auto"/>
                                    <w:left w:val="none" w:sz="0" w:space="0" w:color="auto"/>
                                    <w:bottom w:val="none" w:sz="0" w:space="0" w:color="auto"/>
                                    <w:right w:val="none" w:sz="0" w:space="0" w:color="auto"/>
                                  </w:divBdr>
                                  <w:divsChild>
                                    <w:div w:id="1349915153">
                                      <w:marLeft w:val="0"/>
                                      <w:marRight w:val="0"/>
                                      <w:marTop w:val="0"/>
                                      <w:marBottom w:val="0"/>
                                      <w:divBdr>
                                        <w:top w:val="none" w:sz="0" w:space="0" w:color="auto"/>
                                        <w:left w:val="none" w:sz="0" w:space="0" w:color="auto"/>
                                        <w:bottom w:val="none" w:sz="0" w:space="0" w:color="auto"/>
                                        <w:right w:val="none" w:sz="0" w:space="0" w:color="auto"/>
                                      </w:divBdr>
                                      <w:divsChild>
                                        <w:div w:id="1888688041">
                                          <w:marLeft w:val="0"/>
                                          <w:marRight w:val="0"/>
                                          <w:marTop w:val="0"/>
                                          <w:marBottom w:val="0"/>
                                          <w:divBdr>
                                            <w:top w:val="none" w:sz="0" w:space="0" w:color="auto"/>
                                            <w:left w:val="none" w:sz="0" w:space="0" w:color="auto"/>
                                            <w:bottom w:val="none" w:sz="0" w:space="0" w:color="auto"/>
                                            <w:right w:val="none" w:sz="0" w:space="0" w:color="auto"/>
                                          </w:divBdr>
                                          <w:divsChild>
                                            <w:div w:id="691033410">
                                              <w:marLeft w:val="0"/>
                                              <w:marRight w:val="0"/>
                                              <w:marTop w:val="0"/>
                                              <w:marBottom w:val="0"/>
                                              <w:divBdr>
                                                <w:top w:val="none" w:sz="0" w:space="0" w:color="auto"/>
                                                <w:left w:val="none" w:sz="0" w:space="0" w:color="auto"/>
                                                <w:bottom w:val="none" w:sz="0" w:space="0" w:color="auto"/>
                                                <w:right w:val="none" w:sz="0" w:space="0" w:color="auto"/>
                                              </w:divBdr>
                                              <w:divsChild>
                                                <w:div w:id="1777166608">
                                                  <w:marLeft w:val="0"/>
                                                  <w:marRight w:val="0"/>
                                                  <w:marTop w:val="0"/>
                                                  <w:marBottom w:val="0"/>
                                                  <w:divBdr>
                                                    <w:top w:val="none" w:sz="0" w:space="0" w:color="auto"/>
                                                    <w:left w:val="none" w:sz="0" w:space="0" w:color="auto"/>
                                                    <w:bottom w:val="none" w:sz="0" w:space="0" w:color="auto"/>
                                                    <w:right w:val="none" w:sz="0" w:space="0" w:color="auto"/>
                                                  </w:divBdr>
                                                  <w:divsChild>
                                                    <w:div w:id="18825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80268462">
      <w:bodyDiv w:val="1"/>
      <w:marLeft w:val="0"/>
      <w:marRight w:val="0"/>
      <w:marTop w:val="0"/>
      <w:marBottom w:val="0"/>
      <w:divBdr>
        <w:top w:val="none" w:sz="0" w:space="0" w:color="auto"/>
        <w:left w:val="none" w:sz="0" w:space="0" w:color="auto"/>
        <w:bottom w:val="none" w:sz="0" w:space="0" w:color="auto"/>
        <w:right w:val="none" w:sz="0" w:space="0" w:color="auto"/>
      </w:divBdr>
    </w:div>
    <w:div w:id="1486126905">
      <w:bodyDiv w:val="1"/>
      <w:marLeft w:val="0"/>
      <w:marRight w:val="0"/>
      <w:marTop w:val="0"/>
      <w:marBottom w:val="0"/>
      <w:divBdr>
        <w:top w:val="none" w:sz="0" w:space="0" w:color="auto"/>
        <w:left w:val="none" w:sz="0" w:space="0" w:color="auto"/>
        <w:bottom w:val="none" w:sz="0" w:space="0" w:color="auto"/>
        <w:right w:val="none" w:sz="0" w:space="0" w:color="auto"/>
      </w:divBdr>
    </w:div>
    <w:div w:id="1487741508">
      <w:bodyDiv w:val="1"/>
      <w:marLeft w:val="0"/>
      <w:marRight w:val="0"/>
      <w:marTop w:val="0"/>
      <w:marBottom w:val="0"/>
      <w:divBdr>
        <w:top w:val="none" w:sz="0" w:space="0" w:color="auto"/>
        <w:left w:val="none" w:sz="0" w:space="0" w:color="auto"/>
        <w:bottom w:val="none" w:sz="0" w:space="0" w:color="auto"/>
        <w:right w:val="none" w:sz="0" w:space="0" w:color="auto"/>
      </w:divBdr>
    </w:div>
    <w:div w:id="1506743804">
      <w:bodyDiv w:val="1"/>
      <w:marLeft w:val="0"/>
      <w:marRight w:val="0"/>
      <w:marTop w:val="0"/>
      <w:marBottom w:val="0"/>
      <w:divBdr>
        <w:top w:val="none" w:sz="0" w:space="0" w:color="auto"/>
        <w:left w:val="none" w:sz="0" w:space="0" w:color="auto"/>
        <w:bottom w:val="none" w:sz="0" w:space="0" w:color="auto"/>
        <w:right w:val="none" w:sz="0" w:space="0" w:color="auto"/>
      </w:divBdr>
    </w:div>
    <w:div w:id="1531188866">
      <w:bodyDiv w:val="1"/>
      <w:marLeft w:val="0"/>
      <w:marRight w:val="0"/>
      <w:marTop w:val="0"/>
      <w:marBottom w:val="0"/>
      <w:divBdr>
        <w:top w:val="none" w:sz="0" w:space="0" w:color="auto"/>
        <w:left w:val="none" w:sz="0" w:space="0" w:color="auto"/>
        <w:bottom w:val="none" w:sz="0" w:space="0" w:color="auto"/>
        <w:right w:val="none" w:sz="0" w:space="0" w:color="auto"/>
      </w:divBdr>
    </w:div>
    <w:div w:id="1531918828">
      <w:bodyDiv w:val="1"/>
      <w:marLeft w:val="0"/>
      <w:marRight w:val="0"/>
      <w:marTop w:val="0"/>
      <w:marBottom w:val="0"/>
      <w:divBdr>
        <w:top w:val="none" w:sz="0" w:space="0" w:color="auto"/>
        <w:left w:val="none" w:sz="0" w:space="0" w:color="auto"/>
        <w:bottom w:val="none" w:sz="0" w:space="0" w:color="auto"/>
        <w:right w:val="none" w:sz="0" w:space="0" w:color="auto"/>
      </w:divBdr>
    </w:div>
    <w:div w:id="1541740851">
      <w:bodyDiv w:val="1"/>
      <w:marLeft w:val="0"/>
      <w:marRight w:val="0"/>
      <w:marTop w:val="0"/>
      <w:marBottom w:val="0"/>
      <w:divBdr>
        <w:top w:val="none" w:sz="0" w:space="0" w:color="auto"/>
        <w:left w:val="none" w:sz="0" w:space="0" w:color="auto"/>
        <w:bottom w:val="none" w:sz="0" w:space="0" w:color="auto"/>
        <w:right w:val="none" w:sz="0" w:space="0" w:color="auto"/>
      </w:divBdr>
    </w:div>
    <w:div w:id="1582907955">
      <w:bodyDiv w:val="1"/>
      <w:marLeft w:val="0"/>
      <w:marRight w:val="0"/>
      <w:marTop w:val="0"/>
      <w:marBottom w:val="0"/>
      <w:divBdr>
        <w:top w:val="none" w:sz="0" w:space="0" w:color="auto"/>
        <w:left w:val="none" w:sz="0" w:space="0" w:color="auto"/>
        <w:bottom w:val="none" w:sz="0" w:space="0" w:color="auto"/>
        <w:right w:val="none" w:sz="0" w:space="0" w:color="auto"/>
      </w:divBdr>
    </w:div>
    <w:div w:id="1587182988">
      <w:bodyDiv w:val="1"/>
      <w:marLeft w:val="0"/>
      <w:marRight w:val="0"/>
      <w:marTop w:val="0"/>
      <w:marBottom w:val="0"/>
      <w:divBdr>
        <w:top w:val="none" w:sz="0" w:space="0" w:color="auto"/>
        <w:left w:val="none" w:sz="0" w:space="0" w:color="auto"/>
        <w:bottom w:val="none" w:sz="0" w:space="0" w:color="auto"/>
        <w:right w:val="none" w:sz="0" w:space="0" w:color="auto"/>
      </w:divBdr>
    </w:div>
    <w:div w:id="1633248124">
      <w:bodyDiv w:val="1"/>
      <w:marLeft w:val="0"/>
      <w:marRight w:val="0"/>
      <w:marTop w:val="0"/>
      <w:marBottom w:val="0"/>
      <w:divBdr>
        <w:top w:val="none" w:sz="0" w:space="0" w:color="auto"/>
        <w:left w:val="none" w:sz="0" w:space="0" w:color="auto"/>
        <w:bottom w:val="none" w:sz="0" w:space="0" w:color="auto"/>
        <w:right w:val="none" w:sz="0" w:space="0" w:color="auto"/>
      </w:divBdr>
    </w:div>
    <w:div w:id="1634284317">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82509369">
      <w:bodyDiv w:val="1"/>
      <w:marLeft w:val="0"/>
      <w:marRight w:val="0"/>
      <w:marTop w:val="0"/>
      <w:marBottom w:val="0"/>
      <w:divBdr>
        <w:top w:val="none" w:sz="0" w:space="0" w:color="auto"/>
        <w:left w:val="none" w:sz="0" w:space="0" w:color="auto"/>
        <w:bottom w:val="none" w:sz="0" w:space="0" w:color="auto"/>
        <w:right w:val="none" w:sz="0" w:space="0" w:color="auto"/>
      </w:divBdr>
    </w:div>
    <w:div w:id="1682661250">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56200872">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949848890">
      <w:bodyDiv w:val="1"/>
      <w:marLeft w:val="0"/>
      <w:marRight w:val="0"/>
      <w:marTop w:val="0"/>
      <w:marBottom w:val="0"/>
      <w:divBdr>
        <w:top w:val="none" w:sz="0" w:space="0" w:color="auto"/>
        <w:left w:val="none" w:sz="0" w:space="0" w:color="auto"/>
        <w:bottom w:val="none" w:sz="0" w:space="0" w:color="auto"/>
        <w:right w:val="none" w:sz="0" w:space="0" w:color="auto"/>
      </w:divBdr>
    </w:div>
    <w:div w:id="2074693689">
      <w:bodyDiv w:val="1"/>
      <w:marLeft w:val="0"/>
      <w:marRight w:val="0"/>
      <w:marTop w:val="0"/>
      <w:marBottom w:val="0"/>
      <w:divBdr>
        <w:top w:val="none" w:sz="0" w:space="0" w:color="auto"/>
        <w:left w:val="none" w:sz="0" w:space="0" w:color="auto"/>
        <w:bottom w:val="none" w:sz="0" w:space="0" w:color="auto"/>
        <w:right w:val="none" w:sz="0" w:space="0" w:color="auto"/>
      </w:divBdr>
    </w:div>
    <w:div w:id="210175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Accenture Letter Template.dot</Template>
  <TotalTime>0</TotalTime>
  <Pages>10</Pages>
  <Words>2541</Words>
  <Characters>14833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17340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Cari Garcia</cp:lastModifiedBy>
  <cp:revision>6</cp:revision>
  <cp:lastPrinted>2015-07-23T20:36:00Z</cp:lastPrinted>
  <dcterms:created xsi:type="dcterms:W3CDTF">2018-01-19T02:16:00Z</dcterms:created>
  <dcterms:modified xsi:type="dcterms:W3CDTF">2018-01-19T20:34:00Z</dcterms:modified>
  <cp:category>Change Order</cp:category>
</cp:coreProperties>
</file>