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648" w:type="dxa"/>
        <w:jc w:val="center"/>
        <w:tblLook w:val="04A0" w:firstRow="1" w:lastRow="0" w:firstColumn="1" w:lastColumn="0" w:noHBand="0" w:noVBand="1"/>
      </w:tblPr>
      <w:tblGrid>
        <w:gridCol w:w="339"/>
        <w:gridCol w:w="1428"/>
        <w:gridCol w:w="9881"/>
      </w:tblGrid>
      <w:tr w:rsidR="00397A4F" w:rsidRPr="0023730E" w14:paraId="7B5568E6" w14:textId="77777777" w:rsidTr="00620F1A">
        <w:trPr>
          <w:cantSplit/>
          <w:trHeight w:val="144"/>
          <w:tblHeader/>
          <w:jc w:val="center"/>
        </w:trPr>
        <w:tc>
          <w:tcPr>
            <w:tcW w:w="339" w:type="dxa"/>
            <w:shd w:val="clear" w:color="auto" w:fill="1F497D" w:themeFill="text2"/>
          </w:tcPr>
          <w:p w14:paraId="75D78125" w14:textId="77777777" w:rsidR="00271F9F" w:rsidRPr="0023730E" w:rsidRDefault="00271F9F" w:rsidP="001F1325">
            <w:pPr>
              <w:rPr>
                <w:rFonts w:cs="Arial"/>
                <w:b/>
                <w:color w:val="FFFFFF" w:themeColor="background1"/>
                <w:sz w:val="20"/>
              </w:rPr>
            </w:pPr>
            <w:r w:rsidRPr="0023730E">
              <w:rPr>
                <w:rFonts w:cs="Arial"/>
                <w:b/>
                <w:color w:val="FFFFFF" w:themeColor="background1"/>
                <w:sz w:val="20"/>
              </w:rPr>
              <w:t>#</w:t>
            </w:r>
          </w:p>
        </w:tc>
        <w:tc>
          <w:tcPr>
            <w:tcW w:w="1428" w:type="dxa"/>
            <w:shd w:val="clear" w:color="auto" w:fill="1F497D" w:themeFill="text2"/>
          </w:tcPr>
          <w:p w14:paraId="67826B90" w14:textId="77777777" w:rsidR="00271F9F" w:rsidRPr="009C1871" w:rsidRDefault="00271F9F" w:rsidP="00D9028D">
            <w:pPr>
              <w:rPr>
                <w:rFonts w:cs="Arial"/>
                <w:b/>
                <w:color w:val="FFFFFF" w:themeColor="background1"/>
                <w:sz w:val="18"/>
              </w:rPr>
            </w:pPr>
            <w:r w:rsidRPr="009C1871">
              <w:rPr>
                <w:rFonts w:cs="Arial"/>
                <w:b/>
                <w:color w:val="FFFFFF" w:themeColor="background1"/>
                <w:sz w:val="18"/>
              </w:rPr>
              <w:t>Type of Item</w:t>
            </w:r>
          </w:p>
        </w:tc>
        <w:tc>
          <w:tcPr>
            <w:tcW w:w="9881" w:type="dxa"/>
            <w:shd w:val="clear" w:color="auto" w:fill="1F497D" w:themeFill="text2"/>
          </w:tcPr>
          <w:p w14:paraId="11656EB9" w14:textId="77777777" w:rsidR="00271F9F" w:rsidRPr="009C1871" w:rsidRDefault="00271F9F" w:rsidP="003458BF">
            <w:pPr>
              <w:jc w:val="center"/>
              <w:rPr>
                <w:rFonts w:cs="Arial"/>
                <w:b/>
                <w:color w:val="FFFFFF" w:themeColor="background1"/>
                <w:sz w:val="18"/>
              </w:rPr>
            </w:pPr>
            <w:r w:rsidRPr="009C1871">
              <w:rPr>
                <w:rFonts w:cs="Arial"/>
                <w:b/>
                <w:color w:val="FFFFFF" w:themeColor="background1"/>
                <w:sz w:val="18"/>
              </w:rPr>
              <w:t>Agenda Item/Summary</w:t>
            </w:r>
          </w:p>
        </w:tc>
      </w:tr>
      <w:tr w:rsidR="00620F1A" w:rsidRPr="00A65C7D" w14:paraId="0CD196B9" w14:textId="77777777" w:rsidTr="00555D62">
        <w:trPr>
          <w:cantSplit/>
          <w:trHeight w:val="584"/>
          <w:jc w:val="center"/>
        </w:trPr>
        <w:tc>
          <w:tcPr>
            <w:tcW w:w="339" w:type="dxa"/>
          </w:tcPr>
          <w:p w14:paraId="16A63A84" w14:textId="77777777" w:rsidR="00D9028D" w:rsidRPr="00A65C7D" w:rsidRDefault="00D9028D" w:rsidP="001F1325">
            <w:pPr>
              <w:numPr>
                <w:ilvl w:val="0"/>
                <w:numId w:val="1"/>
              </w:numPr>
              <w:ind w:left="0" w:firstLine="0"/>
              <w:rPr>
                <w:rFonts w:cs="Arial"/>
                <w:sz w:val="20"/>
              </w:rPr>
            </w:pPr>
          </w:p>
        </w:tc>
        <w:tc>
          <w:tcPr>
            <w:tcW w:w="1428" w:type="dxa"/>
          </w:tcPr>
          <w:p w14:paraId="021F9048" w14:textId="77777777" w:rsidR="00D9028D" w:rsidRPr="00E40629" w:rsidRDefault="00D9028D" w:rsidP="00D9028D">
            <w:pPr>
              <w:rPr>
                <w:rFonts w:cs="Arial"/>
                <w:sz w:val="20"/>
                <w:szCs w:val="20"/>
              </w:rPr>
            </w:pPr>
            <w:r w:rsidRPr="00E40629">
              <w:rPr>
                <w:rFonts w:cs="Arial"/>
                <w:sz w:val="20"/>
                <w:szCs w:val="20"/>
              </w:rPr>
              <w:t>Procedural</w:t>
            </w:r>
          </w:p>
        </w:tc>
        <w:tc>
          <w:tcPr>
            <w:tcW w:w="9881" w:type="dxa"/>
          </w:tcPr>
          <w:p w14:paraId="2F0A3CA6" w14:textId="77777777" w:rsidR="00E1589D" w:rsidRPr="00E40629" w:rsidRDefault="00E1589D" w:rsidP="00E1589D">
            <w:pPr>
              <w:rPr>
                <w:rStyle w:val="Strong"/>
                <w:rFonts w:cs="Arial"/>
                <w:sz w:val="20"/>
                <w:szCs w:val="20"/>
              </w:rPr>
            </w:pPr>
            <w:r w:rsidRPr="00E40629">
              <w:rPr>
                <w:rStyle w:val="Strong"/>
                <w:rFonts w:cs="Arial"/>
                <w:sz w:val="20"/>
                <w:szCs w:val="20"/>
              </w:rPr>
              <w:t>Call Meeting to Order</w:t>
            </w:r>
            <w:bookmarkStart w:id="0" w:name="_GoBack"/>
            <w:bookmarkEnd w:id="0"/>
          </w:p>
          <w:p w14:paraId="36C5670D" w14:textId="77777777" w:rsidR="00E1589D" w:rsidRPr="00555D62" w:rsidRDefault="00E1589D" w:rsidP="00E1589D">
            <w:pPr>
              <w:rPr>
                <w:rStyle w:val="Strong"/>
                <w:rFonts w:cs="Arial"/>
                <w:sz w:val="14"/>
                <w:szCs w:val="20"/>
              </w:rPr>
            </w:pPr>
          </w:p>
          <w:p w14:paraId="421077D2" w14:textId="2B437AEE" w:rsidR="00E40629" w:rsidRPr="009C1871" w:rsidRDefault="00E1589D" w:rsidP="00D9028D">
            <w:pPr>
              <w:rPr>
                <w:rStyle w:val="Strong"/>
                <w:b w:val="0"/>
                <w:bCs w:val="0"/>
                <w:sz w:val="20"/>
                <w:szCs w:val="20"/>
              </w:rPr>
            </w:pPr>
            <w:r w:rsidRPr="00E40629">
              <w:rPr>
                <w:rStyle w:val="Strong"/>
                <w:sz w:val="20"/>
                <w:szCs w:val="20"/>
              </w:rPr>
              <w:t xml:space="preserve">Summary: </w:t>
            </w:r>
            <w:r w:rsidR="00D1507D">
              <w:rPr>
                <w:sz w:val="20"/>
                <w:szCs w:val="20"/>
              </w:rPr>
              <w:t>CalACES</w:t>
            </w:r>
            <w:r w:rsidRPr="00E40629">
              <w:rPr>
                <w:sz w:val="20"/>
                <w:szCs w:val="20"/>
              </w:rPr>
              <w:t xml:space="preserve"> Board Chair, Scott Pe</w:t>
            </w:r>
            <w:r w:rsidR="00510226">
              <w:rPr>
                <w:sz w:val="20"/>
                <w:szCs w:val="20"/>
              </w:rPr>
              <w:t>ttygrove, will call the meeting</w:t>
            </w:r>
            <w:r w:rsidRPr="00E40629">
              <w:rPr>
                <w:sz w:val="20"/>
                <w:szCs w:val="20"/>
              </w:rPr>
              <w:t xml:space="preserve"> to order.</w:t>
            </w:r>
          </w:p>
        </w:tc>
      </w:tr>
      <w:tr w:rsidR="00620F1A" w:rsidRPr="00A65C7D" w14:paraId="73046644" w14:textId="77777777" w:rsidTr="00555D62">
        <w:trPr>
          <w:cantSplit/>
          <w:trHeight w:val="485"/>
          <w:jc w:val="center"/>
        </w:trPr>
        <w:tc>
          <w:tcPr>
            <w:tcW w:w="339" w:type="dxa"/>
          </w:tcPr>
          <w:p w14:paraId="5F8FEC1B" w14:textId="77777777" w:rsidR="00D9028D" w:rsidRPr="00A65C7D" w:rsidRDefault="00D9028D" w:rsidP="001F1325">
            <w:pPr>
              <w:numPr>
                <w:ilvl w:val="0"/>
                <w:numId w:val="1"/>
              </w:numPr>
              <w:ind w:left="0" w:firstLine="0"/>
              <w:rPr>
                <w:rFonts w:cs="Arial"/>
                <w:sz w:val="20"/>
              </w:rPr>
            </w:pPr>
          </w:p>
        </w:tc>
        <w:tc>
          <w:tcPr>
            <w:tcW w:w="1428" w:type="dxa"/>
          </w:tcPr>
          <w:p w14:paraId="2F61AACA" w14:textId="77777777" w:rsidR="00D9028D" w:rsidRDefault="00D9028D" w:rsidP="00D9028D">
            <w:pPr>
              <w:rPr>
                <w:rFonts w:cs="Arial"/>
                <w:sz w:val="20"/>
              </w:rPr>
            </w:pPr>
            <w:r>
              <w:rPr>
                <w:rFonts w:cs="Arial"/>
                <w:sz w:val="20"/>
              </w:rPr>
              <w:t>Procedural</w:t>
            </w:r>
          </w:p>
        </w:tc>
        <w:tc>
          <w:tcPr>
            <w:tcW w:w="9881" w:type="dxa"/>
          </w:tcPr>
          <w:p w14:paraId="50E1DF33" w14:textId="77777777" w:rsidR="00D9028D" w:rsidRDefault="00D9028D" w:rsidP="00D9028D">
            <w:pPr>
              <w:rPr>
                <w:rStyle w:val="Strong"/>
                <w:rFonts w:cs="Arial"/>
                <w:sz w:val="20"/>
              </w:rPr>
            </w:pPr>
            <w:r>
              <w:rPr>
                <w:rStyle w:val="Strong"/>
                <w:rFonts w:cs="Arial"/>
                <w:sz w:val="20"/>
              </w:rPr>
              <w:t>Public opportunity to speak on items not on the Agenda</w:t>
            </w:r>
          </w:p>
          <w:p w14:paraId="043C7CE0" w14:textId="77777777" w:rsidR="00E40629" w:rsidRPr="00555D62" w:rsidRDefault="00E40629" w:rsidP="00D9028D">
            <w:pPr>
              <w:rPr>
                <w:rStyle w:val="Strong"/>
                <w:rFonts w:cs="Arial"/>
                <w:sz w:val="14"/>
              </w:rPr>
            </w:pPr>
          </w:p>
          <w:p w14:paraId="5779B43D" w14:textId="6644EC30" w:rsidR="00E40629" w:rsidRPr="009C1871" w:rsidRDefault="00E40629" w:rsidP="00D9028D">
            <w:pPr>
              <w:rPr>
                <w:rStyle w:val="Strong"/>
                <w:rFonts w:cs="Arial"/>
                <w:b w:val="0"/>
                <w:sz w:val="20"/>
              </w:rPr>
            </w:pPr>
            <w:r w:rsidRPr="00E40629">
              <w:rPr>
                <w:rStyle w:val="Strong"/>
                <w:rFonts w:cs="Arial"/>
                <w:sz w:val="20"/>
              </w:rPr>
              <w:t xml:space="preserve">Summary: </w:t>
            </w:r>
            <w:r w:rsidRPr="00E40629">
              <w:rPr>
                <w:rStyle w:val="Strong"/>
                <w:rFonts w:cs="Arial"/>
                <w:b w:val="0"/>
                <w:sz w:val="20"/>
              </w:rPr>
              <w:t>Scott Pettygrove will provide the Public with an opportunity to speak on items not on the agenda.</w:t>
            </w:r>
          </w:p>
        </w:tc>
      </w:tr>
      <w:tr w:rsidR="00620F1A" w:rsidRPr="00A65C7D" w14:paraId="10ACB9F2" w14:textId="77777777" w:rsidTr="00555D62">
        <w:trPr>
          <w:cantSplit/>
          <w:trHeight w:val="485"/>
          <w:jc w:val="center"/>
        </w:trPr>
        <w:tc>
          <w:tcPr>
            <w:tcW w:w="339" w:type="dxa"/>
          </w:tcPr>
          <w:p w14:paraId="250D04E4" w14:textId="77777777" w:rsidR="005A02B1" w:rsidRPr="00A65C7D" w:rsidRDefault="005A02B1" w:rsidP="001F1325">
            <w:pPr>
              <w:numPr>
                <w:ilvl w:val="0"/>
                <w:numId w:val="1"/>
              </w:numPr>
              <w:ind w:left="0" w:firstLine="0"/>
              <w:rPr>
                <w:rFonts w:cs="Arial"/>
                <w:sz w:val="20"/>
              </w:rPr>
            </w:pPr>
          </w:p>
        </w:tc>
        <w:tc>
          <w:tcPr>
            <w:tcW w:w="1428" w:type="dxa"/>
          </w:tcPr>
          <w:p w14:paraId="7F8171FF" w14:textId="7DD45CAE" w:rsidR="005A02B1" w:rsidRDefault="005A02B1" w:rsidP="00D9028D">
            <w:pPr>
              <w:rPr>
                <w:rFonts w:cs="Arial"/>
                <w:sz w:val="20"/>
              </w:rPr>
            </w:pPr>
            <w:r>
              <w:rPr>
                <w:rFonts w:cs="Arial"/>
                <w:sz w:val="20"/>
              </w:rPr>
              <w:t>Informational</w:t>
            </w:r>
          </w:p>
        </w:tc>
        <w:tc>
          <w:tcPr>
            <w:tcW w:w="9881" w:type="dxa"/>
          </w:tcPr>
          <w:p w14:paraId="42EE4DC9" w14:textId="77777777" w:rsidR="005A02B1" w:rsidRDefault="005A02B1" w:rsidP="00D9028D">
            <w:pPr>
              <w:rPr>
                <w:rStyle w:val="Strong"/>
                <w:rFonts w:cs="Arial"/>
                <w:sz w:val="20"/>
              </w:rPr>
            </w:pPr>
            <w:r w:rsidRPr="005A02B1">
              <w:rPr>
                <w:rStyle w:val="Strong"/>
                <w:rFonts w:cs="Arial"/>
                <w:sz w:val="20"/>
              </w:rPr>
              <w:t>Introduce new LA County Director Roxana Molina</w:t>
            </w:r>
          </w:p>
          <w:p w14:paraId="31E349A8" w14:textId="77777777" w:rsidR="005A02B1" w:rsidRPr="00555D62" w:rsidRDefault="005A02B1" w:rsidP="00D9028D">
            <w:pPr>
              <w:rPr>
                <w:rStyle w:val="Strong"/>
                <w:rFonts w:cs="Arial"/>
                <w:sz w:val="14"/>
              </w:rPr>
            </w:pPr>
          </w:p>
          <w:p w14:paraId="23FF354E" w14:textId="3C496F27" w:rsidR="005A02B1" w:rsidRPr="005A02B1" w:rsidRDefault="005A02B1" w:rsidP="00B91426">
            <w:pPr>
              <w:rPr>
                <w:rStyle w:val="Strong"/>
                <w:rFonts w:cs="Arial"/>
                <w:b w:val="0"/>
                <w:sz w:val="20"/>
              </w:rPr>
            </w:pPr>
            <w:r>
              <w:rPr>
                <w:rStyle w:val="Strong"/>
                <w:rFonts w:cs="Arial"/>
                <w:sz w:val="20"/>
              </w:rPr>
              <w:t>Summary:</w:t>
            </w:r>
            <w:r>
              <w:rPr>
                <w:rStyle w:val="Strong"/>
                <w:rFonts w:cs="Arial"/>
                <w:b w:val="0"/>
                <w:sz w:val="20"/>
              </w:rPr>
              <w:t xml:space="preserve"> </w:t>
            </w:r>
            <w:r w:rsidR="00B91426">
              <w:rPr>
                <w:rStyle w:val="Strong"/>
                <w:rFonts w:cs="Arial"/>
                <w:b w:val="0"/>
                <w:sz w:val="20"/>
              </w:rPr>
              <w:t>Antonia Jimenez</w:t>
            </w:r>
            <w:r w:rsidRPr="005A02B1">
              <w:rPr>
                <w:rStyle w:val="Strong"/>
                <w:rFonts w:cs="Arial"/>
                <w:b w:val="0"/>
                <w:sz w:val="20"/>
              </w:rPr>
              <w:t xml:space="preserve"> will introduce new LA County Board Member Chief In-Charge, Roxana Molina</w:t>
            </w:r>
            <w:r>
              <w:rPr>
                <w:rStyle w:val="Strong"/>
                <w:rFonts w:cs="Arial"/>
                <w:b w:val="0"/>
                <w:sz w:val="20"/>
              </w:rPr>
              <w:t>.</w:t>
            </w:r>
          </w:p>
        </w:tc>
      </w:tr>
      <w:tr w:rsidR="00397A4F" w:rsidRPr="0023730E" w14:paraId="7A9D1D25" w14:textId="77777777" w:rsidTr="00620F1A">
        <w:trPr>
          <w:cantSplit/>
          <w:trHeight w:val="144"/>
          <w:tblHeader/>
          <w:jc w:val="center"/>
        </w:trPr>
        <w:tc>
          <w:tcPr>
            <w:tcW w:w="339" w:type="dxa"/>
            <w:shd w:val="clear" w:color="auto" w:fill="1F497D" w:themeFill="text2"/>
          </w:tcPr>
          <w:p w14:paraId="1A8780E0" w14:textId="69731B35" w:rsidR="003458BF" w:rsidRPr="0023730E" w:rsidRDefault="003458BF" w:rsidP="00195D1B">
            <w:pPr>
              <w:rPr>
                <w:rFonts w:cs="Arial"/>
                <w:b/>
                <w:color w:val="FFFFFF" w:themeColor="background1"/>
                <w:sz w:val="20"/>
              </w:rPr>
            </w:pPr>
          </w:p>
        </w:tc>
        <w:tc>
          <w:tcPr>
            <w:tcW w:w="1428" w:type="dxa"/>
            <w:shd w:val="clear" w:color="auto" w:fill="1F497D" w:themeFill="text2"/>
          </w:tcPr>
          <w:p w14:paraId="5B67C992" w14:textId="0FF94906" w:rsidR="003458BF" w:rsidRPr="0023730E" w:rsidRDefault="003458BF" w:rsidP="00195D1B">
            <w:pPr>
              <w:rPr>
                <w:rFonts w:cs="Arial"/>
                <w:b/>
                <w:color w:val="FFFFFF" w:themeColor="background1"/>
                <w:sz w:val="20"/>
              </w:rPr>
            </w:pPr>
          </w:p>
        </w:tc>
        <w:tc>
          <w:tcPr>
            <w:tcW w:w="9881" w:type="dxa"/>
            <w:shd w:val="clear" w:color="auto" w:fill="1F497D" w:themeFill="text2"/>
          </w:tcPr>
          <w:p w14:paraId="37ACC8B8" w14:textId="6549C75E" w:rsidR="003458BF" w:rsidRPr="009C1871" w:rsidRDefault="003458BF" w:rsidP="00195D1B">
            <w:pPr>
              <w:jc w:val="center"/>
              <w:rPr>
                <w:rFonts w:cs="Arial"/>
                <w:b/>
                <w:color w:val="FFFFFF" w:themeColor="background1"/>
                <w:sz w:val="18"/>
              </w:rPr>
            </w:pPr>
            <w:r w:rsidRPr="009C1871">
              <w:rPr>
                <w:rFonts w:cs="Arial"/>
                <w:b/>
                <w:color w:val="FFFFFF" w:themeColor="background1"/>
                <w:sz w:val="18"/>
              </w:rPr>
              <w:t>JPA Board Action Items</w:t>
            </w:r>
          </w:p>
        </w:tc>
      </w:tr>
      <w:tr w:rsidR="00620F1A" w:rsidRPr="00A65C7D" w14:paraId="7040510D" w14:textId="77777777" w:rsidTr="00620F1A">
        <w:trPr>
          <w:cantSplit/>
          <w:trHeight w:val="1340"/>
          <w:jc w:val="center"/>
        </w:trPr>
        <w:tc>
          <w:tcPr>
            <w:tcW w:w="339" w:type="dxa"/>
          </w:tcPr>
          <w:p w14:paraId="0AD4444E" w14:textId="77777777" w:rsidR="00EA4117" w:rsidRPr="00A65C7D" w:rsidRDefault="00EA4117" w:rsidP="001F1325">
            <w:pPr>
              <w:numPr>
                <w:ilvl w:val="0"/>
                <w:numId w:val="1"/>
              </w:numPr>
              <w:ind w:left="0" w:firstLine="0"/>
              <w:rPr>
                <w:rFonts w:cs="Arial"/>
                <w:sz w:val="20"/>
              </w:rPr>
            </w:pPr>
          </w:p>
        </w:tc>
        <w:tc>
          <w:tcPr>
            <w:tcW w:w="1428" w:type="dxa"/>
          </w:tcPr>
          <w:p w14:paraId="0C4D12B8" w14:textId="77777777" w:rsidR="00EA4117" w:rsidRDefault="00EA4117" w:rsidP="00D9028D">
            <w:pPr>
              <w:rPr>
                <w:rFonts w:cs="Arial"/>
                <w:sz w:val="20"/>
              </w:rPr>
            </w:pPr>
            <w:r>
              <w:rPr>
                <w:rFonts w:cs="Arial"/>
                <w:sz w:val="20"/>
              </w:rPr>
              <w:t>Action</w:t>
            </w:r>
          </w:p>
        </w:tc>
        <w:tc>
          <w:tcPr>
            <w:tcW w:w="9881" w:type="dxa"/>
          </w:tcPr>
          <w:p w14:paraId="03D3E108" w14:textId="7F618F29" w:rsidR="00A6142F" w:rsidRDefault="00C8533A" w:rsidP="00EA4117">
            <w:pPr>
              <w:rPr>
                <w:rStyle w:val="Strong"/>
                <w:rFonts w:cs="Arial"/>
                <w:sz w:val="20"/>
              </w:rPr>
            </w:pPr>
            <w:r>
              <w:rPr>
                <w:rStyle w:val="Strong"/>
                <w:rFonts w:cs="Arial"/>
                <w:sz w:val="20"/>
              </w:rPr>
              <w:t xml:space="preserve">Approve the </w:t>
            </w:r>
            <w:r w:rsidR="00CB4F23">
              <w:rPr>
                <w:rStyle w:val="Strong"/>
                <w:rFonts w:cs="Arial"/>
                <w:sz w:val="20"/>
              </w:rPr>
              <w:t>Minutes</w:t>
            </w:r>
            <w:r w:rsidR="00023E95">
              <w:rPr>
                <w:rStyle w:val="Strong"/>
                <w:rFonts w:cs="Arial"/>
                <w:sz w:val="20"/>
              </w:rPr>
              <w:t xml:space="preserve"> of the February</w:t>
            </w:r>
            <w:r w:rsidR="00EA4117">
              <w:rPr>
                <w:rStyle w:val="Strong"/>
                <w:rFonts w:cs="Arial"/>
                <w:sz w:val="20"/>
              </w:rPr>
              <w:t xml:space="preserve"> </w:t>
            </w:r>
            <w:r w:rsidR="003458BF">
              <w:rPr>
                <w:rStyle w:val="Strong"/>
                <w:rFonts w:cs="Arial"/>
                <w:sz w:val="20"/>
              </w:rPr>
              <w:t>2</w:t>
            </w:r>
            <w:r w:rsidR="00023E95">
              <w:rPr>
                <w:rStyle w:val="Strong"/>
                <w:rFonts w:cs="Arial"/>
                <w:sz w:val="20"/>
              </w:rPr>
              <w:t>2</w:t>
            </w:r>
            <w:r w:rsidR="00EA4117">
              <w:rPr>
                <w:rStyle w:val="Strong"/>
                <w:rFonts w:cs="Arial"/>
                <w:sz w:val="20"/>
              </w:rPr>
              <w:t>, 201</w:t>
            </w:r>
            <w:r w:rsidR="00E1589D">
              <w:rPr>
                <w:rStyle w:val="Strong"/>
                <w:rFonts w:cs="Arial"/>
                <w:sz w:val="20"/>
              </w:rPr>
              <w:t>8</w:t>
            </w:r>
            <w:r w:rsidR="00EA4117">
              <w:rPr>
                <w:rStyle w:val="Strong"/>
                <w:rFonts w:cs="Arial"/>
                <w:sz w:val="20"/>
              </w:rPr>
              <w:t xml:space="preserve"> </w:t>
            </w:r>
            <w:r w:rsidR="00D1507D">
              <w:rPr>
                <w:rStyle w:val="Strong"/>
                <w:rFonts w:cs="Arial"/>
                <w:sz w:val="20"/>
              </w:rPr>
              <w:t xml:space="preserve">CalACES </w:t>
            </w:r>
            <w:r w:rsidRPr="00C8533A">
              <w:rPr>
                <w:rFonts w:cs="Arial"/>
                <w:b/>
                <w:bCs/>
                <w:sz w:val="20"/>
              </w:rPr>
              <w:t xml:space="preserve">JPA </w:t>
            </w:r>
            <w:r w:rsidR="00E1589D" w:rsidRPr="00E1589D">
              <w:rPr>
                <w:rFonts w:cs="Arial"/>
                <w:b/>
                <w:bCs/>
                <w:sz w:val="20"/>
              </w:rPr>
              <w:t>Board</w:t>
            </w:r>
            <w:r w:rsidR="00D1507D">
              <w:rPr>
                <w:rFonts w:cs="Arial"/>
                <w:b/>
                <w:bCs/>
                <w:sz w:val="20"/>
              </w:rPr>
              <w:t xml:space="preserve"> of Directors</w:t>
            </w:r>
            <w:r w:rsidR="00E1589D" w:rsidRPr="00E1589D">
              <w:rPr>
                <w:rFonts w:cs="Arial"/>
                <w:b/>
                <w:bCs/>
                <w:sz w:val="20"/>
              </w:rPr>
              <w:t xml:space="preserve"> Meeting and update of Action Items</w:t>
            </w:r>
          </w:p>
          <w:p w14:paraId="726CAE9E" w14:textId="77777777" w:rsidR="00C8533A" w:rsidRPr="00555D62" w:rsidRDefault="00C8533A" w:rsidP="00EA4117">
            <w:pPr>
              <w:rPr>
                <w:rStyle w:val="Strong"/>
                <w:rFonts w:cs="Arial"/>
                <w:sz w:val="14"/>
              </w:rPr>
            </w:pPr>
          </w:p>
          <w:p w14:paraId="69ADCC78" w14:textId="203F0224" w:rsidR="009C1871" w:rsidRDefault="00EA4117" w:rsidP="00620F1A">
            <w:pPr>
              <w:spacing w:line="200" w:lineRule="exact"/>
              <w:rPr>
                <w:sz w:val="20"/>
                <w:szCs w:val="20"/>
              </w:rPr>
            </w:pPr>
            <w:r w:rsidRPr="00533730">
              <w:rPr>
                <w:b/>
                <w:sz w:val="20"/>
                <w:szCs w:val="20"/>
              </w:rPr>
              <w:t>Summary:</w:t>
            </w:r>
            <w:r w:rsidRPr="00533730">
              <w:rPr>
                <w:sz w:val="20"/>
                <w:szCs w:val="20"/>
              </w:rPr>
              <w:t xml:space="preserve">  The Consortium is seeking Board approval of the </w:t>
            </w:r>
            <w:r w:rsidR="00023E95">
              <w:rPr>
                <w:bCs/>
                <w:sz w:val="20"/>
                <w:szCs w:val="20"/>
              </w:rPr>
              <w:t>February</w:t>
            </w:r>
            <w:r w:rsidR="00E1589D" w:rsidRPr="00E1589D">
              <w:rPr>
                <w:bCs/>
                <w:sz w:val="20"/>
                <w:szCs w:val="20"/>
              </w:rPr>
              <w:t xml:space="preserve"> 2</w:t>
            </w:r>
            <w:r w:rsidR="00023E95">
              <w:rPr>
                <w:bCs/>
                <w:sz w:val="20"/>
                <w:szCs w:val="20"/>
              </w:rPr>
              <w:t>2</w:t>
            </w:r>
            <w:r w:rsidR="00E1589D" w:rsidRPr="00E1589D">
              <w:rPr>
                <w:bCs/>
                <w:sz w:val="20"/>
                <w:szCs w:val="20"/>
              </w:rPr>
              <w:t>, 2018</w:t>
            </w:r>
            <w:r w:rsidR="00E1589D">
              <w:rPr>
                <w:b/>
                <w:bCs/>
                <w:sz w:val="20"/>
                <w:szCs w:val="20"/>
              </w:rPr>
              <w:t xml:space="preserve"> </w:t>
            </w:r>
            <w:r w:rsidR="00C8533A" w:rsidRPr="00C8533A">
              <w:rPr>
                <w:sz w:val="20"/>
                <w:szCs w:val="20"/>
              </w:rPr>
              <w:t xml:space="preserve">JPA </w:t>
            </w:r>
            <w:r w:rsidR="00E1589D" w:rsidRPr="00E1589D">
              <w:rPr>
                <w:bCs/>
                <w:sz w:val="20"/>
                <w:szCs w:val="20"/>
              </w:rPr>
              <w:t>Board Meeting</w:t>
            </w:r>
            <w:r w:rsidR="007069EF" w:rsidRPr="007069EF">
              <w:rPr>
                <w:sz w:val="20"/>
                <w:szCs w:val="20"/>
              </w:rPr>
              <w:t xml:space="preserve"> </w:t>
            </w:r>
            <w:r w:rsidR="00090618">
              <w:rPr>
                <w:sz w:val="20"/>
                <w:szCs w:val="20"/>
              </w:rPr>
              <w:t>Minutes.</w:t>
            </w:r>
            <w:r w:rsidR="000D0617">
              <w:rPr>
                <w:sz w:val="20"/>
                <w:szCs w:val="20"/>
              </w:rPr>
              <w:t xml:space="preserve"> </w:t>
            </w:r>
            <w:r w:rsidR="000D0617" w:rsidRPr="000D0617">
              <w:rPr>
                <w:sz w:val="20"/>
                <w:szCs w:val="20"/>
              </w:rPr>
              <w:t xml:space="preserve">Prior to approval, </w:t>
            </w:r>
            <w:r w:rsidR="000D0617">
              <w:rPr>
                <w:sz w:val="20"/>
                <w:szCs w:val="20"/>
              </w:rPr>
              <w:t>John Boule</w:t>
            </w:r>
            <w:r w:rsidR="000D0617" w:rsidRPr="000D0617">
              <w:rPr>
                <w:sz w:val="20"/>
                <w:szCs w:val="20"/>
              </w:rPr>
              <w:t xml:space="preserve"> will review the status of any outstanding Action Items from the minutes.  </w:t>
            </w:r>
          </w:p>
          <w:p w14:paraId="2C41F1C3" w14:textId="77777777" w:rsidR="00620F1A" w:rsidRPr="00555D62" w:rsidRDefault="00620F1A" w:rsidP="00620F1A">
            <w:pPr>
              <w:spacing w:line="200" w:lineRule="exact"/>
              <w:rPr>
                <w:sz w:val="14"/>
                <w:szCs w:val="20"/>
              </w:rPr>
            </w:pPr>
          </w:p>
          <w:p w14:paraId="226DFAEE" w14:textId="02090176" w:rsidR="00B56918" w:rsidRPr="00BA2914" w:rsidRDefault="00EA4117" w:rsidP="00620F1A">
            <w:pPr>
              <w:spacing w:line="200" w:lineRule="exact"/>
              <w:rPr>
                <w:rStyle w:val="Strong"/>
                <w:b w:val="0"/>
                <w:bCs w:val="0"/>
                <w:sz w:val="20"/>
                <w:szCs w:val="20"/>
              </w:rPr>
            </w:pPr>
            <w:r w:rsidRPr="00533730">
              <w:rPr>
                <w:sz w:val="20"/>
                <w:szCs w:val="20"/>
              </w:rPr>
              <w:t>(Handout)</w:t>
            </w:r>
          </w:p>
        </w:tc>
      </w:tr>
      <w:tr w:rsidR="00620F1A" w:rsidRPr="00A65C7D" w14:paraId="0B22A71C" w14:textId="77777777" w:rsidTr="00620F1A">
        <w:trPr>
          <w:cantSplit/>
          <w:trHeight w:val="1637"/>
          <w:jc w:val="center"/>
        </w:trPr>
        <w:tc>
          <w:tcPr>
            <w:tcW w:w="339" w:type="dxa"/>
          </w:tcPr>
          <w:p w14:paraId="6FBF0AA5" w14:textId="77777777" w:rsidR="003458BF" w:rsidRPr="00A65C7D" w:rsidRDefault="003458BF" w:rsidP="001F1325">
            <w:pPr>
              <w:numPr>
                <w:ilvl w:val="0"/>
                <w:numId w:val="1"/>
              </w:numPr>
              <w:ind w:left="0" w:firstLine="0"/>
              <w:rPr>
                <w:rFonts w:cs="Arial"/>
                <w:sz w:val="20"/>
              </w:rPr>
            </w:pPr>
          </w:p>
        </w:tc>
        <w:tc>
          <w:tcPr>
            <w:tcW w:w="1428" w:type="dxa"/>
          </w:tcPr>
          <w:p w14:paraId="0F085674" w14:textId="4F011E8D" w:rsidR="003458BF" w:rsidRDefault="002D5DB2" w:rsidP="00D9028D">
            <w:pPr>
              <w:rPr>
                <w:rFonts w:cs="Arial"/>
                <w:sz w:val="20"/>
              </w:rPr>
            </w:pPr>
            <w:r>
              <w:rPr>
                <w:rFonts w:cs="Arial"/>
                <w:sz w:val="20"/>
              </w:rPr>
              <w:t>Action</w:t>
            </w:r>
          </w:p>
        </w:tc>
        <w:tc>
          <w:tcPr>
            <w:tcW w:w="9881" w:type="dxa"/>
          </w:tcPr>
          <w:p w14:paraId="4CA7F039" w14:textId="4222B040" w:rsidR="003458BF" w:rsidRDefault="003458BF" w:rsidP="00EA4117">
            <w:pPr>
              <w:rPr>
                <w:rStyle w:val="Strong"/>
                <w:rFonts w:cs="Arial"/>
                <w:sz w:val="20"/>
              </w:rPr>
            </w:pPr>
            <w:r>
              <w:rPr>
                <w:rStyle w:val="Strong"/>
                <w:rFonts w:cs="Arial"/>
                <w:sz w:val="20"/>
              </w:rPr>
              <w:t xml:space="preserve">Approve </w:t>
            </w:r>
            <w:r w:rsidR="00332211" w:rsidRPr="00332211">
              <w:rPr>
                <w:rStyle w:val="Strong"/>
                <w:rFonts w:cs="Arial"/>
                <w:sz w:val="20"/>
              </w:rPr>
              <w:t>Accenture C-IV Change Order CO-091 – ABAWD, Revision 1</w:t>
            </w:r>
          </w:p>
          <w:p w14:paraId="47D04F08" w14:textId="77777777" w:rsidR="00620F1A" w:rsidRPr="00555D62" w:rsidRDefault="00620F1A" w:rsidP="00EA4117">
            <w:pPr>
              <w:rPr>
                <w:rStyle w:val="Strong"/>
                <w:rFonts w:cs="Arial"/>
                <w:sz w:val="14"/>
              </w:rPr>
            </w:pPr>
          </w:p>
          <w:p w14:paraId="76596368" w14:textId="77777777" w:rsidR="00EA4BD3" w:rsidRPr="00EA4BD3" w:rsidRDefault="003458BF" w:rsidP="00EA4BD3">
            <w:pPr>
              <w:rPr>
                <w:rFonts w:cs="Arial"/>
                <w:bCs/>
                <w:sz w:val="20"/>
              </w:rPr>
            </w:pPr>
            <w:r w:rsidRPr="00EA4BD3">
              <w:rPr>
                <w:b/>
              </w:rPr>
              <w:t>Summary:</w:t>
            </w:r>
            <w:r w:rsidR="007617D4" w:rsidRPr="00EA4BD3">
              <w:rPr>
                <w:b/>
              </w:rPr>
              <w:t xml:space="preserve"> </w:t>
            </w:r>
            <w:r w:rsidR="00EA4BD3" w:rsidRPr="00EA4BD3">
              <w:rPr>
                <w:rFonts w:cs="Arial"/>
                <w:bCs/>
                <w:sz w:val="20"/>
              </w:rPr>
              <w:t xml:space="preserve">In compliance with Senate Bill 43, Title 7 Code of Federal Regulation (“CFR”) 273.24, and All County Letter (“ACL”) 18-08, the California Department of Social Services (“CDSS”) must implement changes to support the reinstatement of the Able-Bodied Adults Without Dependents (“ABAWD”) time limit for the CalFresh program as the statewide waiver for the ABAWD time limit will expire on August 31, 2018. As a result, enhancements to the C-IV System are required to enable the Counties to perform the related program activities. </w:t>
            </w:r>
          </w:p>
          <w:p w14:paraId="5E478BC8" w14:textId="77777777" w:rsidR="00EA4BD3" w:rsidRPr="00555D62" w:rsidRDefault="00EA4BD3" w:rsidP="00EA4BD3">
            <w:pPr>
              <w:rPr>
                <w:rFonts w:cs="Arial"/>
                <w:bCs/>
                <w:sz w:val="14"/>
              </w:rPr>
            </w:pPr>
          </w:p>
          <w:p w14:paraId="79CA735C" w14:textId="06809A46" w:rsidR="00EA4BD3" w:rsidRPr="00EA4BD3" w:rsidRDefault="00EA4BD3" w:rsidP="00EA4BD3">
            <w:pPr>
              <w:rPr>
                <w:rFonts w:cs="Arial"/>
                <w:bCs/>
                <w:sz w:val="20"/>
              </w:rPr>
            </w:pPr>
            <w:r w:rsidRPr="00EA4BD3">
              <w:rPr>
                <w:rFonts w:cs="Arial"/>
                <w:bCs/>
                <w:sz w:val="20"/>
              </w:rPr>
              <w:t xml:space="preserve">The Change Order that was approved by the Consortium on December 8, 2016 described the </w:t>
            </w:r>
            <w:r w:rsidR="005F551C">
              <w:rPr>
                <w:rFonts w:cs="Arial"/>
                <w:bCs/>
                <w:sz w:val="20"/>
              </w:rPr>
              <w:t>c</w:t>
            </w:r>
            <w:r w:rsidRPr="00EA4BD3">
              <w:rPr>
                <w:rFonts w:cs="Arial"/>
                <w:bCs/>
                <w:sz w:val="20"/>
              </w:rPr>
              <w:t xml:space="preserve">harges and timeline for Accenture to design, develop, test and implement the </w:t>
            </w:r>
            <w:r w:rsidR="005F551C">
              <w:rPr>
                <w:rFonts w:cs="Arial"/>
                <w:bCs/>
                <w:sz w:val="20"/>
              </w:rPr>
              <w:t>e</w:t>
            </w:r>
            <w:r w:rsidRPr="00EA4BD3">
              <w:rPr>
                <w:rFonts w:cs="Arial"/>
                <w:bCs/>
                <w:sz w:val="20"/>
              </w:rPr>
              <w:t xml:space="preserve">nhancements that enabled the System to identify ABAWD cases and enabled ABAWD time limits (“Phase 1”). </w:t>
            </w:r>
          </w:p>
          <w:p w14:paraId="66B88C5A" w14:textId="77777777" w:rsidR="00EA4BD3" w:rsidRPr="00555D62" w:rsidRDefault="00EA4BD3" w:rsidP="00EA4BD3">
            <w:pPr>
              <w:rPr>
                <w:rFonts w:cs="Arial"/>
                <w:bCs/>
                <w:sz w:val="14"/>
              </w:rPr>
            </w:pPr>
          </w:p>
          <w:p w14:paraId="50ED4351" w14:textId="0EAB223C" w:rsidR="00EA4BD3" w:rsidRPr="00EA4BD3" w:rsidRDefault="00EA4BD3" w:rsidP="00EA4BD3">
            <w:pPr>
              <w:rPr>
                <w:rFonts w:cs="Arial"/>
                <w:bCs/>
                <w:sz w:val="20"/>
              </w:rPr>
            </w:pPr>
            <w:r w:rsidRPr="00EA4BD3">
              <w:rPr>
                <w:rFonts w:cs="Arial"/>
                <w:bCs/>
                <w:sz w:val="20"/>
              </w:rPr>
              <w:t xml:space="preserve">This Revision 1 to the Change Order outlines the </w:t>
            </w:r>
            <w:r w:rsidR="005F551C">
              <w:rPr>
                <w:rFonts w:cs="Arial"/>
                <w:bCs/>
                <w:sz w:val="20"/>
              </w:rPr>
              <w:t>c</w:t>
            </w:r>
            <w:r w:rsidRPr="00EA4BD3">
              <w:rPr>
                <w:rFonts w:cs="Arial"/>
                <w:bCs/>
                <w:sz w:val="20"/>
              </w:rPr>
              <w:t xml:space="preserve">harges and timeline for Accenture to gather requirements and develop the designs for </w:t>
            </w:r>
            <w:r w:rsidR="00C20571">
              <w:rPr>
                <w:rFonts w:cs="Arial"/>
                <w:bCs/>
                <w:sz w:val="20"/>
              </w:rPr>
              <w:t>e</w:t>
            </w:r>
            <w:r w:rsidRPr="00EA4BD3">
              <w:rPr>
                <w:rFonts w:cs="Arial"/>
                <w:bCs/>
                <w:sz w:val="20"/>
              </w:rPr>
              <w:t>nhancements that would enable the System to determine whether an ABAWD person has met work requirements, track ABAWD persons that the Counties deem as exemptions, and implement additional ABAWD tracking codes (“Phase 2”).</w:t>
            </w:r>
            <w:r w:rsidR="005F551C">
              <w:rPr>
                <w:rFonts w:cs="Arial"/>
                <w:bCs/>
                <w:sz w:val="20"/>
              </w:rPr>
              <w:t xml:space="preserve"> </w:t>
            </w:r>
          </w:p>
          <w:p w14:paraId="0DAC7CB7" w14:textId="7891398A" w:rsidR="00023E95" w:rsidRPr="00555D62" w:rsidRDefault="00023E95" w:rsidP="00620F1A">
            <w:pPr>
              <w:spacing w:line="200" w:lineRule="exact"/>
              <w:rPr>
                <w:rStyle w:val="Strong"/>
                <w:rFonts w:cs="Arial"/>
                <w:b w:val="0"/>
                <w:sz w:val="14"/>
              </w:rPr>
            </w:pPr>
          </w:p>
          <w:p w14:paraId="55CC289C" w14:textId="0C435AED" w:rsidR="00EF01C0" w:rsidRDefault="007617D4" w:rsidP="00023E95">
            <w:pPr>
              <w:rPr>
                <w:rFonts w:cs="Arial"/>
                <w:bCs/>
                <w:color w:val="000000"/>
                <w:sz w:val="20"/>
                <w:szCs w:val="20"/>
              </w:rPr>
            </w:pPr>
            <w:r>
              <w:rPr>
                <w:rStyle w:val="Strong"/>
                <w:rFonts w:cs="Arial"/>
                <w:sz w:val="20"/>
              </w:rPr>
              <w:t>Total Change Order Costs:</w:t>
            </w:r>
          </w:p>
          <w:p w14:paraId="2BE43EE6" w14:textId="049A429A" w:rsidR="00BA3AB6" w:rsidRDefault="00EA4BD3" w:rsidP="00EA4117">
            <w:pPr>
              <w:rPr>
                <w:rStyle w:val="Strong"/>
                <w:rFonts w:cs="Arial"/>
                <w:b w:val="0"/>
                <w:sz w:val="20"/>
              </w:rPr>
            </w:pPr>
            <w:r w:rsidRPr="00EA4BD3">
              <w:rPr>
                <w:noProof/>
                <w:sz w:val="20"/>
              </w:rPr>
              <w:drawing>
                <wp:inline distT="0" distB="0" distL="0" distR="0" wp14:anchorId="55E10D7E" wp14:editId="1F12F128">
                  <wp:extent cx="6097390" cy="22104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8027" cy="2239696"/>
                          </a:xfrm>
                          <a:prstGeom prst="rect">
                            <a:avLst/>
                          </a:prstGeom>
                          <a:noFill/>
                          <a:ln>
                            <a:noFill/>
                          </a:ln>
                        </pic:spPr>
                      </pic:pic>
                    </a:graphicData>
                  </a:graphic>
                </wp:inline>
              </w:drawing>
            </w:r>
          </w:p>
          <w:p w14:paraId="5B905A95" w14:textId="564D111E" w:rsidR="007617D4" w:rsidRPr="00555D62" w:rsidRDefault="007617D4" w:rsidP="00EA4117">
            <w:pPr>
              <w:rPr>
                <w:rStyle w:val="Strong"/>
                <w:rFonts w:cs="Arial"/>
                <w:b w:val="0"/>
                <w:sz w:val="14"/>
              </w:rPr>
            </w:pPr>
          </w:p>
          <w:p w14:paraId="15C86374" w14:textId="5056C1FE" w:rsidR="007617D4" w:rsidRDefault="007617D4" w:rsidP="00EA4117">
            <w:pPr>
              <w:rPr>
                <w:rStyle w:val="Strong"/>
                <w:rFonts w:cs="Arial"/>
                <w:b w:val="0"/>
                <w:sz w:val="20"/>
              </w:rPr>
            </w:pPr>
            <w:r w:rsidRPr="00D93208">
              <w:rPr>
                <w:rStyle w:val="Strong"/>
                <w:rFonts w:cs="Arial"/>
                <w:b w:val="0"/>
                <w:sz w:val="20"/>
              </w:rPr>
              <w:t xml:space="preserve">All costs associated with this Change Order are covered through </w:t>
            </w:r>
            <w:r w:rsidR="00C20571" w:rsidRPr="00D93208">
              <w:rPr>
                <w:rStyle w:val="Strong"/>
                <w:rFonts w:cs="Arial"/>
                <w:b w:val="0"/>
                <w:sz w:val="20"/>
              </w:rPr>
              <w:t>premise</w:t>
            </w:r>
            <w:r w:rsidRPr="00D93208">
              <w:rPr>
                <w:rStyle w:val="Strong"/>
                <w:rFonts w:cs="Arial"/>
                <w:b w:val="0"/>
                <w:sz w:val="20"/>
              </w:rPr>
              <w:t xml:space="preserve"> funding and are accounted for in the FY 2018/19 CalACES Project Budget approved September 21, 2017.</w:t>
            </w:r>
          </w:p>
          <w:p w14:paraId="2B5CFA87" w14:textId="29528A12" w:rsidR="008C104F" w:rsidRPr="00555D62" w:rsidRDefault="008C104F" w:rsidP="00EA4117">
            <w:pPr>
              <w:rPr>
                <w:rStyle w:val="Strong"/>
                <w:rFonts w:cs="Arial"/>
                <w:b w:val="0"/>
                <w:sz w:val="14"/>
              </w:rPr>
            </w:pPr>
          </w:p>
          <w:p w14:paraId="5E87A5FC" w14:textId="5732AB8E" w:rsidR="008C104F" w:rsidRDefault="008C104F" w:rsidP="00EA4117">
            <w:pPr>
              <w:rPr>
                <w:rStyle w:val="Strong"/>
                <w:rFonts w:cs="Arial"/>
                <w:b w:val="0"/>
                <w:sz w:val="20"/>
              </w:rPr>
            </w:pPr>
            <w:r>
              <w:rPr>
                <w:rFonts w:cs="Arial"/>
                <w:bCs/>
                <w:sz w:val="20"/>
              </w:rPr>
              <w:t>The charges related to gathering requirements and developing the designs for the LRS Phase 2 enhancements were incorporated into the LRS Agreement via Amendment No. Four, approved by</w:t>
            </w:r>
            <w:r w:rsidR="00CD77C4">
              <w:rPr>
                <w:rFonts w:cs="Arial"/>
                <w:bCs/>
                <w:sz w:val="20"/>
              </w:rPr>
              <w:t xml:space="preserve"> </w:t>
            </w:r>
            <w:r>
              <w:rPr>
                <w:rFonts w:cs="Arial"/>
                <w:bCs/>
                <w:sz w:val="20"/>
              </w:rPr>
              <w:t xml:space="preserve">Los Angeles County on </w:t>
            </w:r>
            <w:r w:rsidRPr="00622249">
              <w:rPr>
                <w:rFonts w:cs="Arial"/>
                <w:bCs/>
                <w:sz w:val="20"/>
              </w:rPr>
              <w:t>September 15, 2016</w:t>
            </w:r>
            <w:r>
              <w:rPr>
                <w:rFonts w:cs="Arial"/>
                <w:bCs/>
                <w:sz w:val="20"/>
              </w:rPr>
              <w:t xml:space="preserve">. Therefore, LRS Amendment No. Eight (referenced </w:t>
            </w:r>
            <w:r w:rsidR="001830F4">
              <w:rPr>
                <w:rFonts w:cs="Arial"/>
                <w:bCs/>
                <w:sz w:val="20"/>
              </w:rPr>
              <w:t>as</w:t>
            </w:r>
            <w:r>
              <w:rPr>
                <w:rFonts w:cs="Arial"/>
                <w:bCs/>
                <w:sz w:val="20"/>
              </w:rPr>
              <w:t xml:space="preserve"> Action </w:t>
            </w:r>
            <w:r w:rsidR="00560799">
              <w:rPr>
                <w:rFonts w:cs="Arial"/>
                <w:bCs/>
                <w:sz w:val="20"/>
              </w:rPr>
              <w:t xml:space="preserve">Item </w:t>
            </w:r>
            <w:r>
              <w:rPr>
                <w:rFonts w:cs="Arial"/>
                <w:bCs/>
                <w:sz w:val="20"/>
              </w:rPr>
              <w:t>#8</w:t>
            </w:r>
            <w:r w:rsidR="001830F4">
              <w:rPr>
                <w:rFonts w:cs="Arial"/>
                <w:bCs/>
                <w:sz w:val="20"/>
              </w:rPr>
              <w:t xml:space="preserve"> further</w:t>
            </w:r>
            <w:r>
              <w:rPr>
                <w:rFonts w:cs="Arial"/>
                <w:bCs/>
                <w:sz w:val="20"/>
              </w:rPr>
              <w:t xml:space="preserve"> below) does not include any updates </w:t>
            </w:r>
            <w:r w:rsidR="00FD2ABD">
              <w:rPr>
                <w:rFonts w:cs="Arial"/>
                <w:bCs/>
                <w:sz w:val="20"/>
              </w:rPr>
              <w:t>related to</w:t>
            </w:r>
            <w:r w:rsidR="001830F4">
              <w:rPr>
                <w:rFonts w:cs="Arial"/>
                <w:bCs/>
                <w:sz w:val="20"/>
              </w:rPr>
              <w:t xml:space="preserve"> such </w:t>
            </w:r>
            <w:r w:rsidR="00E50CB1">
              <w:rPr>
                <w:rFonts w:cs="Arial"/>
                <w:bCs/>
                <w:sz w:val="20"/>
              </w:rPr>
              <w:t>work</w:t>
            </w:r>
            <w:r w:rsidR="00FD2ABD">
              <w:rPr>
                <w:rFonts w:cs="Arial"/>
                <w:bCs/>
                <w:sz w:val="20"/>
              </w:rPr>
              <w:t xml:space="preserve"> for the LRS.</w:t>
            </w:r>
          </w:p>
          <w:p w14:paraId="43D69C98" w14:textId="77777777" w:rsidR="00620F1A" w:rsidRPr="00555D62" w:rsidRDefault="00620F1A" w:rsidP="00EA4117">
            <w:pPr>
              <w:rPr>
                <w:rStyle w:val="Strong"/>
                <w:rFonts w:cs="Arial"/>
                <w:b w:val="0"/>
                <w:sz w:val="14"/>
              </w:rPr>
            </w:pPr>
          </w:p>
          <w:p w14:paraId="4DE95304" w14:textId="58760CD1" w:rsidR="003458BF" w:rsidRPr="003458BF" w:rsidRDefault="003458BF" w:rsidP="00EA4117">
            <w:pPr>
              <w:rPr>
                <w:rStyle w:val="Strong"/>
                <w:rFonts w:cs="Arial"/>
                <w:b w:val="0"/>
                <w:sz w:val="20"/>
              </w:rPr>
            </w:pPr>
            <w:r>
              <w:rPr>
                <w:rStyle w:val="Strong"/>
                <w:rFonts w:cs="Arial"/>
                <w:b w:val="0"/>
                <w:sz w:val="20"/>
              </w:rPr>
              <w:t>(Handout)</w:t>
            </w:r>
          </w:p>
        </w:tc>
      </w:tr>
      <w:tr w:rsidR="00620F1A" w:rsidRPr="00A65C7D" w14:paraId="5B4FF548" w14:textId="77777777" w:rsidTr="00620F1A">
        <w:trPr>
          <w:cantSplit/>
          <w:trHeight w:val="971"/>
          <w:jc w:val="center"/>
        </w:trPr>
        <w:tc>
          <w:tcPr>
            <w:tcW w:w="339" w:type="dxa"/>
          </w:tcPr>
          <w:p w14:paraId="6E7262B2" w14:textId="77777777" w:rsidR="00090618" w:rsidRPr="00A65C7D" w:rsidRDefault="00090618" w:rsidP="001F1325">
            <w:pPr>
              <w:numPr>
                <w:ilvl w:val="0"/>
                <w:numId w:val="1"/>
              </w:numPr>
              <w:ind w:left="0" w:firstLine="0"/>
              <w:rPr>
                <w:rFonts w:cs="Arial"/>
                <w:sz w:val="20"/>
              </w:rPr>
            </w:pPr>
          </w:p>
        </w:tc>
        <w:tc>
          <w:tcPr>
            <w:tcW w:w="1428" w:type="dxa"/>
          </w:tcPr>
          <w:p w14:paraId="354133FC" w14:textId="77777777" w:rsidR="00090618" w:rsidRDefault="00090618" w:rsidP="00D9028D">
            <w:pPr>
              <w:rPr>
                <w:rFonts w:cs="Arial"/>
                <w:sz w:val="20"/>
              </w:rPr>
            </w:pPr>
            <w:r>
              <w:rPr>
                <w:rFonts w:cs="Arial"/>
                <w:sz w:val="20"/>
              </w:rPr>
              <w:t>Action</w:t>
            </w:r>
          </w:p>
        </w:tc>
        <w:tc>
          <w:tcPr>
            <w:tcW w:w="9881" w:type="dxa"/>
          </w:tcPr>
          <w:p w14:paraId="1CE9AAC2" w14:textId="212E5D04" w:rsidR="00BA3AB6" w:rsidRDefault="00BA3AB6" w:rsidP="00090618">
            <w:pPr>
              <w:rPr>
                <w:rStyle w:val="Strong"/>
                <w:rFonts w:cs="Arial"/>
                <w:sz w:val="20"/>
              </w:rPr>
            </w:pPr>
            <w:r w:rsidRPr="00BA3AB6">
              <w:rPr>
                <w:rStyle w:val="Strong"/>
                <w:rFonts w:cs="Arial"/>
                <w:sz w:val="20"/>
              </w:rPr>
              <w:t xml:space="preserve">Approve </w:t>
            </w:r>
            <w:r w:rsidR="00332211" w:rsidRPr="00332211">
              <w:rPr>
                <w:rStyle w:val="Strong"/>
                <w:rFonts w:cs="Arial"/>
                <w:sz w:val="20"/>
              </w:rPr>
              <w:t>Accenture C-IV County Purchases and authorize the addition of funding to the FY 18/19 CalACES Project Budget</w:t>
            </w:r>
          </w:p>
          <w:p w14:paraId="47A94F1F" w14:textId="06A11FF1" w:rsidR="002C1EDC" w:rsidRDefault="002C1EDC" w:rsidP="00090618">
            <w:pPr>
              <w:rPr>
                <w:rStyle w:val="Strong"/>
                <w:rFonts w:cs="Arial"/>
                <w:sz w:val="20"/>
              </w:rPr>
            </w:pPr>
          </w:p>
          <w:tbl>
            <w:tblPr>
              <w:tblW w:w="9091" w:type="dxa"/>
              <w:tblLook w:val="04A0" w:firstRow="1" w:lastRow="0" w:firstColumn="1" w:lastColumn="0" w:noHBand="0" w:noVBand="1"/>
            </w:tblPr>
            <w:tblGrid>
              <w:gridCol w:w="1441"/>
              <w:gridCol w:w="4614"/>
              <w:gridCol w:w="1596"/>
              <w:gridCol w:w="1440"/>
            </w:tblGrid>
            <w:tr w:rsidR="00397A4F" w:rsidRPr="009F6503" w14:paraId="1B1EDB24" w14:textId="77777777" w:rsidTr="00397A4F">
              <w:trPr>
                <w:trHeight w:val="288"/>
              </w:trPr>
              <w:tc>
                <w:tcPr>
                  <w:tcW w:w="144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11BDA14" w14:textId="77777777" w:rsidR="007617D4" w:rsidRPr="009F6503" w:rsidRDefault="007617D4" w:rsidP="007617D4">
                  <w:pPr>
                    <w:spacing w:after="0" w:line="240" w:lineRule="auto"/>
                    <w:jc w:val="center"/>
                    <w:rPr>
                      <w:rFonts w:eastAsia="Times New Roman" w:cs="Arial"/>
                      <w:b/>
                      <w:bCs/>
                      <w:color w:val="000000"/>
                      <w:sz w:val="20"/>
                      <w:szCs w:val="20"/>
                    </w:rPr>
                  </w:pPr>
                  <w:r w:rsidRPr="009F6503">
                    <w:rPr>
                      <w:rFonts w:eastAsia="Times New Roman" w:cs="Arial"/>
                      <w:b/>
                      <w:bCs/>
                      <w:color w:val="000000"/>
                      <w:sz w:val="20"/>
                      <w:szCs w:val="20"/>
                    </w:rPr>
                    <w:t>Number</w:t>
                  </w:r>
                </w:p>
              </w:tc>
              <w:tc>
                <w:tcPr>
                  <w:tcW w:w="4614" w:type="dxa"/>
                  <w:tcBorders>
                    <w:top w:val="single" w:sz="4" w:space="0" w:color="auto"/>
                    <w:left w:val="nil"/>
                    <w:bottom w:val="single" w:sz="4" w:space="0" w:color="auto"/>
                    <w:right w:val="single" w:sz="4" w:space="0" w:color="auto"/>
                  </w:tcBorders>
                  <w:shd w:val="clear" w:color="000000" w:fill="D9D9D9"/>
                  <w:vAlign w:val="bottom"/>
                  <w:hideMark/>
                </w:tcPr>
                <w:p w14:paraId="548A1931" w14:textId="77777777" w:rsidR="007617D4" w:rsidRPr="009F6503" w:rsidRDefault="007617D4" w:rsidP="007617D4">
                  <w:pPr>
                    <w:spacing w:after="0" w:line="240" w:lineRule="auto"/>
                    <w:jc w:val="center"/>
                    <w:rPr>
                      <w:rFonts w:eastAsia="Times New Roman" w:cs="Arial"/>
                      <w:b/>
                      <w:bCs/>
                      <w:color w:val="000000"/>
                      <w:sz w:val="20"/>
                      <w:szCs w:val="20"/>
                    </w:rPr>
                  </w:pPr>
                  <w:r w:rsidRPr="009F6503">
                    <w:rPr>
                      <w:rFonts w:eastAsia="Times New Roman" w:cs="Arial"/>
                      <w:b/>
                      <w:bCs/>
                      <w:color w:val="000000"/>
                      <w:sz w:val="20"/>
                      <w:szCs w:val="20"/>
                    </w:rPr>
                    <w:t>Description</w:t>
                  </w:r>
                </w:p>
              </w:tc>
              <w:tc>
                <w:tcPr>
                  <w:tcW w:w="1596" w:type="dxa"/>
                  <w:tcBorders>
                    <w:top w:val="single" w:sz="4" w:space="0" w:color="auto"/>
                    <w:left w:val="nil"/>
                    <w:bottom w:val="single" w:sz="4" w:space="0" w:color="auto"/>
                    <w:right w:val="single" w:sz="4" w:space="0" w:color="auto"/>
                  </w:tcBorders>
                  <w:shd w:val="clear" w:color="000000" w:fill="D9D9D9"/>
                  <w:noWrap/>
                  <w:vAlign w:val="bottom"/>
                  <w:hideMark/>
                </w:tcPr>
                <w:p w14:paraId="50F5443E" w14:textId="77777777" w:rsidR="007617D4" w:rsidRPr="009F6503" w:rsidRDefault="007617D4" w:rsidP="007617D4">
                  <w:pPr>
                    <w:spacing w:after="0" w:line="240" w:lineRule="auto"/>
                    <w:jc w:val="center"/>
                    <w:rPr>
                      <w:rFonts w:eastAsia="Times New Roman" w:cs="Arial"/>
                      <w:b/>
                      <w:bCs/>
                      <w:color w:val="000000"/>
                      <w:sz w:val="20"/>
                      <w:szCs w:val="20"/>
                    </w:rPr>
                  </w:pPr>
                  <w:r w:rsidRPr="009F6503">
                    <w:rPr>
                      <w:rFonts w:eastAsia="Times New Roman" w:cs="Arial"/>
                      <w:b/>
                      <w:bCs/>
                      <w:color w:val="000000"/>
                      <w:sz w:val="20"/>
                      <w:szCs w:val="20"/>
                    </w:rPr>
                    <w:t>County</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14:paraId="6C47D763" w14:textId="77777777" w:rsidR="007617D4" w:rsidRPr="009F6503" w:rsidRDefault="007617D4" w:rsidP="00397A4F">
                  <w:pPr>
                    <w:spacing w:after="0" w:line="240" w:lineRule="auto"/>
                    <w:jc w:val="center"/>
                    <w:rPr>
                      <w:rFonts w:eastAsia="Times New Roman" w:cs="Arial"/>
                      <w:b/>
                      <w:bCs/>
                      <w:color w:val="000000"/>
                      <w:sz w:val="20"/>
                      <w:szCs w:val="20"/>
                    </w:rPr>
                  </w:pPr>
                  <w:r w:rsidRPr="009F6503">
                    <w:rPr>
                      <w:rFonts w:eastAsia="Times New Roman" w:cs="Arial"/>
                      <w:b/>
                      <w:bCs/>
                      <w:color w:val="000000"/>
                      <w:sz w:val="20"/>
                      <w:szCs w:val="20"/>
                    </w:rPr>
                    <w:t>Purchase Date</w:t>
                  </w:r>
                </w:p>
              </w:tc>
            </w:tr>
            <w:tr w:rsidR="007617D4" w:rsidRPr="009F6503" w14:paraId="32E30B47" w14:textId="77777777" w:rsidTr="00397A4F">
              <w:trPr>
                <w:trHeight w:val="251"/>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B70B9"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CL-08-2017</w:t>
                  </w:r>
                </w:p>
              </w:tc>
              <w:tc>
                <w:tcPr>
                  <w:tcW w:w="4614" w:type="dxa"/>
                  <w:tcBorders>
                    <w:top w:val="single" w:sz="4" w:space="0" w:color="auto"/>
                    <w:left w:val="nil"/>
                    <w:bottom w:val="single" w:sz="4" w:space="0" w:color="auto"/>
                    <w:right w:val="single" w:sz="4" w:space="0" w:color="auto"/>
                  </w:tcBorders>
                  <w:shd w:val="clear" w:color="auto" w:fill="auto"/>
                  <w:vAlign w:val="bottom"/>
                  <w:hideMark/>
                </w:tcPr>
                <w:p w14:paraId="2B30375C"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Microsoft Office 2016 Standard Licenses (Qty 40)</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73C88934"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Colusa</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F44865A"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10/25/2017</w:t>
                  </w:r>
                </w:p>
              </w:tc>
            </w:tr>
            <w:tr w:rsidR="007617D4" w:rsidRPr="009F6503" w14:paraId="098E20F0"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B3481E0"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CV-02-2017</w:t>
                  </w:r>
                </w:p>
              </w:tc>
              <w:tc>
                <w:tcPr>
                  <w:tcW w:w="4614" w:type="dxa"/>
                  <w:tcBorders>
                    <w:top w:val="nil"/>
                    <w:left w:val="nil"/>
                    <w:bottom w:val="single" w:sz="4" w:space="0" w:color="auto"/>
                    <w:right w:val="single" w:sz="4" w:space="0" w:color="auto"/>
                  </w:tcBorders>
                  <w:shd w:val="clear" w:color="auto" w:fill="auto"/>
                  <w:vAlign w:val="bottom"/>
                  <w:hideMark/>
                </w:tcPr>
                <w:p w14:paraId="38675B79"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Fujitsu Scanners for Growth (Quantity 8)</w:t>
                  </w:r>
                </w:p>
              </w:tc>
              <w:tc>
                <w:tcPr>
                  <w:tcW w:w="1596" w:type="dxa"/>
                  <w:tcBorders>
                    <w:top w:val="nil"/>
                    <w:left w:val="nil"/>
                    <w:bottom w:val="single" w:sz="4" w:space="0" w:color="auto"/>
                    <w:right w:val="single" w:sz="4" w:space="0" w:color="auto"/>
                  </w:tcBorders>
                  <w:shd w:val="clear" w:color="auto" w:fill="auto"/>
                  <w:noWrap/>
                  <w:vAlign w:val="bottom"/>
                  <w:hideMark/>
                </w:tcPr>
                <w:p w14:paraId="702CF66A"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Calaveras</w:t>
                  </w:r>
                </w:p>
              </w:tc>
              <w:tc>
                <w:tcPr>
                  <w:tcW w:w="1440" w:type="dxa"/>
                  <w:tcBorders>
                    <w:top w:val="nil"/>
                    <w:left w:val="nil"/>
                    <w:bottom w:val="single" w:sz="4" w:space="0" w:color="auto"/>
                    <w:right w:val="single" w:sz="4" w:space="0" w:color="auto"/>
                  </w:tcBorders>
                  <w:shd w:val="clear" w:color="auto" w:fill="auto"/>
                  <w:noWrap/>
                  <w:vAlign w:val="center"/>
                  <w:hideMark/>
                </w:tcPr>
                <w:p w14:paraId="07F628F6"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12/18/2017</w:t>
                  </w:r>
                </w:p>
              </w:tc>
            </w:tr>
            <w:tr w:rsidR="007617D4" w:rsidRPr="009F6503" w14:paraId="561BCEDE"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C925A2D"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GL-04-2017</w:t>
                  </w:r>
                </w:p>
              </w:tc>
              <w:tc>
                <w:tcPr>
                  <w:tcW w:w="4614" w:type="dxa"/>
                  <w:tcBorders>
                    <w:top w:val="nil"/>
                    <w:left w:val="nil"/>
                    <w:bottom w:val="single" w:sz="4" w:space="0" w:color="auto"/>
                    <w:right w:val="single" w:sz="4" w:space="0" w:color="auto"/>
                  </w:tcBorders>
                  <w:shd w:val="clear" w:color="auto" w:fill="auto"/>
                  <w:vAlign w:val="bottom"/>
                  <w:hideMark/>
                </w:tcPr>
                <w:p w14:paraId="059A32AA"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 xml:space="preserve">Printer Refresh (Qty 1) </w:t>
                  </w:r>
                </w:p>
              </w:tc>
              <w:tc>
                <w:tcPr>
                  <w:tcW w:w="1596" w:type="dxa"/>
                  <w:tcBorders>
                    <w:top w:val="nil"/>
                    <w:left w:val="nil"/>
                    <w:bottom w:val="single" w:sz="4" w:space="0" w:color="auto"/>
                    <w:right w:val="single" w:sz="4" w:space="0" w:color="auto"/>
                  </w:tcBorders>
                  <w:shd w:val="clear" w:color="auto" w:fill="auto"/>
                  <w:noWrap/>
                  <w:vAlign w:val="bottom"/>
                  <w:hideMark/>
                </w:tcPr>
                <w:p w14:paraId="07964DB9"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Glenn</w:t>
                  </w:r>
                </w:p>
              </w:tc>
              <w:tc>
                <w:tcPr>
                  <w:tcW w:w="1440" w:type="dxa"/>
                  <w:tcBorders>
                    <w:top w:val="nil"/>
                    <w:left w:val="nil"/>
                    <w:bottom w:val="single" w:sz="4" w:space="0" w:color="auto"/>
                    <w:right w:val="single" w:sz="4" w:space="0" w:color="auto"/>
                  </w:tcBorders>
                  <w:shd w:val="clear" w:color="auto" w:fill="auto"/>
                  <w:noWrap/>
                  <w:vAlign w:val="center"/>
                  <w:hideMark/>
                </w:tcPr>
                <w:p w14:paraId="2C305AE5"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10/24/2017</w:t>
                  </w:r>
                </w:p>
              </w:tc>
            </w:tr>
            <w:tr w:rsidR="007617D4" w:rsidRPr="009F6503" w14:paraId="5B6A1018"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3DC0606"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HM-07-2017</w:t>
                  </w:r>
                </w:p>
              </w:tc>
              <w:tc>
                <w:tcPr>
                  <w:tcW w:w="4614" w:type="dxa"/>
                  <w:tcBorders>
                    <w:top w:val="nil"/>
                    <w:left w:val="nil"/>
                    <w:bottom w:val="single" w:sz="4" w:space="0" w:color="auto"/>
                    <w:right w:val="single" w:sz="4" w:space="0" w:color="auto"/>
                  </w:tcBorders>
                  <w:shd w:val="clear" w:color="auto" w:fill="auto"/>
                  <w:vAlign w:val="bottom"/>
                  <w:hideMark/>
                </w:tcPr>
                <w:p w14:paraId="2ADFD2D2"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Ongoing Production Operations Charges for Kiosk</w:t>
                  </w:r>
                </w:p>
              </w:tc>
              <w:tc>
                <w:tcPr>
                  <w:tcW w:w="1596" w:type="dxa"/>
                  <w:tcBorders>
                    <w:top w:val="nil"/>
                    <w:left w:val="nil"/>
                    <w:bottom w:val="single" w:sz="4" w:space="0" w:color="auto"/>
                    <w:right w:val="single" w:sz="4" w:space="0" w:color="auto"/>
                  </w:tcBorders>
                  <w:shd w:val="clear" w:color="auto" w:fill="auto"/>
                  <w:noWrap/>
                  <w:vAlign w:val="bottom"/>
                  <w:hideMark/>
                </w:tcPr>
                <w:p w14:paraId="67A7966E"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Humboldt</w:t>
                  </w:r>
                </w:p>
              </w:tc>
              <w:tc>
                <w:tcPr>
                  <w:tcW w:w="1440" w:type="dxa"/>
                  <w:tcBorders>
                    <w:top w:val="nil"/>
                    <w:left w:val="nil"/>
                    <w:bottom w:val="single" w:sz="4" w:space="0" w:color="auto"/>
                    <w:right w:val="single" w:sz="4" w:space="0" w:color="auto"/>
                  </w:tcBorders>
                  <w:shd w:val="clear" w:color="auto" w:fill="auto"/>
                  <w:noWrap/>
                  <w:vAlign w:val="center"/>
                  <w:hideMark/>
                </w:tcPr>
                <w:p w14:paraId="2342F97E"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10/24/2017</w:t>
                  </w:r>
                </w:p>
              </w:tc>
            </w:tr>
            <w:tr w:rsidR="007617D4" w:rsidRPr="009F6503" w14:paraId="24B6D509"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EF840D6"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IM-04-2017</w:t>
                  </w:r>
                </w:p>
              </w:tc>
              <w:tc>
                <w:tcPr>
                  <w:tcW w:w="4614" w:type="dxa"/>
                  <w:tcBorders>
                    <w:top w:val="nil"/>
                    <w:left w:val="nil"/>
                    <w:bottom w:val="single" w:sz="4" w:space="0" w:color="auto"/>
                    <w:right w:val="single" w:sz="4" w:space="0" w:color="auto"/>
                  </w:tcBorders>
                  <w:shd w:val="clear" w:color="auto" w:fill="auto"/>
                  <w:vAlign w:val="bottom"/>
                  <w:hideMark/>
                </w:tcPr>
                <w:p w14:paraId="64DC1C98"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Refresh Scanners (Quantity 10)</w:t>
                  </w:r>
                </w:p>
              </w:tc>
              <w:tc>
                <w:tcPr>
                  <w:tcW w:w="1596" w:type="dxa"/>
                  <w:tcBorders>
                    <w:top w:val="nil"/>
                    <w:left w:val="nil"/>
                    <w:bottom w:val="single" w:sz="4" w:space="0" w:color="auto"/>
                    <w:right w:val="single" w:sz="4" w:space="0" w:color="auto"/>
                  </w:tcBorders>
                  <w:shd w:val="clear" w:color="auto" w:fill="auto"/>
                  <w:noWrap/>
                  <w:vAlign w:val="bottom"/>
                  <w:hideMark/>
                </w:tcPr>
                <w:p w14:paraId="6B41DEAA"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Imperial</w:t>
                  </w:r>
                </w:p>
              </w:tc>
              <w:tc>
                <w:tcPr>
                  <w:tcW w:w="1440" w:type="dxa"/>
                  <w:tcBorders>
                    <w:top w:val="nil"/>
                    <w:left w:val="nil"/>
                    <w:bottom w:val="single" w:sz="4" w:space="0" w:color="auto"/>
                    <w:right w:val="single" w:sz="4" w:space="0" w:color="auto"/>
                  </w:tcBorders>
                  <w:shd w:val="clear" w:color="auto" w:fill="auto"/>
                  <w:noWrap/>
                  <w:vAlign w:val="center"/>
                  <w:hideMark/>
                </w:tcPr>
                <w:p w14:paraId="59080BBA"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12/11/2017</w:t>
                  </w:r>
                </w:p>
              </w:tc>
            </w:tr>
            <w:tr w:rsidR="007617D4" w:rsidRPr="009F6503" w14:paraId="12E7A07A"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517746B"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KR-05-2017</w:t>
                  </w:r>
                </w:p>
              </w:tc>
              <w:tc>
                <w:tcPr>
                  <w:tcW w:w="4614" w:type="dxa"/>
                  <w:tcBorders>
                    <w:top w:val="nil"/>
                    <w:left w:val="nil"/>
                    <w:bottom w:val="single" w:sz="4" w:space="0" w:color="auto"/>
                    <w:right w:val="single" w:sz="4" w:space="0" w:color="auto"/>
                  </w:tcBorders>
                  <w:shd w:val="clear" w:color="auto" w:fill="auto"/>
                  <w:vAlign w:val="bottom"/>
                  <w:hideMark/>
                </w:tcPr>
                <w:p w14:paraId="3FD9DE8D"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Site Expansion Wilson Rd. Bakersfield</w:t>
                  </w:r>
                </w:p>
              </w:tc>
              <w:tc>
                <w:tcPr>
                  <w:tcW w:w="1596" w:type="dxa"/>
                  <w:tcBorders>
                    <w:top w:val="nil"/>
                    <w:left w:val="nil"/>
                    <w:bottom w:val="single" w:sz="4" w:space="0" w:color="auto"/>
                    <w:right w:val="single" w:sz="4" w:space="0" w:color="auto"/>
                  </w:tcBorders>
                  <w:shd w:val="clear" w:color="auto" w:fill="auto"/>
                  <w:noWrap/>
                  <w:vAlign w:val="bottom"/>
                  <w:hideMark/>
                </w:tcPr>
                <w:p w14:paraId="243B8B1C"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Kern</w:t>
                  </w:r>
                </w:p>
              </w:tc>
              <w:tc>
                <w:tcPr>
                  <w:tcW w:w="1440" w:type="dxa"/>
                  <w:tcBorders>
                    <w:top w:val="nil"/>
                    <w:left w:val="nil"/>
                    <w:bottom w:val="single" w:sz="4" w:space="0" w:color="auto"/>
                    <w:right w:val="single" w:sz="4" w:space="0" w:color="auto"/>
                  </w:tcBorders>
                  <w:shd w:val="clear" w:color="auto" w:fill="auto"/>
                  <w:noWrap/>
                  <w:vAlign w:val="center"/>
                  <w:hideMark/>
                </w:tcPr>
                <w:p w14:paraId="1B547A61"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11/8/2017</w:t>
                  </w:r>
                </w:p>
              </w:tc>
            </w:tr>
            <w:tr w:rsidR="007617D4" w:rsidRPr="009F6503" w14:paraId="6897693F"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B041580"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MD-03-2017</w:t>
                  </w:r>
                </w:p>
              </w:tc>
              <w:tc>
                <w:tcPr>
                  <w:tcW w:w="4614" w:type="dxa"/>
                  <w:tcBorders>
                    <w:top w:val="nil"/>
                    <w:left w:val="nil"/>
                    <w:bottom w:val="single" w:sz="4" w:space="0" w:color="auto"/>
                    <w:right w:val="single" w:sz="4" w:space="0" w:color="auto"/>
                  </w:tcBorders>
                  <w:shd w:val="clear" w:color="auto" w:fill="auto"/>
                  <w:vAlign w:val="bottom"/>
                  <w:hideMark/>
                </w:tcPr>
                <w:p w14:paraId="46B9BDA5"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Growth Scanner (Qty 1)</w:t>
                  </w:r>
                </w:p>
              </w:tc>
              <w:tc>
                <w:tcPr>
                  <w:tcW w:w="1596" w:type="dxa"/>
                  <w:tcBorders>
                    <w:top w:val="nil"/>
                    <w:left w:val="nil"/>
                    <w:bottom w:val="single" w:sz="4" w:space="0" w:color="auto"/>
                    <w:right w:val="single" w:sz="4" w:space="0" w:color="auto"/>
                  </w:tcBorders>
                  <w:shd w:val="clear" w:color="auto" w:fill="auto"/>
                  <w:noWrap/>
                  <w:vAlign w:val="bottom"/>
                  <w:hideMark/>
                </w:tcPr>
                <w:p w14:paraId="5EAD3D3A"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Modoc</w:t>
                  </w:r>
                </w:p>
              </w:tc>
              <w:tc>
                <w:tcPr>
                  <w:tcW w:w="1440" w:type="dxa"/>
                  <w:tcBorders>
                    <w:top w:val="nil"/>
                    <w:left w:val="nil"/>
                    <w:bottom w:val="single" w:sz="4" w:space="0" w:color="auto"/>
                    <w:right w:val="single" w:sz="4" w:space="0" w:color="auto"/>
                  </w:tcBorders>
                  <w:shd w:val="clear" w:color="auto" w:fill="auto"/>
                  <w:noWrap/>
                  <w:vAlign w:val="center"/>
                  <w:hideMark/>
                </w:tcPr>
                <w:p w14:paraId="3712D58E"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11/8/2017</w:t>
                  </w:r>
                </w:p>
              </w:tc>
            </w:tr>
            <w:tr w:rsidR="007617D4" w:rsidRPr="009F6503" w14:paraId="4245EF5A"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3AD8CBA"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MP-05-2017</w:t>
                  </w:r>
                </w:p>
              </w:tc>
              <w:tc>
                <w:tcPr>
                  <w:tcW w:w="4614" w:type="dxa"/>
                  <w:tcBorders>
                    <w:top w:val="nil"/>
                    <w:left w:val="nil"/>
                    <w:bottom w:val="single" w:sz="4" w:space="0" w:color="auto"/>
                    <w:right w:val="single" w:sz="4" w:space="0" w:color="auto"/>
                  </w:tcBorders>
                  <w:shd w:val="clear" w:color="auto" w:fill="auto"/>
                  <w:vAlign w:val="bottom"/>
                  <w:hideMark/>
                </w:tcPr>
                <w:p w14:paraId="03FC7232"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Workstation Refresh (Quantity 10)</w:t>
                  </w:r>
                </w:p>
              </w:tc>
              <w:tc>
                <w:tcPr>
                  <w:tcW w:w="1596" w:type="dxa"/>
                  <w:tcBorders>
                    <w:top w:val="nil"/>
                    <w:left w:val="nil"/>
                    <w:bottom w:val="single" w:sz="4" w:space="0" w:color="auto"/>
                    <w:right w:val="single" w:sz="4" w:space="0" w:color="auto"/>
                  </w:tcBorders>
                  <w:shd w:val="clear" w:color="auto" w:fill="auto"/>
                  <w:noWrap/>
                  <w:vAlign w:val="bottom"/>
                  <w:hideMark/>
                </w:tcPr>
                <w:p w14:paraId="06B5AB9A"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Mariposa</w:t>
                  </w:r>
                </w:p>
              </w:tc>
              <w:tc>
                <w:tcPr>
                  <w:tcW w:w="1440" w:type="dxa"/>
                  <w:tcBorders>
                    <w:top w:val="nil"/>
                    <w:left w:val="nil"/>
                    <w:bottom w:val="single" w:sz="4" w:space="0" w:color="auto"/>
                    <w:right w:val="single" w:sz="4" w:space="0" w:color="auto"/>
                  </w:tcBorders>
                  <w:shd w:val="clear" w:color="auto" w:fill="auto"/>
                  <w:noWrap/>
                  <w:vAlign w:val="center"/>
                  <w:hideMark/>
                </w:tcPr>
                <w:p w14:paraId="0284F8B5"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11/28/2017</w:t>
                  </w:r>
                </w:p>
              </w:tc>
            </w:tr>
            <w:tr w:rsidR="007617D4" w:rsidRPr="009F6503" w14:paraId="706C9CBA"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FFC2100"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PL-03-2017</w:t>
                  </w:r>
                </w:p>
              </w:tc>
              <w:tc>
                <w:tcPr>
                  <w:tcW w:w="4614" w:type="dxa"/>
                  <w:tcBorders>
                    <w:top w:val="nil"/>
                    <w:left w:val="nil"/>
                    <w:bottom w:val="single" w:sz="4" w:space="0" w:color="auto"/>
                    <w:right w:val="single" w:sz="4" w:space="0" w:color="auto"/>
                  </w:tcBorders>
                  <w:shd w:val="clear" w:color="auto" w:fill="auto"/>
                  <w:vAlign w:val="bottom"/>
                  <w:hideMark/>
                </w:tcPr>
                <w:p w14:paraId="568AA430"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Support Renewals</w:t>
                  </w:r>
                </w:p>
              </w:tc>
              <w:tc>
                <w:tcPr>
                  <w:tcW w:w="1596" w:type="dxa"/>
                  <w:tcBorders>
                    <w:top w:val="nil"/>
                    <w:left w:val="nil"/>
                    <w:bottom w:val="single" w:sz="4" w:space="0" w:color="auto"/>
                    <w:right w:val="single" w:sz="4" w:space="0" w:color="auto"/>
                  </w:tcBorders>
                  <w:shd w:val="clear" w:color="auto" w:fill="auto"/>
                  <w:noWrap/>
                  <w:vAlign w:val="bottom"/>
                  <w:hideMark/>
                </w:tcPr>
                <w:p w14:paraId="1FC99F34"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Plumas</w:t>
                  </w:r>
                </w:p>
              </w:tc>
              <w:tc>
                <w:tcPr>
                  <w:tcW w:w="1440" w:type="dxa"/>
                  <w:tcBorders>
                    <w:top w:val="nil"/>
                    <w:left w:val="nil"/>
                    <w:bottom w:val="single" w:sz="4" w:space="0" w:color="auto"/>
                    <w:right w:val="single" w:sz="4" w:space="0" w:color="auto"/>
                  </w:tcBorders>
                  <w:shd w:val="clear" w:color="auto" w:fill="auto"/>
                  <w:noWrap/>
                  <w:vAlign w:val="center"/>
                  <w:hideMark/>
                </w:tcPr>
                <w:p w14:paraId="14ED5899"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10/24/2017</w:t>
                  </w:r>
                </w:p>
              </w:tc>
            </w:tr>
            <w:tr w:rsidR="007617D4" w:rsidRPr="009F6503" w14:paraId="685DCA82"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1C57FCA"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RV-07-2017</w:t>
                  </w:r>
                </w:p>
              </w:tc>
              <w:tc>
                <w:tcPr>
                  <w:tcW w:w="4614" w:type="dxa"/>
                  <w:tcBorders>
                    <w:top w:val="nil"/>
                    <w:left w:val="nil"/>
                    <w:bottom w:val="single" w:sz="4" w:space="0" w:color="auto"/>
                    <w:right w:val="single" w:sz="4" w:space="0" w:color="auto"/>
                  </w:tcBorders>
                  <w:shd w:val="clear" w:color="auto" w:fill="auto"/>
                  <w:vAlign w:val="bottom"/>
                  <w:hideMark/>
                </w:tcPr>
                <w:p w14:paraId="60C4115E"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Additional Network Support</w:t>
                  </w:r>
                </w:p>
              </w:tc>
              <w:tc>
                <w:tcPr>
                  <w:tcW w:w="1596" w:type="dxa"/>
                  <w:tcBorders>
                    <w:top w:val="nil"/>
                    <w:left w:val="nil"/>
                    <w:bottom w:val="single" w:sz="4" w:space="0" w:color="auto"/>
                    <w:right w:val="single" w:sz="4" w:space="0" w:color="auto"/>
                  </w:tcBorders>
                  <w:shd w:val="clear" w:color="auto" w:fill="auto"/>
                  <w:noWrap/>
                  <w:vAlign w:val="bottom"/>
                  <w:hideMark/>
                </w:tcPr>
                <w:p w14:paraId="5CDB2AB3"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Riverside</w:t>
                  </w:r>
                </w:p>
              </w:tc>
              <w:tc>
                <w:tcPr>
                  <w:tcW w:w="1440" w:type="dxa"/>
                  <w:tcBorders>
                    <w:top w:val="nil"/>
                    <w:left w:val="nil"/>
                    <w:bottom w:val="single" w:sz="4" w:space="0" w:color="auto"/>
                    <w:right w:val="single" w:sz="4" w:space="0" w:color="auto"/>
                  </w:tcBorders>
                  <w:shd w:val="clear" w:color="auto" w:fill="auto"/>
                  <w:noWrap/>
                  <w:vAlign w:val="center"/>
                  <w:hideMark/>
                </w:tcPr>
                <w:p w14:paraId="5F01EFEA"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10/17/2017</w:t>
                  </w:r>
                </w:p>
              </w:tc>
            </w:tr>
            <w:tr w:rsidR="007617D4" w:rsidRPr="009F6503" w14:paraId="1E1D1205"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12EC9A5"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SB-13-2017</w:t>
                  </w:r>
                </w:p>
              </w:tc>
              <w:tc>
                <w:tcPr>
                  <w:tcW w:w="4614" w:type="dxa"/>
                  <w:tcBorders>
                    <w:top w:val="nil"/>
                    <w:left w:val="nil"/>
                    <w:bottom w:val="single" w:sz="4" w:space="0" w:color="auto"/>
                    <w:right w:val="single" w:sz="4" w:space="0" w:color="auto"/>
                  </w:tcBorders>
                  <w:shd w:val="clear" w:color="auto" w:fill="auto"/>
                  <w:vAlign w:val="bottom"/>
                  <w:hideMark/>
                </w:tcPr>
                <w:p w14:paraId="2AFAB8C7"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Site Move - Del Rosa TAD</w:t>
                  </w:r>
                </w:p>
              </w:tc>
              <w:tc>
                <w:tcPr>
                  <w:tcW w:w="1596" w:type="dxa"/>
                  <w:tcBorders>
                    <w:top w:val="nil"/>
                    <w:left w:val="nil"/>
                    <w:bottom w:val="single" w:sz="4" w:space="0" w:color="auto"/>
                    <w:right w:val="single" w:sz="4" w:space="0" w:color="auto"/>
                  </w:tcBorders>
                  <w:shd w:val="clear" w:color="auto" w:fill="auto"/>
                  <w:noWrap/>
                  <w:vAlign w:val="bottom"/>
                  <w:hideMark/>
                </w:tcPr>
                <w:p w14:paraId="6F8F6B41"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San Bernardino</w:t>
                  </w:r>
                </w:p>
              </w:tc>
              <w:tc>
                <w:tcPr>
                  <w:tcW w:w="1440" w:type="dxa"/>
                  <w:tcBorders>
                    <w:top w:val="nil"/>
                    <w:left w:val="nil"/>
                    <w:bottom w:val="single" w:sz="4" w:space="0" w:color="auto"/>
                    <w:right w:val="single" w:sz="4" w:space="0" w:color="auto"/>
                  </w:tcBorders>
                  <w:shd w:val="clear" w:color="auto" w:fill="auto"/>
                  <w:noWrap/>
                  <w:vAlign w:val="center"/>
                  <w:hideMark/>
                </w:tcPr>
                <w:p w14:paraId="6C1288F5"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11/28/2017</w:t>
                  </w:r>
                </w:p>
              </w:tc>
            </w:tr>
            <w:tr w:rsidR="007617D4" w:rsidRPr="009F6503" w14:paraId="0C987CC8"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C491CC3"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SB-14-2017</w:t>
                  </w:r>
                </w:p>
              </w:tc>
              <w:tc>
                <w:tcPr>
                  <w:tcW w:w="4614" w:type="dxa"/>
                  <w:tcBorders>
                    <w:top w:val="nil"/>
                    <w:left w:val="nil"/>
                    <w:bottom w:val="single" w:sz="4" w:space="0" w:color="auto"/>
                    <w:right w:val="single" w:sz="4" w:space="0" w:color="auto"/>
                  </w:tcBorders>
                  <w:shd w:val="clear" w:color="auto" w:fill="auto"/>
                  <w:vAlign w:val="bottom"/>
                  <w:hideMark/>
                </w:tcPr>
                <w:p w14:paraId="7BE14199"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New Site - Apple Valley TAD</w:t>
                  </w:r>
                </w:p>
              </w:tc>
              <w:tc>
                <w:tcPr>
                  <w:tcW w:w="1596" w:type="dxa"/>
                  <w:tcBorders>
                    <w:top w:val="nil"/>
                    <w:left w:val="nil"/>
                    <w:bottom w:val="single" w:sz="4" w:space="0" w:color="auto"/>
                    <w:right w:val="single" w:sz="4" w:space="0" w:color="auto"/>
                  </w:tcBorders>
                  <w:shd w:val="clear" w:color="auto" w:fill="auto"/>
                  <w:noWrap/>
                  <w:vAlign w:val="bottom"/>
                  <w:hideMark/>
                </w:tcPr>
                <w:p w14:paraId="0B9E85D8"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San Bernardino</w:t>
                  </w:r>
                </w:p>
              </w:tc>
              <w:tc>
                <w:tcPr>
                  <w:tcW w:w="1440" w:type="dxa"/>
                  <w:tcBorders>
                    <w:top w:val="nil"/>
                    <w:left w:val="nil"/>
                    <w:bottom w:val="single" w:sz="4" w:space="0" w:color="auto"/>
                    <w:right w:val="single" w:sz="4" w:space="0" w:color="auto"/>
                  </w:tcBorders>
                  <w:shd w:val="clear" w:color="auto" w:fill="auto"/>
                  <w:noWrap/>
                  <w:vAlign w:val="center"/>
                  <w:hideMark/>
                </w:tcPr>
                <w:p w14:paraId="5B815B4D"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1/2/2018</w:t>
                  </w:r>
                </w:p>
              </w:tc>
            </w:tr>
            <w:tr w:rsidR="007617D4" w:rsidRPr="009F6503" w14:paraId="714FC21F"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0F7B609"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SH-09-2017</w:t>
                  </w:r>
                </w:p>
              </w:tc>
              <w:tc>
                <w:tcPr>
                  <w:tcW w:w="4614" w:type="dxa"/>
                  <w:tcBorders>
                    <w:top w:val="nil"/>
                    <w:left w:val="nil"/>
                    <w:bottom w:val="single" w:sz="4" w:space="0" w:color="auto"/>
                    <w:right w:val="single" w:sz="4" w:space="0" w:color="auto"/>
                  </w:tcBorders>
                  <w:shd w:val="clear" w:color="auto" w:fill="auto"/>
                  <w:vAlign w:val="bottom"/>
                  <w:hideMark/>
                </w:tcPr>
                <w:p w14:paraId="4A0F45A5"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Zebra Printer for Reception Log (Qty 1)</w:t>
                  </w:r>
                </w:p>
              </w:tc>
              <w:tc>
                <w:tcPr>
                  <w:tcW w:w="1596" w:type="dxa"/>
                  <w:tcBorders>
                    <w:top w:val="nil"/>
                    <w:left w:val="nil"/>
                    <w:bottom w:val="single" w:sz="4" w:space="0" w:color="auto"/>
                    <w:right w:val="single" w:sz="4" w:space="0" w:color="auto"/>
                  </w:tcBorders>
                  <w:shd w:val="clear" w:color="auto" w:fill="auto"/>
                  <w:noWrap/>
                  <w:vAlign w:val="bottom"/>
                  <w:hideMark/>
                </w:tcPr>
                <w:p w14:paraId="46EFA4A1"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Shasta</w:t>
                  </w:r>
                </w:p>
              </w:tc>
              <w:tc>
                <w:tcPr>
                  <w:tcW w:w="1440" w:type="dxa"/>
                  <w:tcBorders>
                    <w:top w:val="nil"/>
                    <w:left w:val="nil"/>
                    <w:bottom w:val="single" w:sz="4" w:space="0" w:color="auto"/>
                    <w:right w:val="single" w:sz="4" w:space="0" w:color="auto"/>
                  </w:tcBorders>
                  <w:shd w:val="clear" w:color="auto" w:fill="auto"/>
                  <w:noWrap/>
                  <w:vAlign w:val="center"/>
                  <w:hideMark/>
                </w:tcPr>
                <w:p w14:paraId="728B9E95"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10/10/2017</w:t>
                  </w:r>
                </w:p>
              </w:tc>
            </w:tr>
            <w:tr w:rsidR="007617D4" w:rsidRPr="009F6503" w14:paraId="7F403789"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BD7132E"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SU-03-2017</w:t>
                  </w:r>
                </w:p>
              </w:tc>
              <w:tc>
                <w:tcPr>
                  <w:tcW w:w="4614" w:type="dxa"/>
                  <w:tcBorders>
                    <w:top w:val="nil"/>
                    <w:left w:val="nil"/>
                    <w:bottom w:val="single" w:sz="4" w:space="0" w:color="auto"/>
                    <w:right w:val="single" w:sz="4" w:space="0" w:color="auto"/>
                  </w:tcBorders>
                  <w:shd w:val="clear" w:color="auto" w:fill="auto"/>
                  <w:vAlign w:val="bottom"/>
                  <w:hideMark/>
                </w:tcPr>
                <w:p w14:paraId="25077F30"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Ongoing Production Operations for Regional Contact Center for Medi-Cal Referrals</w:t>
                  </w:r>
                </w:p>
              </w:tc>
              <w:tc>
                <w:tcPr>
                  <w:tcW w:w="1596" w:type="dxa"/>
                  <w:tcBorders>
                    <w:top w:val="nil"/>
                    <w:left w:val="nil"/>
                    <w:bottom w:val="single" w:sz="4" w:space="0" w:color="auto"/>
                    <w:right w:val="single" w:sz="4" w:space="0" w:color="auto"/>
                  </w:tcBorders>
                  <w:shd w:val="clear" w:color="auto" w:fill="auto"/>
                  <w:noWrap/>
                  <w:vAlign w:val="bottom"/>
                  <w:hideMark/>
                </w:tcPr>
                <w:p w14:paraId="2BA7261C"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Sutter</w:t>
                  </w:r>
                </w:p>
              </w:tc>
              <w:tc>
                <w:tcPr>
                  <w:tcW w:w="1440" w:type="dxa"/>
                  <w:tcBorders>
                    <w:top w:val="nil"/>
                    <w:left w:val="nil"/>
                    <w:bottom w:val="single" w:sz="4" w:space="0" w:color="auto"/>
                    <w:right w:val="single" w:sz="4" w:space="0" w:color="auto"/>
                  </w:tcBorders>
                  <w:shd w:val="clear" w:color="auto" w:fill="auto"/>
                  <w:noWrap/>
                  <w:vAlign w:val="center"/>
                  <w:hideMark/>
                </w:tcPr>
                <w:p w14:paraId="466DD990"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1/25/2018</w:t>
                  </w:r>
                </w:p>
              </w:tc>
            </w:tr>
            <w:tr w:rsidR="007617D4" w:rsidRPr="009F6503" w14:paraId="160E91D1"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D9F74E2"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SU-04-2017</w:t>
                  </w:r>
                </w:p>
              </w:tc>
              <w:tc>
                <w:tcPr>
                  <w:tcW w:w="4614" w:type="dxa"/>
                  <w:tcBorders>
                    <w:top w:val="nil"/>
                    <w:left w:val="nil"/>
                    <w:bottom w:val="single" w:sz="4" w:space="0" w:color="auto"/>
                    <w:right w:val="single" w:sz="4" w:space="0" w:color="auto"/>
                  </w:tcBorders>
                  <w:shd w:val="clear" w:color="auto" w:fill="auto"/>
                  <w:vAlign w:val="bottom"/>
                  <w:hideMark/>
                </w:tcPr>
                <w:p w14:paraId="4953F484"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Ongoing Production Operations for Customer Service Center</w:t>
                  </w:r>
                </w:p>
              </w:tc>
              <w:tc>
                <w:tcPr>
                  <w:tcW w:w="1596" w:type="dxa"/>
                  <w:tcBorders>
                    <w:top w:val="nil"/>
                    <w:left w:val="nil"/>
                    <w:bottom w:val="single" w:sz="4" w:space="0" w:color="auto"/>
                    <w:right w:val="single" w:sz="4" w:space="0" w:color="auto"/>
                  </w:tcBorders>
                  <w:shd w:val="clear" w:color="auto" w:fill="auto"/>
                  <w:noWrap/>
                  <w:vAlign w:val="bottom"/>
                  <w:hideMark/>
                </w:tcPr>
                <w:p w14:paraId="34D853CE"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Sutter</w:t>
                  </w:r>
                </w:p>
              </w:tc>
              <w:tc>
                <w:tcPr>
                  <w:tcW w:w="1440" w:type="dxa"/>
                  <w:tcBorders>
                    <w:top w:val="nil"/>
                    <w:left w:val="nil"/>
                    <w:bottom w:val="single" w:sz="4" w:space="0" w:color="auto"/>
                    <w:right w:val="single" w:sz="4" w:space="0" w:color="auto"/>
                  </w:tcBorders>
                  <w:shd w:val="clear" w:color="auto" w:fill="auto"/>
                  <w:noWrap/>
                  <w:vAlign w:val="center"/>
                  <w:hideMark/>
                </w:tcPr>
                <w:p w14:paraId="6A13D63B"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1/25/2018</w:t>
                  </w:r>
                </w:p>
              </w:tc>
            </w:tr>
            <w:tr w:rsidR="007617D4" w:rsidRPr="009F6503" w14:paraId="2A2ADCAE"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7FCC67B"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TR-03-2017</w:t>
                  </w:r>
                </w:p>
              </w:tc>
              <w:tc>
                <w:tcPr>
                  <w:tcW w:w="4614" w:type="dxa"/>
                  <w:tcBorders>
                    <w:top w:val="nil"/>
                    <w:left w:val="nil"/>
                    <w:bottom w:val="single" w:sz="4" w:space="0" w:color="auto"/>
                    <w:right w:val="single" w:sz="4" w:space="0" w:color="auto"/>
                  </w:tcBorders>
                  <w:shd w:val="clear" w:color="auto" w:fill="auto"/>
                  <w:vAlign w:val="bottom"/>
                  <w:hideMark/>
                </w:tcPr>
                <w:p w14:paraId="4757486E"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Printer Refresh</w:t>
                  </w:r>
                </w:p>
              </w:tc>
              <w:tc>
                <w:tcPr>
                  <w:tcW w:w="1596" w:type="dxa"/>
                  <w:tcBorders>
                    <w:top w:val="nil"/>
                    <w:left w:val="nil"/>
                    <w:bottom w:val="single" w:sz="4" w:space="0" w:color="auto"/>
                    <w:right w:val="single" w:sz="4" w:space="0" w:color="auto"/>
                  </w:tcBorders>
                  <w:shd w:val="clear" w:color="auto" w:fill="auto"/>
                  <w:noWrap/>
                  <w:vAlign w:val="bottom"/>
                  <w:hideMark/>
                </w:tcPr>
                <w:p w14:paraId="7A828570"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Trinity</w:t>
                  </w:r>
                </w:p>
              </w:tc>
              <w:tc>
                <w:tcPr>
                  <w:tcW w:w="1440" w:type="dxa"/>
                  <w:tcBorders>
                    <w:top w:val="nil"/>
                    <w:left w:val="nil"/>
                    <w:bottom w:val="single" w:sz="4" w:space="0" w:color="auto"/>
                    <w:right w:val="single" w:sz="4" w:space="0" w:color="auto"/>
                  </w:tcBorders>
                  <w:shd w:val="clear" w:color="auto" w:fill="auto"/>
                  <w:noWrap/>
                  <w:vAlign w:val="center"/>
                  <w:hideMark/>
                </w:tcPr>
                <w:p w14:paraId="7C4625F3"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10/24/2017</w:t>
                  </w:r>
                </w:p>
              </w:tc>
            </w:tr>
            <w:tr w:rsidR="007617D4" w:rsidRPr="009F6503" w14:paraId="55D67FBF" w14:textId="77777777" w:rsidTr="00397A4F">
              <w:trPr>
                <w:trHeight w:val="251"/>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960CD5C"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YB-05-2017</w:t>
                  </w:r>
                </w:p>
              </w:tc>
              <w:tc>
                <w:tcPr>
                  <w:tcW w:w="4614" w:type="dxa"/>
                  <w:tcBorders>
                    <w:top w:val="nil"/>
                    <w:left w:val="nil"/>
                    <w:bottom w:val="single" w:sz="4" w:space="0" w:color="auto"/>
                    <w:right w:val="single" w:sz="4" w:space="0" w:color="auto"/>
                  </w:tcBorders>
                  <w:shd w:val="clear" w:color="auto" w:fill="auto"/>
                  <w:vAlign w:val="bottom"/>
                  <w:hideMark/>
                </w:tcPr>
                <w:p w14:paraId="21B32D92"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Production Operations for Windows 10 Managed Workstation Image</w:t>
                  </w:r>
                </w:p>
              </w:tc>
              <w:tc>
                <w:tcPr>
                  <w:tcW w:w="1596" w:type="dxa"/>
                  <w:tcBorders>
                    <w:top w:val="nil"/>
                    <w:left w:val="nil"/>
                    <w:bottom w:val="single" w:sz="4" w:space="0" w:color="auto"/>
                    <w:right w:val="single" w:sz="4" w:space="0" w:color="auto"/>
                  </w:tcBorders>
                  <w:shd w:val="clear" w:color="auto" w:fill="auto"/>
                  <w:noWrap/>
                  <w:vAlign w:val="bottom"/>
                  <w:hideMark/>
                </w:tcPr>
                <w:p w14:paraId="71E80A22" w14:textId="77777777" w:rsidR="007617D4" w:rsidRPr="009F6503" w:rsidRDefault="007617D4" w:rsidP="007617D4">
                  <w:pPr>
                    <w:spacing w:after="0" w:line="240" w:lineRule="auto"/>
                    <w:rPr>
                      <w:rFonts w:eastAsia="Times New Roman" w:cs="Arial"/>
                      <w:color w:val="000000"/>
                      <w:sz w:val="20"/>
                      <w:szCs w:val="20"/>
                    </w:rPr>
                  </w:pPr>
                  <w:r w:rsidRPr="009F6503">
                    <w:rPr>
                      <w:rFonts w:eastAsia="Times New Roman" w:cs="Arial"/>
                      <w:color w:val="000000"/>
                      <w:sz w:val="20"/>
                      <w:szCs w:val="20"/>
                    </w:rPr>
                    <w:t>Yuba</w:t>
                  </w:r>
                </w:p>
              </w:tc>
              <w:tc>
                <w:tcPr>
                  <w:tcW w:w="1440" w:type="dxa"/>
                  <w:tcBorders>
                    <w:top w:val="nil"/>
                    <w:left w:val="nil"/>
                    <w:bottom w:val="single" w:sz="4" w:space="0" w:color="auto"/>
                    <w:right w:val="single" w:sz="4" w:space="0" w:color="auto"/>
                  </w:tcBorders>
                  <w:shd w:val="clear" w:color="auto" w:fill="auto"/>
                  <w:noWrap/>
                  <w:vAlign w:val="center"/>
                  <w:hideMark/>
                </w:tcPr>
                <w:p w14:paraId="6DD9C138" w14:textId="77777777" w:rsidR="007617D4" w:rsidRPr="009F6503" w:rsidRDefault="007617D4" w:rsidP="007617D4">
                  <w:pPr>
                    <w:spacing w:after="0" w:line="240" w:lineRule="auto"/>
                    <w:jc w:val="center"/>
                    <w:rPr>
                      <w:rFonts w:eastAsia="Times New Roman" w:cs="Arial"/>
                      <w:color w:val="000000"/>
                      <w:sz w:val="20"/>
                      <w:szCs w:val="20"/>
                    </w:rPr>
                  </w:pPr>
                  <w:r w:rsidRPr="009F6503">
                    <w:rPr>
                      <w:rFonts w:eastAsia="Times New Roman" w:cs="Arial"/>
                      <w:color w:val="000000"/>
                      <w:sz w:val="20"/>
                      <w:szCs w:val="20"/>
                    </w:rPr>
                    <w:t>11/20/2017</w:t>
                  </w:r>
                </w:p>
              </w:tc>
            </w:tr>
          </w:tbl>
          <w:p w14:paraId="7FBBBA99" w14:textId="6775E46B" w:rsidR="00090618" w:rsidRDefault="00BA3AB6" w:rsidP="00090618">
            <w:pPr>
              <w:rPr>
                <w:rStyle w:val="Strong"/>
                <w:rFonts w:cs="Arial"/>
                <w:sz w:val="20"/>
              </w:rPr>
            </w:pPr>
            <w:r w:rsidRPr="00BA3AB6">
              <w:rPr>
                <w:rStyle w:val="Strong"/>
                <w:rFonts w:cs="Arial"/>
                <w:sz w:val="20"/>
              </w:rPr>
              <w:t xml:space="preserve">   </w:t>
            </w:r>
          </w:p>
          <w:p w14:paraId="494C2837" w14:textId="1233E48F" w:rsidR="00397A4F" w:rsidRPr="00397A4F" w:rsidRDefault="00397A4F" w:rsidP="00397A4F">
            <w:pPr>
              <w:rPr>
                <w:rFonts w:cs="Arial"/>
                <w:bCs/>
                <w:sz w:val="20"/>
              </w:rPr>
            </w:pPr>
            <w:r w:rsidRPr="00397A4F">
              <w:rPr>
                <w:rFonts w:cs="Arial"/>
                <w:bCs/>
                <w:sz w:val="20"/>
              </w:rPr>
              <w:t>Individual approval has been obtained from the county associated with the above purchase.  In addition, the county has individually funded the above purchase, which total $</w:t>
            </w:r>
            <w:r>
              <w:rPr>
                <w:rFonts w:cs="Arial"/>
                <w:bCs/>
                <w:sz w:val="20"/>
              </w:rPr>
              <w:t>499,556</w:t>
            </w:r>
            <w:r w:rsidRPr="00397A4F">
              <w:rPr>
                <w:rFonts w:cs="Arial"/>
                <w:bCs/>
                <w:sz w:val="20"/>
              </w:rPr>
              <w:t>.</w:t>
            </w:r>
          </w:p>
          <w:p w14:paraId="09AFAFB6" w14:textId="77777777" w:rsidR="00397A4F" w:rsidRPr="00397A4F" w:rsidRDefault="00397A4F" w:rsidP="00397A4F">
            <w:pPr>
              <w:rPr>
                <w:rFonts w:cs="Arial"/>
                <w:b/>
                <w:bCs/>
                <w:sz w:val="20"/>
              </w:rPr>
            </w:pPr>
          </w:p>
          <w:p w14:paraId="33F4888C" w14:textId="77777777" w:rsidR="00397A4F" w:rsidRPr="00397A4F" w:rsidRDefault="00397A4F" w:rsidP="00397A4F">
            <w:pPr>
              <w:rPr>
                <w:rFonts w:cs="Arial"/>
                <w:b/>
                <w:bCs/>
                <w:sz w:val="20"/>
              </w:rPr>
            </w:pPr>
            <w:r w:rsidRPr="00397A4F">
              <w:rPr>
                <w:rFonts w:cs="Arial"/>
                <w:b/>
                <w:bCs/>
                <w:sz w:val="20"/>
              </w:rPr>
              <w:t>**County Purchase documents were not distributed as part of the emailed JPA Board materials.  The County Purchase documents are available on the C-IV and LRS Projects’ SharePoint sites due to the size of the files. If you do not know how to access the C-IV and LRS Projects’ SharePoint sites, please coordinate with your RPM.  If you need these documents immediately and are not able to access the C-IV and LRS Projects’ SharePoint sites you can always contact Raychelle Menefee 916-851-3195 and she will ensure you receive them as soon as possible.**</w:t>
            </w:r>
          </w:p>
          <w:p w14:paraId="30C8C15A" w14:textId="77777777" w:rsidR="002C1EDC" w:rsidRDefault="002C1EDC" w:rsidP="00090618">
            <w:pPr>
              <w:rPr>
                <w:rStyle w:val="Strong"/>
                <w:rFonts w:cs="Arial"/>
                <w:sz w:val="20"/>
              </w:rPr>
            </w:pPr>
          </w:p>
          <w:p w14:paraId="751C5759" w14:textId="20F733F8" w:rsidR="00924895" w:rsidRPr="0048474E" w:rsidRDefault="00AF40E9" w:rsidP="00AF40E9">
            <w:pPr>
              <w:rPr>
                <w:rStyle w:val="Strong"/>
                <w:b w:val="0"/>
                <w:bCs w:val="0"/>
                <w:sz w:val="20"/>
                <w:szCs w:val="20"/>
              </w:rPr>
            </w:pPr>
            <w:r w:rsidRPr="00533730">
              <w:rPr>
                <w:sz w:val="20"/>
                <w:szCs w:val="20"/>
              </w:rPr>
              <w:t>(Handout)</w:t>
            </w:r>
          </w:p>
        </w:tc>
      </w:tr>
      <w:tr w:rsidR="00620F1A" w:rsidRPr="00A65C7D" w14:paraId="27D0AA7C" w14:textId="77777777" w:rsidTr="00620F1A">
        <w:trPr>
          <w:cantSplit/>
          <w:trHeight w:val="971"/>
          <w:jc w:val="center"/>
        </w:trPr>
        <w:tc>
          <w:tcPr>
            <w:tcW w:w="339" w:type="dxa"/>
          </w:tcPr>
          <w:p w14:paraId="75E165B3" w14:textId="77777777" w:rsidR="002C1EDC" w:rsidRPr="00A65C7D" w:rsidRDefault="002C1EDC" w:rsidP="001F1325">
            <w:pPr>
              <w:numPr>
                <w:ilvl w:val="0"/>
                <w:numId w:val="1"/>
              </w:numPr>
              <w:ind w:left="0" w:firstLine="0"/>
              <w:rPr>
                <w:rFonts w:cs="Arial"/>
                <w:sz w:val="20"/>
              </w:rPr>
            </w:pPr>
          </w:p>
        </w:tc>
        <w:tc>
          <w:tcPr>
            <w:tcW w:w="1428" w:type="dxa"/>
          </w:tcPr>
          <w:p w14:paraId="63077A43" w14:textId="51278566" w:rsidR="002C1EDC" w:rsidRDefault="002C1EDC" w:rsidP="00D9028D">
            <w:pPr>
              <w:rPr>
                <w:rFonts w:cs="Arial"/>
                <w:sz w:val="20"/>
              </w:rPr>
            </w:pPr>
            <w:r>
              <w:rPr>
                <w:rFonts w:cs="Arial"/>
                <w:sz w:val="20"/>
              </w:rPr>
              <w:t>Action</w:t>
            </w:r>
          </w:p>
        </w:tc>
        <w:tc>
          <w:tcPr>
            <w:tcW w:w="9881" w:type="dxa"/>
          </w:tcPr>
          <w:p w14:paraId="0C0B9A77" w14:textId="6510E9C9" w:rsidR="002C1EDC" w:rsidRDefault="002C1EDC" w:rsidP="002C1EDC">
            <w:pPr>
              <w:rPr>
                <w:rStyle w:val="Strong"/>
                <w:rFonts w:cs="Arial"/>
                <w:sz w:val="20"/>
              </w:rPr>
            </w:pPr>
            <w:r w:rsidRPr="00BA3AB6">
              <w:rPr>
                <w:rStyle w:val="Strong"/>
                <w:rFonts w:cs="Arial"/>
                <w:sz w:val="20"/>
              </w:rPr>
              <w:t xml:space="preserve">Approve </w:t>
            </w:r>
            <w:r w:rsidR="00332211" w:rsidRPr="00332211">
              <w:rPr>
                <w:rStyle w:val="Strong"/>
                <w:rFonts w:cs="Arial"/>
                <w:sz w:val="20"/>
              </w:rPr>
              <w:t>Accenture C-IV Contract Amendment No. NINETY-SEVEN</w:t>
            </w:r>
            <w:r w:rsidR="00E254BA">
              <w:rPr>
                <w:rStyle w:val="Strong"/>
                <w:rFonts w:cs="Arial"/>
                <w:sz w:val="20"/>
              </w:rPr>
              <w:t xml:space="preserve"> and Updates to Exhibit A</w:t>
            </w:r>
          </w:p>
          <w:p w14:paraId="34318B31" w14:textId="77777777" w:rsidR="002C1EDC" w:rsidRDefault="002C1EDC" w:rsidP="002C1EDC">
            <w:pPr>
              <w:rPr>
                <w:rStyle w:val="Strong"/>
                <w:rFonts w:cs="Arial"/>
                <w:sz w:val="20"/>
              </w:rPr>
            </w:pPr>
          </w:p>
          <w:p w14:paraId="6BB5A6F9" w14:textId="6C80B987" w:rsidR="002C1EDC" w:rsidRDefault="002C1EDC" w:rsidP="002C1EDC">
            <w:pPr>
              <w:rPr>
                <w:rStyle w:val="Strong"/>
                <w:rFonts w:cs="Arial"/>
                <w:b w:val="0"/>
                <w:sz w:val="20"/>
              </w:rPr>
            </w:pPr>
            <w:r>
              <w:rPr>
                <w:rStyle w:val="Strong"/>
                <w:rFonts w:cs="Arial"/>
                <w:sz w:val="20"/>
              </w:rPr>
              <w:t>Summary:</w:t>
            </w:r>
            <w:r>
              <w:rPr>
                <w:rStyle w:val="Strong"/>
                <w:rFonts w:cs="Arial"/>
                <w:b w:val="0"/>
                <w:sz w:val="20"/>
              </w:rPr>
              <w:t xml:space="preserve"> </w:t>
            </w:r>
          </w:p>
          <w:p w14:paraId="2978694D" w14:textId="6BD3F220" w:rsidR="001A1456" w:rsidRDefault="00E254BA" w:rsidP="00E254BA">
            <w:pPr>
              <w:pStyle w:val="ListParagraph"/>
              <w:numPr>
                <w:ilvl w:val="0"/>
                <w:numId w:val="46"/>
              </w:numPr>
              <w:rPr>
                <w:rStyle w:val="Strong"/>
                <w:rFonts w:cs="Arial"/>
                <w:b w:val="0"/>
                <w:sz w:val="20"/>
              </w:rPr>
            </w:pPr>
            <w:r>
              <w:rPr>
                <w:rStyle w:val="Strong"/>
                <w:rFonts w:cs="Arial"/>
                <w:b w:val="0"/>
                <w:sz w:val="20"/>
              </w:rPr>
              <w:t xml:space="preserve">Change Order CO-091 – ABAWD, Revision 1 increases the Total Contract Value by $107,610. </w:t>
            </w:r>
            <w:r w:rsidRPr="00E254BA">
              <w:rPr>
                <w:rStyle w:val="Strong"/>
                <w:rFonts w:cs="Arial"/>
                <w:b w:val="0"/>
                <w:sz w:val="20"/>
              </w:rPr>
              <w:t xml:space="preserve">This Revision 1 to the Change Order outlines the Charges and timeline for Accenture to gather requirements and develop the designs for </w:t>
            </w:r>
            <w:r w:rsidR="00372004">
              <w:rPr>
                <w:rStyle w:val="Strong"/>
                <w:rFonts w:cs="Arial"/>
                <w:b w:val="0"/>
                <w:sz w:val="20"/>
              </w:rPr>
              <w:t>e</w:t>
            </w:r>
            <w:r w:rsidRPr="00E254BA">
              <w:rPr>
                <w:rStyle w:val="Strong"/>
                <w:rFonts w:cs="Arial"/>
                <w:b w:val="0"/>
                <w:sz w:val="20"/>
              </w:rPr>
              <w:t>nhancements that would enable the System to determine whether an ABAWD person has met work requirements, track ABAWD persons that the Counties deem as exemptions, and implement additional ABAWD tracking codes (Phase 2).</w:t>
            </w:r>
          </w:p>
          <w:p w14:paraId="215A5C2B" w14:textId="3CFCADF6" w:rsidR="00E254BA" w:rsidRPr="003A7323" w:rsidRDefault="003A7323" w:rsidP="001A1456">
            <w:pPr>
              <w:pStyle w:val="ListParagraph"/>
              <w:numPr>
                <w:ilvl w:val="0"/>
                <w:numId w:val="46"/>
              </w:numPr>
              <w:rPr>
                <w:rStyle w:val="Strong"/>
                <w:rFonts w:cs="Arial"/>
                <w:b w:val="0"/>
                <w:sz w:val="20"/>
              </w:rPr>
            </w:pPr>
            <w:r w:rsidRPr="003A7323">
              <w:rPr>
                <w:rStyle w:val="Strong"/>
                <w:rFonts w:cs="Arial"/>
                <w:b w:val="0"/>
                <w:sz w:val="20"/>
              </w:rPr>
              <w:t xml:space="preserve">Using the County </w:t>
            </w:r>
            <w:r w:rsidR="00372004">
              <w:rPr>
                <w:rStyle w:val="Strong"/>
                <w:rFonts w:cs="Arial"/>
                <w:b w:val="0"/>
                <w:sz w:val="20"/>
              </w:rPr>
              <w:t>P</w:t>
            </w:r>
            <w:r w:rsidRPr="003A7323">
              <w:rPr>
                <w:rStyle w:val="Strong"/>
                <w:rFonts w:cs="Arial"/>
                <w:b w:val="0"/>
                <w:sz w:val="20"/>
              </w:rPr>
              <w:t>urchase process, the Counties of Colusa, Calaveras, Glenn, Humboldt, Imperial, Kern, Modoc, Mariposa, Plumas, Riverside, San Bernardino, Shasta, Sutter, Trinity, and Yuba have purchased various Services, Equipment and Software items.  These purchases were funded and approved by the individual Counties.  The approved County purchases are incorporated in the Cost Pricing Schedules Attachment to this Amendment</w:t>
            </w:r>
            <w:r>
              <w:rPr>
                <w:rStyle w:val="Strong"/>
                <w:rFonts w:cs="Arial"/>
                <w:b w:val="0"/>
                <w:sz w:val="20"/>
              </w:rPr>
              <w:t>.</w:t>
            </w:r>
            <w:r w:rsidR="00E254BA" w:rsidRPr="003A7323">
              <w:rPr>
                <w:rStyle w:val="Strong"/>
                <w:rFonts w:cs="Arial"/>
                <w:b w:val="0"/>
                <w:sz w:val="20"/>
              </w:rPr>
              <w:t xml:space="preserve"> </w:t>
            </w:r>
          </w:p>
          <w:p w14:paraId="473160A8" w14:textId="55198269" w:rsidR="00615FA7" w:rsidRPr="003A7323" w:rsidRDefault="003A7323" w:rsidP="00615FA7">
            <w:pPr>
              <w:pStyle w:val="ListParagraph"/>
              <w:numPr>
                <w:ilvl w:val="0"/>
                <w:numId w:val="46"/>
              </w:numPr>
              <w:rPr>
                <w:rStyle w:val="Strong"/>
                <w:rFonts w:cs="Arial"/>
                <w:b w:val="0"/>
                <w:sz w:val="20"/>
              </w:rPr>
            </w:pPr>
            <w:r w:rsidRPr="003A7323">
              <w:rPr>
                <w:rStyle w:val="Strong"/>
                <w:rFonts w:cs="Arial"/>
                <w:b w:val="0"/>
                <w:sz w:val="20"/>
              </w:rPr>
              <w:t>The Extension Two Cost Pricing Schedules have been adjusted to reflect a shift of funds from the Hardware line item to the Application Maintenance line item for State Fiscal Year 2017/18. The additional Application Maintenance Services for State Fiscal Year 2017/18 are for the design, development, testing and implementation of Enhancements related to policy-mandated system changes. The adjustments are implemented and reflected in the Cost Pricing Schedules attachment to this Amendment.</w:t>
            </w:r>
          </w:p>
          <w:p w14:paraId="32E21657" w14:textId="00E2C8FB" w:rsidR="00A86D5F" w:rsidRDefault="00A86D5F" w:rsidP="00A86D5F">
            <w:pPr>
              <w:rPr>
                <w:rStyle w:val="Strong"/>
                <w:rFonts w:cs="Arial"/>
                <w:b w:val="0"/>
                <w:sz w:val="20"/>
              </w:rPr>
            </w:pPr>
          </w:p>
          <w:p w14:paraId="1744E88D" w14:textId="36133673" w:rsidR="00A86D5F" w:rsidRPr="00A86D5F" w:rsidRDefault="00A86D5F" w:rsidP="00A86D5F">
            <w:pPr>
              <w:rPr>
                <w:rStyle w:val="Strong"/>
                <w:rFonts w:cs="Arial"/>
                <w:sz w:val="20"/>
              </w:rPr>
            </w:pPr>
            <w:r w:rsidRPr="00A86D5F">
              <w:rPr>
                <w:rStyle w:val="Strong"/>
                <w:rFonts w:cs="Arial"/>
                <w:sz w:val="20"/>
              </w:rPr>
              <w:t xml:space="preserve">Amendment No. Ninety-Seven increases the Total Contract Value </w:t>
            </w:r>
            <w:r w:rsidRPr="00372004">
              <w:rPr>
                <w:rStyle w:val="Strong"/>
                <w:rFonts w:cs="Arial"/>
                <w:sz w:val="20"/>
              </w:rPr>
              <w:t xml:space="preserve">by </w:t>
            </w:r>
            <w:r w:rsidRPr="00D93208">
              <w:rPr>
                <w:rStyle w:val="Strong"/>
                <w:rFonts w:cs="Arial"/>
                <w:sz w:val="20"/>
              </w:rPr>
              <w:t>$607,166.</w:t>
            </w:r>
          </w:p>
          <w:p w14:paraId="2985B77A" w14:textId="77777777" w:rsidR="00615FA7" w:rsidRPr="00615FA7" w:rsidRDefault="00615FA7" w:rsidP="00615FA7">
            <w:pPr>
              <w:ind w:left="360"/>
              <w:rPr>
                <w:rStyle w:val="Strong"/>
                <w:rFonts w:cs="Arial"/>
                <w:b w:val="0"/>
                <w:sz w:val="20"/>
              </w:rPr>
            </w:pPr>
          </w:p>
          <w:p w14:paraId="30EA4E75" w14:textId="39488971" w:rsidR="002C1EDC" w:rsidRPr="00BA3AB6" w:rsidRDefault="002C1EDC" w:rsidP="00615FA7">
            <w:pPr>
              <w:rPr>
                <w:rStyle w:val="Strong"/>
                <w:rFonts w:cs="Arial"/>
                <w:sz w:val="20"/>
              </w:rPr>
            </w:pPr>
            <w:r w:rsidRPr="00BA3AB6">
              <w:rPr>
                <w:rStyle w:val="Strong"/>
                <w:rFonts w:cs="Arial"/>
                <w:sz w:val="20"/>
              </w:rPr>
              <w:t xml:space="preserve">   </w:t>
            </w:r>
            <w:r w:rsidRPr="00533730">
              <w:rPr>
                <w:sz w:val="20"/>
                <w:szCs w:val="20"/>
              </w:rPr>
              <w:t>(Handout)</w:t>
            </w:r>
          </w:p>
        </w:tc>
      </w:tr>
      <w:tr w:rsidR="00620F1A" w:rsidRPr="00A65C7D" w14:paraId="07755440" w14:textId="77777777" w:rsidTr="00620F1A">
        <w:trPr>
          <w:cantSplit/>
          <w:trHeight w:val="971"/>
          <w:jc w:val="center"/>
        </w:trPr>
        <w:tc>
          <w:tcPr>
            <w:tcW w:w="339" w:type="dxa"/>
          </w:tcPr>
          <w:p w14:paraId="08380DA4" w14:textId="77777777" w:rsidR="002C1EDC" w:rsidRPr="00A65C7D" w:rsidRDefault="002C1EDC" w:rsidP="001F1325">
            <w:pPr>
              <w:numPr>
                <w:ilvl w:val="0"/>
                <w:numId w:val="1"/>
              </w:numPr>
              <w:ind w:left="0" w:firstLine="0"/>
              <w:rPr>
                <w:rFonts w:cs="Arial"/>
                <w:sz w:val="20"/>
              </w:rPr>
            </w:pPr>
          </w:p>
        </w:tc>
        <w:tc>
          <w:tcPr>
            <w:tcW w:w="1428" w:type="dxa"/>
          </w:tcPr>
          <w:p w14:paraId="697006A5" w14:textId="0081A684" w:rsidR="002C1EDC" w:rsidRDefault="002C1EDC" w:rsidP="00D9028D">
            <w:pPr>
              <w:rPr>
                <w:rFonts w:cs="Arial"/>
                <w:sz w:val="20"/>
              </w:rPr>
            </w:pPr>
            <w:r>
              <w:rPr>
                <w:rFonts w:cs="Arial"/>
                <w:sz w:val="20"/>
              </w:rPr>
              <w:t>Action</w:t>
            </w:r>
          </w:p>
        </w:tc>
        <w:tc>
          <w:tcPr>
            <w:tcW w:w="9881" w:type="dxa"/>
          </w:tcPr>
          <w:p w14:paraId="2DB1CE39" w14:textId="0E0B991C" w:rsidR="002C1EDC" w:rsidRDefault="002C1EDC" w:rsidP="002C1EDC">
            <w:pPr>
              <w:rPr>
                <w:rStyle w:val="Strong"/>
                <w:rFonts w:cs="Arial"/>
                <w:sz w:val="20"/>
              </w:rPr>
            </w:pPr>
            <w:r w:rsidRPr="00BA3AB6">
              <w:rPr>
                <w:rStyle w:val="Strong"/>
                <w:rFonts w:cs="Arial"/>
                <w:sz w:val="20"/>
              </w:rPr>
              <w:t xml:space="preserve">Approve </w:t>
            </w:r>
            <w:r w:rsidR="00332211" w:rsidRPr="00332211">
              <w:rPr>
                <w:rStyle w:val="Strong"/>
                <w:rFonts w:cs="Arial"/>
                <w:sz w:val="20"/>
              </w:rPr>
              <w:t>Accenture LRS Contract Amendment No. Eight</w:t>
            </w:r>
          </w:p>
          <w:p w14:paraId="19413EF8" w14:textId="77777777" w:rsidR="002C1EDC" w:rsidRDefault="002C1EDC" w:rsidP="002C1EDC">
            <w:pPr>
              <w:rPr>
                <w:rStyle w:val="Strong"/>
                <w:rFonts w:cs="Arial"/>
                <w:sz w:val="20"/>
              </w:rPr>
            </w:pPr>
          </w:p>
          <w:p w14:paraId="771976E6" w14:textId="77777777" w:rsidR="002C1EDC" w:rsidRPr="002C1EDC" w:rsidRDefault="002C1EDC" w:rsidP="002C1EDC">
            <w:pPr>
              <w:rPr>
                <w:rStyle w:val="Strong"/>
                <w:rFonts w:cs="Arial"/>
                <w:b w:val="0"/>
                <w:sz w:val="20"/>
              </w:rPr>
            </w:pPr>
            <w:r>
              <w:rPr>
                <w:rStyle w:val="Strong"/>
                <w:rFonts w:cs="Arial"/>
                <w:sz w:val="20"/>
              </w:rPr>
              <w:t>Summary:</w:t>
            </w:r>
            <w:r>
              <w:rPr>
                <w:rStyle w:val="Strong"/>
                <w:rFonts w:cs="Arial"/>
                <w:b w:val="0"/>
                <w:sz w:val="20"/>
              </w:rPr>
              <w:t xml:space="preserve"> </w:t>
            </w:r>
          </w:p>
          <w:p w14:paraId="68595C10" w14:textId="0B8098CB" w:rsidR="003A7323" w:rsidRPr="009F6503" w:rsidRDefault="003A7323" w:rsidP="009F6503">
            <w:pPr>
              <w:pStyle w:val="ListParagraph"/>
              <w:numPr>
                <w:ilvl w:val="0"/>
                <w:numId w:val="31"/>
              </w:numPr>
              <w:spacing w:after="200" w:line="276" w:lineRule="auto"/>
              <w:rPr>
                <w:rStyle w:val="Strong"/>
                <w:rFonts w:cs="Arial"/>
                <w:b w:val="0"/>
                <w:sz w:val="20"/>
              </w:rPr>
            </w:pPr>
            <w:r w:rsidRPr="009F6503">
              <w:rPr>
                <w:rStyle w:val="Strong"/>
                <w:rFonts w:cs="Arial"/>
                <w:b w:val="0"/>
                <w:sz w:val="20"/>
              </w:rPr>
              <w:t>The Agreement was amended t</w:t>
            </w:r>
            <w:r w:rsidR="009F6503" w:rsidRPr="009F6503">
              <w:rPr>
                <w:rStyle w:val="Strong"/>
                <w:rFonts w:cs="Arial"/>
                <w:b w:val="0"/>
                <w:sz w:val="20"/>
              </w:rPr>
              <w:t xml:space="preserve">o reflect technical support for California Work Opportunity and Responsibility to Kids Information Network (“CalWIN”) User Labs for CONSORTIUM. The parties have agreed to add an additional 776 hours to the Regulatory &amp; Administrative Change Budget Services. </w:t>
            </w:r>
          </w:p>
          <w:p w14:paraId="472DC8B9" w14:textId="35854BA1" w:rsidR="003A7323" w:rsidRDefault="009F6503" w:rsidP="003A7323">
            <w:pPr>
              <w:pStyle w:val="ListParagraph"/>
              <w:numPr>
                <w:ilvl w:val="0"/>
                <w:numId w:val="31"/>
              </w:numPr>
              <w:spacing w:after="200" w:line="276" w:lineRule="auto"/>
              <w:rPr>
                <w:rStyle w:val="Strong"/>
                <w:rFonts w:cs="Arial"/>
                <w:b w:val="0"/>
                <w:sz w:val="20"/>
              </w:rPr>
            </w:pPr>
            <w:r>
              <w:rPr>
                <w:rStyle w:val="Strong"/>
                <w:rFonts w:cs="Arial"/>
                <w:b w:val="0"/>
                <w:sz w:val="20"/>
              </w:rPr>
              <w:t xml:space="preserve">Schedule D (Regulatory &amp; Administrative Change Budget Services) of Exhibit C (Schedule of Payments) was </w:t>
            </w:r>
            <w:r w:rsidR="00D7538E">
              <w:rPr>
                <w:rStyle w:val="Strong"/>
                <w:rFonts w:cs="Arial"/>
                <w:b w:val="0"/>
                <w:sz w:val="20"/>
              </w:rPr>
              <w:t xml:space="preserve">updated </w:t>
            </w:r>
            <w:r>
              <w:rPr>
                <w:rStyle w:val="Strong"/>
                <w:rFonts w:cs="Arial"/>
                <w:b w:val="0"/>
                <w:sz w:val="20"/>
              </w:rPr>
              <w:t>to include CalWIN User Lab Technical Support</w:t>
            </w:r>
            <w:r w:rsidR="003A7323">
              <w:rPr>
                <w:rStyle w:val="Strong"/>
                <w:rFonts w:cs="Arial"/>
                <w:b w:val="0"/>
                <w:sz w:val="20"/>
              </w:rPr>
              <w:t xml:space="preserve">. </w:t>
            </w:r>
          </w:p>
          <w:p w14:paraId="6FD3879C" w14:textId="459824AA" w:rsidR="00372004" w:rsidRDefault="00372004" w:rsidP="00372004">
            <w:pPr>
              <w:rPr>
                <w:rStyle w:val="Strong"/>
                <w:rFonts w:cs="Arial"/>
                <w:b w:val="0"/>
                <w:sz w:val="20"/>
              </w:rPr>
            </w:pPr>
            <w:r w:rsidRPr="00D93208">
              <w:rPr>
                <w:rStyle w:val="Strong"/>
                <w:rFonts w:cs="Arial"/>
                <w:b w:val="0"/>
                <w:sz w:val="20"/>
              </w:rPr>
              <w:t xml:space="preserve">All costs associated with this Change Order are covered through CalACES </w:t>
            </w:r>
            <w:r w:rsidR="00F97D8D" w:rsidRPr="00D93208">
              <w:rPr>
                <w:rStyle w:val="Strong"/>
                <w:rFonts w:cs="Arial"/>
                <w:b w:val="0"/>
                <w:sz w:val="20"/>
              </w:rPr>
              <w:t xml:space="preserve">LRS/C-IV Migration </w:t>
            </w:r>
            <w:r w:rsidRPr="00D93208">
              <w:rPr>
                <w:rStyle w:val="Strong"/>
                <w:rFonts w:cs="Arial"/>
                <w:b w:val="0"/>
                <w:sz w:val="20"/>
              </w:rPr>
              <w:t>funding and are accounted for in the FY 2018/19 CalACES Project Budget approved September 21, 2017.</w:t>
            </w:r>
          </w:p>
          <w:p w14:paraId="02F54D4B" w14:textId="77777777" w:rsidR="00372004" w:rsidRPr="00372004" w:rsidRDefault="00372004" w:rsidP="00D93208">
            <w:pPr>
              <w:rPr>
                <w:rStyle w:val="Strong"/>
                <w:rFonts w:cs="Arial"/>
                <w:b w:val="0"/>
                <w:sz w:val="20"/>
              </w:rPr>
            </w:pPr>
          </w:p>
          <w:p w14:paraId="09BBDF61" w14:textId="2C776418" w:rsidR="002C1EDC" w:rsidRPr="00BA3AB6" w:rsidRDefault="002C1EDC" w:rsidP="002C1EDC">
            <w:pPr>
              <w:rPr>
                <w:rStyle w:val="Strong"/>
                <w:rFonts w:cs="Arial"/>
                <w:sz w:val="20"/>
              </w:rPr>
            </w:pPr>
            <w:r w:rsidRPr="00533730">
              <w:rPr>
                <w:sz w:val="20"/>
                <w:szCs w:val="20"/>
              </w:rPr>
              <w:t>(Handout)</w:t>
            </w:r>
          </w:p>
        </w:tc>
      </w:tr>
      <w:tr w:rsidR="00620F1A" w:rsidRPr="00A65C7D" w14:paraId="3BA4EEFA" w14:textId="77777777" w:rsidTr="00620F1A">
        <w:trPr>
          <w:cantSplit/>
          <w:trHeight w:val="971"/>
          <w:jc w:val="center"/>
        </w:trPr>
        <w:tc>
          <w:tcPr>
            <w:tcW w:w="339" w:type="dxa"/>
          </w:tcPr>
          <w:p w14:paraId="2C9A4EB9" w14:textId="77777777" w:rsidR="00332211" w:rsidRPr="00A65C7D" w:rsidRDefault="00332211" w:rsidP="001F1325">
            <w:pPr>
              <w:numPr>
                <w:ilvl w:val="0"/>
                <w:numId w:val="1"/>
              </w:numPr>
              <w:ind w:left="0" w:firstLine="0"/>
              <w:rPr>
                <w:rFonts w:cs="Arial"/>
                <w:sz w:val="20"/>
              </w:rPr>
            </w:pPr>
          </w:p>
        </w:tc>
        <w:tc>
          <w:tcPr>
            <w:tcW w:w="1428" w:type="dxa"/>
          </w:tcPr>
          <w:p w14:paraId="36CADB8F" w14:textId="5866E58C" w:rsidR="00332211" w:rsidRDefault="00332211" w:rsidP="00D9028D">
            <w:pPr>
              <w:rPr>
                <w:rFonts w:cs="Arial"/>
                <w:sz w:val="20"/>
              </w:rPr>
            </w:pPr>
            <w:r>
              <w:rPr>
                <w:rFonts w:cs="Arial"/>
                <w:sz w:val="20"/>
              </w:rPr>
              <w:t>Action</w:t>
            </w:r>
          </w:p>
        </w:tc>
        <w:tc>
          <w:tcPr>
            <w:tcW w:w="9881" w:type="dxa"/>
          </w:tcPr>
          <w:p w14:paraId="31AA82F1" w14:textId="4A9DA9F8" w:rsidR="00332211" w:rsidRDefault="00332211" w:rsidP="002C1EDC">
            <w:pPr>
              <w:rPr>
                <w:rStyle w:val="Strong"/>
                <w:rFonts w:cs="Arial"/>
                <w:sz w:val="20"/>
              </w:rPr>
            </w:pPr>
            <w:r w:rsidRPr="00BA3AB6">
              <w:rPr>
                <w:rStyle w:val="Strong"/>
                <w:rFonts w:cs="Arial"/>
                <w:sz w:val="20"/>
              </w:rPr>
              <w:t>Approve</w:t>
            </w:r>
            <w:r>
              <w:rPr>
                <w:rStyle w:val="Strong"/>
                <w:rFonts w:cs="Arial"/>
                <w:sz w:val="20"/>
              </w:rPr>
              <w:t xml:space="preserve"> </w:t>
            </w:r>
            <w:r w:rsidRPr="00332211">
              <w:rPr>
                <w:rStyle w:val="Strong"/>
                <w:rFonts w:cs="Arial"/>
                <w:sz w:val="20"/>
              </w:rPr>
              <w:t>First Data C-IV Change Order CO-048 – CalSAWS Planning</w:t>
            </w:r>
          </w:p>
          <w:p w14:paraId="74802211" w14:textId="00A069F5" w:rsidR="00332211" w:rsidRDefault="00332211" w:rsidP="002C1EDC">
            <w:pPr>
              <w:rPr>
                <w:rStyle w:val="Strong"/>
                <w:rFonts w:cs="Arial"/>
                <w:sz w:val="20"/>
              </w:rPr>
            </w:pPr>
          </w:p>
          <w:p w14:paraId="707838A9" w14:textId="270A20E3" w:rsidR="009F6503" w:rsidRPr="00C45BA7" w:rsidRDefault="00615FA7" w:rsidP="009F6503">
            <w:pPr>
              <w:ind w:left="12"/>
              <w:jc w:val="both"/>
              <w:rPr>
                <w:sz w:val="20"/>
              </w:rPr>
            </w:pPr>
            <w:r w:rsidRPr="009F6503">
              <w:rPr>
                <w:rStyle w:val="Strong"/>
                <w:rFonts w:cs="Arial"/>
                <w:sz w:val="20"/>
              </w:rPr>
              <w:t>Summary:</w:t>
            </w:r>
            <w:r w:rsidRPr="009F6503">
              <w:rPr>
                <w:rStyle w:val="Strong"/>
                <w:rFonts w:cs="Arial"/>
                <w:b w:val="0"/>
                <w:sz w:val="20"/>
              </w:rPr>
              <w:t xml:space="preserve"> </w:t>
            </w:r>
            <w:r w:rsidR="009F6503" w:rsidRPr="00C45BA7">
              <w:rPr>
                <w:sz w:val="20"/>
              </w:rPr>
              <w:t>Pursuant to the State Strategy for Eligibility Systems and enactment of California Assembly Bill ABX 1 of 2011, the Consortium is planning the migration of the Consortium into a combined 40-county system (“CalACES”) with a future</w:t>
            </w:r>
            <w:r w:rsidR="00C45BA7">
              <w:rPr>
                <w:sz w:val="20"/>
              </w:rPr>
              <w:t xml:space="preserve"> </w:t>
            </w:r>
            <w:r w:rsidR="009F6503" w:rsidRPr="00C45BA7">
              <w:rPr>
                <w:sz w:val="20"/>
              </w:rPr>
              <w:t>plan to migrate all California counties into a combined 58-county system (“CalSAWS”). In preparation of the migration, User Labs will occur to allow users to understand and become familiar with the LRS target system and the CalACES requirements and enable informed participation in subsequent requirements gathering sessions.</w:t>
            </w:r>
          </w:p>
          <w:p w14:paraId="4F22A72D" w14:textId="77777777" w:rsidR="009F6503" w:rsidRPr="00C45BA7" w:rsidRDefault="009F6503" w:rsidP="009F6503">
            <w:pPr>
              <w:widowControl w:val="0"/>
              <w:tabs>
                <w:tab w:val="left" w:pos="90"/>
              </w:tabs>
              <w:autoSpaceDE w:val="0"/>
              <w:autoSpaceDN w:val="0"/>
              <w:adjustRightInd w:val="0"/>
              <w:ind w:left="12"/>
              <w:rPr>
                <w:sz w:val="20"/>
              </w:rPr>
            </w:pPr>
          </w:p>
          <w:p w14:paraId="5BC09796" w14:textId="7F7445E1" w:rsidR="00615FA7" w:rsidRPr="00C45BA7" w:rsidRDefault="009F6503" w:rsidP="009F6503">
            <w:pPr>
              <w:ind w:left="12"/>
              <w:rPr>
                <w:sz w:val="20"/>
              </w:rPr>
            </w:pPr>
            <w:r w:rsidRPr="00C45BA7">
              <w:rPr>
                <w:sz w:val="20"/>
              </w:rPr>
              <w:t>This Change Order includes an additional 2,517 hours of Services for the First Data QA Team.</w:t>
            </w:r>
            <w:r w:rsidR="00615FA7" w:rsidRPr="00C45BA7">
              <w:rPr>
                <w:sz w:val="20"/>
              </w:rPr>
              <w:t xml:space="preserve">  </w:t>
            </w:r>
          </w:p>
          <w:p w14:paraId="250D9C5F" w14:textId="77777777" w:rsidR="00615FA7" w:rsidRDefault="00615FA7" w:rsidP="002C1EDC">
            <w:pPr>
              <w:rPr>
                <w:rStyle w:val="Strong"/>
                <w:rFonts w:cs="Arial"/>
                <w:sz w:val="20"/>
              </w:rPr>
            </w:pPr>
          </w:p>
          <w:p w14:paraId="4DA5C48F" w14:textId="77777777" w:rsidR="00615FA7" w:rsidRDefault="00615FA7" w:rsidP="00615FA7">
            <w:pPr>
              <w:rPr>
                <w:rFonts w:cs="Arial"/>
                <w:bCs/>
                <w:color w:val="000000"/>
                <w:sz w:val="20"/>
                <w:szCs w:val="20"/>
              </w:rPr>
            </w:pPr>
            <w:r>
              <w:rPr>
                <w:rStyle w:val="Strong"/>
                <w:rFonts w:cs="Arial"/>
                <w:sz w:val="20"/>
              </w:rPr>
              <w:t>Total Change Order Costs:</w:t>
            </w:r>
          </w:p>
          <w:tbl>
            <w:tblPr>
              <w:tblW w:w="7209" w:type="dxa"/>
              <w:tblInd w:w="1" w:type="dxa"/>
              <w:tblLook w:val="04A0" w:firstRow="1" w:lastRow="0" w:firstColumn="1" w:lastColumn="0" w:noHBand="0" w:noVBand="1"/>
            </w:tblPr>
            <w:tblGrid>
              <w:gridCol w:w="2619"/>
              <w:gridCol w:w="1440"/>
              <w:gridCol w:w="1440"/>
              <w:gridCol w:w="1710"/>
            </w:tblGrid>
            <w:tr w:rsidR="00615FA7" w:rsidRPr="00D3260D" w14:paraId="2E2F66C9" w14:textId="77777777" w:rsidTr="00F97D8D">
              <w:trPr>
                <w:trHeight w:val="570"/>
              </w:trPr>
              <w:tc>
                <w:tcPr>
                  <w:tcW w:w="2619" w:type="dxa"/>
                  <w:tcBorders>
                    <w:top w:val="single" w:sz="4" w:space="0" w:color="auto"/>
                    <w:left w:val="single" w:sz="4" w:space="0" w:color="auto"/>
                    <w:bottom w:val="nil"/>
                    <w:right w:val="single" w:sz="4" w:space="0" w:color="auto"/>
                  </w:tcBorders>
                  <w:shd w:val="clear" w:color="000000" w:fill="1F497D"/>
                  <w:vAlign w:val="center"/>
                  <w:hideMark/>
                </w:tcPr>
                <w:p w14:paraId="279FF2FD" w14:textId="77777777" w:rsidR="00615FA7" w:rsidRPr="00D3260D" w:rsidRDefault="00615FA7" w:rsidP="00615FA7">
                  <w:pPr>
                    <w:jc w:val="center"/>
                    <w:rPr>
                      <w:rFonts w:ascii="Calibri" w:hAnsi="Calibri" w:cs="Calibri"/>
                      <w:b/>
                      <w:bCs/>
                      <w:color w:val="FFFFFF"/>
                      <w:sz w:val="20"/>
                    </w:rPr>
                  </w:pPr>
                  <w:r w:rsidRPr="00D3260D">
                    <w:rPr>
                      <w:rFonts w:ascii="Calibri" w:hAnsi="Calibri" w:cs="Calibri"/>
                      <w:b/>
                      <w:bCs/>
                      <w:color w:val="FFFFFF"/>
                      <w:sz w:val="20"/>
                    </w:rPr>
                    <w:t>Total Change Order Costs</w:t>
                  </w:r>
                </w:p>
              </w:tc>
              <w:tc>
                <w:tcPr>
                  <w:tcW w:w="1440" w:type="dxa"/>
                  <w:tcBorders>
                    <w:top w:val="single" w:sz="4" w:space="0" w:color="auto"/>
                    <w:left w:val="nil"/>
                    <w:bottom w:val="single" w:sz="4" w:space="0" w:color="auto"/>
                    <w:right w:val="nil"/>
                  </w:tcBorders>
                  <w:shd w:val="clear" w:color="000000" w:fill="1F497D"/>
                  <w:vAlign w:val="center"/>
                  <w:hideMark/>
                </w:tcPr>
                <w:p w14:paraId="3E399E64" w14:textId="77777777" w:rsidR="00615FA7" w:rsidRPr="00D3260D" w:rsidRDefault="00615FA7" w:rsidP="00615FA7">
                  <w:pPr>
                    <w:jc w:val="center"/>
                    <w:rPr>
                      <w:rFonts w:ascii="Calibri" w:hAnsi="Calibri" w:cs="Calibri"/>
                      <w:b/>
                      <w:bCs/>
                      <w:color w:val="FFFFFF"/>
                      <w:sz w:val="20"/>
                    </w:rPr>
                  </w:pPr>
                  <w:r w:rsidRPr="00D3260D">
                    <w:rPr>
                      <w:rFonts w:ascii="Calibri" w:hAnsi="Calibri" w:cs="Calibri"/>
                      <w:b/>
                      <w:bCs/>
                      <w:color w:val="FFFFFF"/>
                      <w:sz w:val="20"/>
                    </w:rPr>
                    <w:t>SFY 17/18</w:t>
                  </w:r>
                </w:p>
              </w:tc>
              <w:tc>
                <w:tcPr>
                  <w:tcW w:w="1440" w:type="dxa"/>
                  <w:tcBorders>
                    <w:top w:val="single" w:sz="4" w:space="0" w:color="auto"/>
                    <w:left w:val="single" w:sz="4" w:space="0" w:color="auto"/>
                    <w:bottom w:val="single" w:sz="4" w:space="0" w:color="auto"/>
                    <w:right w:val="nil"/>
                  </w:tcBorders>
                  <w:shd w:val="clear" w:color="000000" w:fill="1F497D"/>
                  <w:vAlign w:val="center"/>
                  <w:hideMark/>
                </w:tcPr>
                <w:p w14:paraId="437E2AEF" w14:textId="77777777" w:rsidR="00615FA7" w:rsidRPr="00D3260D" w:rsidRDefault="00615FA7" w:rsidP="00615FA7">
                  <w:pPr>
                    <w:jc w:val="center"/>
                    <w:rPr>
                      <w:rFonts w:ascii="Calibri" w:hAnsi="Calibri" w:cs="Calibri"/>
                      <w:b/>
                      <w:bCs/>
                      <w:color w:val="FFFFFF"/>
                      <w:sz w:val="20"/>
                    </w:rPr>
                  </w:pPr>
                  <w:r w:rsidRPr="00D3260D">
                    <w:rPr>
                      <w:rFonts w:ascii="Calibri" w:hAnsi="Calibri" w:cs="Calibri"/>
                      <w:b/>
                      <w:bCs/>
                      <w:color w:val="FFFFFF"/>
                      <w:sz w:val="20"/>
                    </w:rPr>
                    <w:t>SFY 18/19</w:t>
                  </w:r>
                </w:p>
              </w:tc>
              <w:tc>
                <w:tcPr>
                  <w:tcW w:w="1710" w:type="dxa"/>
                  <w:tcBorders>
                    <w:top w:val="single" w:sz="4" w:space="0" w:color="auto"/>
                    <w:left w:val="single" w:sz="4" w:space="0" w:color="auto"/>
                    <w:bottom w:val="single" w:sz="4" w:space="0" w:color="auto"/>
                    <w:right w:val="nil"/>
                  </w:tcBorders>
                  <w:shd w:val="clear" w:color="000000" w:fill="1F497D"/>
                  <w:vAlign w:val="center"/>
                  <w:hideMark/>
                </w:tcPr>
                <w:p w14:paraId="5A41ED09" w14:textId="77777777" w:rsidR="00615FA7" w:rsidRPr="00D3260D" w:rsidRDefault="00615FA7" w:rsidP="00615FA7">
                  <w:pPr>
                    <w:jc w:val="center"/>
                    <w:rPr>
                      <w:rFonts w:ascii="Calibri" w:hAnsi="Calibri" w:cs="Calibri"/>
                      <w:b/>
                      <w:bCs/>
                      <w:color w:val="FFFFFF"/>
                      <w:sz w:val="20"/>
                    </w:rPr>
                  </w:pPr>
                  <w:r w:rsidRPr="00D3260D">
                    <w:rPr>
                      <w:rFonts w:ascii="Calibri" w:hAnsi="Calibri" w:cs="Calibri"/>
                      <w:b/>
                      <w:bCs/>
                      <w:color w:val="FFFFFF"/>
                      <w:sz w:val="20"/>
                    </w:rPr>
                    <w:t>Total Cost</w:t>
                  </w:r>
                </w:p>
              </w:tc>
            </w:tr>
            <w:tr w:rsidR="00615FA7" w:rsidRPr="00D3260D" w14:paraId="4E8D6F82" w14:textId="77777777" w:rsidTr="00F97D8D">
              <w:trPr>
                <w:trHeight w:val="368"/>
              </w:trPr>
              <w:tc>
                <w:tcPr>
                  <w:tcW w:w="2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6F1CD" w14:textId="77777777" w:rsidR="00615FA7" w:rsidRPr="00D3260D" w:rsidRDefault="00615FA7" w:rsidP="00615FA7">
                  <w:pPr>
                    <w:jc w:val="right"/>
                    <w:rPr>
                      <w:rFonts w:ascii="Calibri" w:hAnsi="Calibri" w:cs="Calibri"/>
                      <w:b/>
                      <w:bCs/>
                      <w:color w:val="000000"/>
                      <w:sz w:val="20"/>
                    </w:rPr>
                  </w:pPr>
                  <w:r w:rsidRPr="00D3260D">
                    <w:rPr>
                      <w:rFonts w:ascii="Calibri" w:hAnsi="Calibri" w:cs="Calibri"/>
                      <w:b/>
                      <w:bCs/>
                      <w:color w:val="000000"/>
                      <w:sz w:val="20"/>
                    </w:rPr>
                    <w:t>Total Costs</w:t>
                  </w:r>
                </w:p>
              </w:tc>
              <w:tc>
                <w:tcPr>
                  <w:tcW w:w="1440" w:type="dxa"/>
                  <w:tcBorders>
                    <w:top w:val="nil"/>
                    <w:left w:val="nil"/>
                    <w:bottom w:val="single" w:sz="4" w:space="0" w:color="auto"/>
                    <w:right w:val="single" w:sz="4" w:space="0" w:color="auto"/>
                  </w:tcBorders>
                  <w:shd w:val="clear" w:color="auto" w:fill="auto"/>
                  <w:noWrap/>
                  <w:vAlign w:val="bottom"/>
                  <w:hideMark/>
                </w:tcPr>
                <w:p w14:paraId="32F73BEF" w14:textId="77777777" w:rsidR="00615FA7" w:rsidRPr="00D3260D" w:rsidRDefault="00615FA7" w:rsidP="00615FA7">
                  <w:pPr>
                    <w:jc w:val="right"/>
                    <w:rPr>
                      <w:rFonts w:ascii="Calibri" w:hAnsi="Calibri" w:cs="Calibri"/>
                    </w:rPr>
                  </w:pPr>
                  <w:r w:rsidRPr="00D3260D">
                    <w:rPr>
                      <w:rFonts w:ascii="Calibri" w:hAnsi="Calibri" w:cs="Calibri"/>
                    </w:rPr>
                    <w:t xml:space="preserve">$199,392 </w:t>
                  </w:r>
                </w:p>
              </w:tc>
              <w:tc>
                <w:tcPr>
                  <w:tcW w:w="1440" w:type="dxa"/>
                  <w:tcBorders>
                    <w:top w:val="nil"/>
                    <w:left w:val="nil"/>
                    <w:bottom w:val="single" w:sz="4" w:space="0" w:color="auto"/>
                    <w:right w:val="single" w:sz="4" w:space="0" w:color="auto"/>
                  </w:tcBorders>
                  <w:shd w:val="clear" w:color="auto" w:fill="auto"/>
                  <w:noWrap/>
                  <w:vAlign w:val="bottom"/>
                  <w:hideMark/>
                </w:tcPr>
                <w:p w14:paraId="51C32068" w14:textId="77777777" w:rsidR="00615FA7" w:rsidRPr="00D3260D" w:rsidRDefault="00615FA7" w:rsidP="00615FA7">
                  <w:pPr>
                    <w:jc w:val="right"/>
                    <w:rPr>
                      <w:rFonts w:ascii="Calibri" w:hAnsi="Calibri" w:cs="Calibri"/>
                    </w:rPr>
                  </w:pPr>
                  <w:r w:rsidRPr="00D3260D">
                    <w:rPr>
                      <w:rFonts w:ascii="Calibri" w:hAnsi="Calibri" w:cs="Calibri"/>
                    </w:rPr>
                    <w:t xml:space="preserve">$137,216 </w:t>
                  </w:r>
                </w:p>
              </w:tc>
              <w:tc>
                <w:tcPr>
                  <w:tcW w:w="1710" w:type="dxa"/>
                  <w:tcBorders>
                    <w:top w:val="nil"/>
                    <w:left w:val="nil"/>
                    <w:bottom w:val="single" w:sz="4" w:space="0" w:color="auto"/>
                    <w:right w:val="single" w:sz="4" w:space="0" w:color="auto"/>
                  </w:tcBorders>
                  <w:shd w:val="clear" w:color="auto" w:fill="auto"/>
                  <w:noWrap/>
                  <w:vAlign w:val="center"/>
                  <w:hideMark/>
                </w:tcPr>
                <w:p w14:paraId="45BF14CA" w14:textId="77777777" w:rsidR="00615FA7" w:rsidRPr="00D3260D" w:rsidRDefault="00615FA7" w:rsidP="00615FA7">
                  <w:pPr>
                    <w:jc w:val="right"/>
                    <w:rPr>
                      <w:rFonts w:ascii="Calibri" w:hAnsi="Calibri" w:cs="Calibri"/>
                      <w:b/>
                      <w:bCs/>
                      <w:color w:val="000000"/>
                    </w:rPr>
                  </w:pPr>
                  <w:r w:rsidRPr="00D3260D">
                    <w:rPr>
                      <w:rFonts w:ascii="Calibri" w:hAnsi="Calibri" w:cs="Calibri"/>
                      <w:b/>
                      <w:bCs/>
                      <w:color w:val="000000"/>
                    </w:rPr>
                    <w:t xml:space="preserve">$336,608 </w:t>
                  </w:r>
                </w:p>
              </w:tc>
            </w:tr>
          </w:tbl>
          <w:p w14:paraId="55E32E0A" w14:textId="53085C06" w:rsidR="00332211" w:rsidRDefault="00332211" w:rsidP="002C1EDC">
            <w:pPr>
              <w:rPr>
                <w:rStyle w:val="Strong"/>
                <w:rFonts w:cs="Arial"/>
                <w:sz w:val="20"/>
              </w:rPr>
            </w:pPr>
          </w:p>
          <w:p w14:paraId="2723D38F" w14:textId="4526573B" w:rsidR="00615FA7" w:rsidRDefault="00615FA7" w:rsidP="00615FA7">
            <w:pPr>
              <w:rPr>
                <w:rStyle w:val="Strong"/>
                <w:rFonts w:cs="Arial"/>
                <w:b w:val="0"/>
                <w:sz w:val="20"/>
              </w:rPr>
            </w:pPr>
            <w:r w:rsidRPr="00D93208">
              <w:rPr>
                <w:rStyle w:val="Strong"/>
                <w:rFonts w:cs="Arial"/>
                <w:b w:val="0"/>
                <w:sz w:val="20"/>
              </w:rPr>
              <w:t xml:space="preserve">All costs associated with this Change Order are covered through CalACES </w:t>
            </w:r>
            <w:r w:rsidR="00F97D8D" w:rsidRPr="00D93208">
              <w:rPr>
                <w:rStyle w:val="Strong"/>
                <w:rFonts w:cs="Arial"/>
                <w:b w:val="0"/>
                <w:sz w:val="20"/>
              </w:rPr>
              <w:t xml:space="preserve">LRS/C-IV Migration </w:t>
            </w:r>
            <w:r w:rsidRPr="00D93208">
              <w:rPr>
                <w:rStyle w:val="Strong"/>
                <w:rFonts w:cs="Arial"/>
                <w:b w:val="0"/>
                <w:sz w:val="20"/>
              </w:rPr>
              <w:t>funding and are accounted for in the FY 2018/19 CalACES Project Budget approved September 21, 2017.</w:t>
            </w:r>
          </w:p>
          <w:p w14:paraId="443F6BDB" w14:textId="77777777" w:rsidR="00615FA7" w:rsidRDefault="00615FA7" w:rsidP="002C1EDC">
            <w:pPr>
              <w:rPr>
                <w:rStyle w:val="Strong"/>
                <w:rFonts w:cs="Arial"/>
                <w:sz w:val="20"/>
              </w:rPr>
            </w:pPr>
          </w:p>
          <w:p w14:paraId="1F55DA50" w14:textId="31F30BA1" w:rsidR="00332211" w:rsidRPr="00BA3AB6" w:rsidRDefault="00332211" w:rsidP="002C1EDC">
            <w:pPr>
              <w:rPr>
                <w:rStyle w:val="Strong"/>
                <w:rFonts w:cs="Arial"/>
                <w:sz w:val="20"/>
              </w:rPr>
            </w:pPr>
            <w:r w:rsidRPr="00533730">
              <w:rPr>
                <w:sz w:val="20"/>
                <w:szCs w:val="20"/>
              </w:rPr>
              <w:t>(Handout)</w:t>
            </w:r>
          </w:p>
        </w:tc>
      </w:tr>
      <w:tr w:rsidR="00620F1A" w:rsidRPr="00A65C7D" w14:paraId="1B77E9C5" w14:textId="77777777" w:rsidTr="00620F1A">
        <w:trPr>
          <w:cantSplit/>
          <w:trHeight w:val="971"/>
          <w:jc w:val="center"/>
        </w:trPr>
        <w:tc>
          <w:tcPr>
            <w:tcW w:w="339" w:type="dxa"/>
          </w:tcPr>
          <w:p w14:paraId="5AC77164" w14:textId="77777777" w:rsidR="00332211" w:rsidRPr="00A65C7D" w:rsidRDefault="00332211" w:rsidP="001F1325">
            <w:pPr>
              <w:numPr>
                <w:ilvl w:val="0"/>
                <w:numId w:val="1"/>
              </w:numPr>
              <w:ind w:left="0" w:firstLine="0"/>
              <w:rPr>
                <w:rFonts w:cs="Arial"/>
                <w:sz w:val="20"/>
              </w:rPr>
            </w:pPr>
          </w:p>
        </w:tc>
        <w:tc>
          <w:tcPr>
            <w:tcW w:w="1428" w:type="dxa"/>
          </w:tcPr>
          <w:p w14:paraId="3055ED5C" w14:textId="7C078E21" w:rsidR="00332211" w:rsidRDefault="00332211" w:rsidP="00D9028D">
            <w:pPr>
              <w:rPr>
                <w:rFonts w:cs="Arial"/>
                <w:sz w:val="20"/>
              </w:rPr>
            </w:pPr>
            <w:r>
              <w:rPr>
                <w:rFonts w:cs="Arial"/>
                <w:sz w:val="20"/>
              </w:rPr>
              <w:t>Action</w:t>
            </w:r>
          </w:p>
        </w:tc>
        <w:tc>
          <w:tcPr>
            <w:tcW w:w="9881" w:type="dxa"/>
          </w:tcPr>
          <w:p w14:paraId="2BBECC92" w14:textId="47970585" w:rsidR="00332211" w:rsidRDefault="00332211" w:rsidP="002C1EDC">
            <w:pPr>
              <w:rPr>
                <w:rStyle w:val="Strong"/>
                <w:rFonts w:cs="Arial"/>
                <w:sz w:val="20"/>
              </w:rPr>
            </w:pPr>
            <w:r w:rsidRPr="00BA3AB6">
              <w:rPr>
                <w:rStyle w:val="Strong"/>
                <w:rFonts w:cs="Arial"/>
                <w:sz w:val="20"/>
              </w:rPr>
              <w:t>Approve</w:t>
            </w:r>
            <w:r>
              <w:rPr>
                <w:rStyle w:val="Strong"/>
                <w:rFonts w:cs="Arial"/>
                <w:sz w:val="20"/>
              </w:rPr>
              <w:t xml:space="preserve"> </w:t>
            </w:r>
            <w:r w:rsidRPr="00332211">
              <w:rPr>
                <w:rStyle w:val="Strong"/>
                <w:rFonts w:cs="Arial"/>
                <w:sz w:val="20"/>
              </w:rPr>
              <w:t>First Dat</w:t>
            </w:r>
            <w:r w:rsidR="00A86D5F">
              <w:rPr>
                <w:rStyle w:val="Strong"/>
                <w:rFonts w:cs="Arial"/>
                <w:sz w:val="20"/>
              </w:rPr>
              <w:t>a C-IV Contract Amendment No. Fifty-Nine</w:t>
            </w:r>
            <w:r w:rsidR="00615FA7">
              <w:rPr>
                <w:rStyle w:val="Strong"/>
                <w:rFonts w:cs="Arial"/>
                <w:sz w:val="20"/>
              </w:rPr>
              <w:t xml:space="preserve"> and Updates to Exhibit A</w:t>
            </w:r>
          </w:p>
          <w:p w14:paraId="61A01531" w14:textId="1DB856F1" w:rsidR="00332211" w:rsidRDefault="00332211" w:rsidP="002C1EDC">
            <w:pPr>
              <w:rPr>
                <w:rStyle w:val="Strong"/>
                <w:rFonts w:cs="Arial"/>
                <w:sz w:val="20"/>
              </w:rPr>
            </w:pPr>
          </w:p>
          <w:p w14:paraId="2CA512D7" w14:textId="1549F068" w:rsidR="00615FA7" w:rsidRDefault="00615FA7" w:rsidP="00615FA7">
            <w:pPr>
              <w:rPr>
                <w:rFonts w:cs="Arial"/>
                <w:bCs/>
                <w:sz w:val="20"/>
              </w:rPr>
            </w:pPr>
            <w:r>
              <w:rPr>
                <w:rStyle w:val="Strong"/>
                <w:rFonts w:cs="Arial"/>
                <w:sz w:val="20"/>
              </w:rPr>
              <w:t>Summary:</w:t>
            </w:r>
            <w:r>
              <w:rPr>
                <w:rStyle w:val="Strong"/>
                <w:rFonts w:cs="Arial"/>
                <w:b w:val="0"/>
                <w:sz w:val="20"/>
              </w:rPr>
              <w:t xml:space="preserve"> </w:t>
            </w:r>
            <w:r w:rsidRPr="00615FA7">
              <w:rPr>
                <w:rFonts w:cs="Arial"/>
                <w:bCs/>
                <w:sz w:val="20"/>
              </w:rPr>
              <w:t xml:space="preserve">The following items are being requested to be amended into the First Data Agreement via </w:t>
            </w:r>
            <w:r>
              <w:rPr>
                <w:rFonts w:cs="Arial"/>
                <w:bCs/>
                <w:sz w:val="20"/>
              </w:rPr>
              <w:t>Contract Amendment No. Fifty-Nine</w:t>
            </w:r>
            <w:r w:rsidRPr="00615FA7">
              <w:rPr>
                <w:rFonts w:cs="Arial"/>
                <w:bCs/>
                <w:sz w:val="20"/>
              </w:rPr>
              <w:t>:</w:t>
            </w:r>
          </w:p>
          <w:p w14:paraId="509874B0" w14:textId="11CC8C5B" w:rsidR="00615FA7" w:rsidRPr="00615FA7" w:rsidRDefault="00615FA7" w:rsidP="00A86D5F">
            <w:pPr>
              <w:pStyle w:val="ListParagraph"/>
              <w:numPr>
                <w:ilvl w:val="0"/>
                <w:numId w:val="47"/>
              </w:numPr>
              <w:rPr>
                <w:rFonts w:cs="Arial"/>
                <w:bCs/>
                <w:sz w:val="20"/>
              </w:rPr>
            </w:pPr>
            <w:r>
              <w:rPr>
                <w:rFonts w:cs="Arial"/>
                <w:bCs/>
                <w:sz w:val="20"/>
              </w:rPr>
              <w:t>Change Order CO</w:t>
            </w:r>
            <w:r w:rsidR="00A86D5F">
              <w:rPr>
                <w:rFonts w:cs="Arial"/>
                <w:bCs/>
                <w:sz w:val="20"/>
              </w:rPr>
              <w:t xml:space="preserve">-048 – CalSAWS Planning increases the Total Contract Value by $336,608. </w:t>
            </w:r>
            <w:r w:rsidR="00A86D5F" w:rsidRPr="00A86D5F">
              <w:rPr>
                <w:rFonts w:cs="Arial"/>
                <w:bCs/>
                <w:sz w:val="20"/>
              </w:rPr>
              <w:t>First Data will work collaboratively with the Consortium and the Development Contractor team to maximize the timeliness and success in the implementation of the changes.</w:t>
            </w:r>
            <w:r w:rsidR="00A86D5F">
              <w:rPr>
                <w:rFonts w:cs="Arial"/>
                <w:bCs/>
                <w:sz w:val="20"/>
              </w:rPr>
              <w:t xml:space="preserve"> </w:t>
            </w:r>
            <w:r w:rsidR="00A86D5F" w:rsidRPr="00A86D5F">
              <w:rPr>
                <w:rFonts w:cs="Arial"/>
                <w:bCs/>
                <w:sz w:val="20"/>
              </w:rPr>
              <w:t xml:space="preserve">This Change Order includes an additional 2,517 hours of Services for the First Data QA Team.    </w:t>
            </w:r>
          </w:p>
          <w:p w14:paraId="6D0BCEC8" w14:textId="77777777" w:rsidR="00615FA7" w:rsidRPr="002C1EDC" w:rsidRDefault="00615FA7" w:rsidP="00615FA7">
            <w:pPr>
              <w:rPr>
                <w:rStyle w:val="Strong"/>
                <w:rFonts w:cs="Arial"/>
                <w:b w:val="0"/>
                <w:sz w:val="20"/>
              </w:rPr>
            </w:pPr>
          </w:p>
          <w:p w14:paraId="1CD89101" w14:textId="57D582D7" w:rsidR="00A86D5F" w:rsidRPr="00A86D5F" w:rsidRDefault="00A86D5F" w:rsidP="00A86D5F">
            <w:pPr>
              <w:rPr>
                <w:rFonts w:cs="Arial"/>
                <w:b/>
                <w:bCs/>
                <w:sz w:val="20"/>
              </w:rPr>
            </w:pPr>
            <w:r>
              <w:rPr>
                <w:rFonts w:cs="Arial"/>
                <w:b/>
                <w:bCs/>
                <w:sz w:val="20"/>
              </w:rPr>
              <w:t>Amendment No. Fifty-Nine</w:t>
            </w:r>
            <w:r w:rsidRPr="00A86D5F">
              <w:rPr>
                <w:rFonts w:cs="Arial"/>
                <w:b/>
                <w:bCs/>
                <w:sz w:val="20"/>
              </w:rPr>
              <w:t xml:space="preserve"> increases the Total Contract Value </w:t>
            </w:r>
            <w:r w:rsidRPr="00F97D8D">
              <w:rPr>
                <w:rFonts w:cs="Arial"/>
                <w:b/>
                <w:bCs/>
                <w:sz w:val="20"/>
              </w:rPr>
              <w:t xml:space="preserve">by </w:t>
            </w:r>
            <w:r w:rsidRPr="00D93208">
              <w:rPr>
                <w:rFonts w:cs="Arial"/>
                <w:b/>
                <w:bCs/>
                <w:sz w:val="20"/>
              </w:rPr>
              <w:t>$336,608.</w:t>
            </w:r>
          </w:p>
          <w:p w14:paraId="7796E4AB" w14:textId="77777777" w:rsidR="00332211" w:rsidRDefault="00332211" w:rsidP="002C1EDC">
            <w:pPr>
              <w:rPr>
                <w:rStyle w:val="Strong"/>
                <w:rFonts w:cs="Arial"/>
                <w:sz w:val="20"/>
              </w:rPr>
            </w:pPr>
          </w:p>
          <w:p w14:paraId="6B7FA8B4" w14:textId="11231F8A" w:rsidR="00332211" w:rsidRPr="00BA3AB6" w:rsidRDefault="00332211" w:rsidP="002C1EDC">
            <w:pPr>
              <w:rPr>
                <w:rStyle w:val="Strong"/>
                <w:rFonts w:cs="Arial"/>
                <w:sz w:val="20"/>
              </w:rPr>
            </w:pPr>
            <w:r w:rsidRPr="00533730">
              <w:rPr>
                <w:sz w:val="20"/>
                <w:szCs w:val="20"/>
              </w:rPr>
              <w:t>(Handout)</w:t>
            </w:r>
          </w:p>
        </w:tc>
      </w:tr>
      <w:tr w:rsidR="00620F1A" w:rsidRPr="00A65C7D" w14:paraId="7CD392D9" w14:textId="77777777" w:rsidTr="00620F1A">
        <w:trPr>
          <w:cantSplit/>
          <w:trHeight w:val="971"/>
          <w:jc w:val="center"/>
        </w:trPr>
        <w:tc>
          <w:tcPr>
            <w:tcW w:w="339" w:type="dxa"/>
          </w:tcPr>
          <w:p w14:paraId="0B5D6230" w14:textId="77777777" w:rsidR="002C1EDC" w:rsidRPr="00A65C7D" w:rsidRDefault="002C1EDC" w:rsidP="001F1325">
            <w:pPr>
              <w:numPr>
                <w:ilvl w:val="0"/>
                <w:numId w:val="1"/>
              </w:numPr>
              <w:ind w:left="0" w:firstLine="0"/>
              <w:rPr>
                <w:rFonts w:cs="Arial"/>
                <w:sz w:val="20"/>
              </w:rPr>
            </w:pPr>
          </w:p>
        </w:tc>
        <w:tc>
          <w:tcPr>
            <w:tcW w:w="1428" w:type="dxa"/>
          </w:tcPr>
          <w:p w14:paraId="188C801D" w14:textId="4B6FD5CE" w:rsidR="002C1EDC" w:rsidRDefault="002C1EDC" w:rsidP="00D9028D">
            <w:pPr>
              <w:rPr>
                <w:rFonts w:cs="Arial"/>
                <w:sz w:val="20"/>
              </w:rPr>
            </w:pPr>
            <w:r>
              <w:rPr>
                <w:rFonts w:cs="Arial"/>
                <w:sz w:val="20"/>
              </w:rPr>
              <w:t>Action</w:t>
            </w:r>
          </w:p>
        </w:tc>
        <w:tc>
          <w:tcPr>
            <w:tcW w:w="9881" w:type="dxa"/>
          </w:tcPr>
          <w:p w14:paraId="58465C36" w14:textId="6185F70C" w:rsidR="008F2A6D" w:rsidRDefault="002C1EDC" w:rsidP="002C1EDC">
            <w:pPr>
              <w:rPr>
                <w:rStyle w:val="Strong"/>
                <w:rFonts w:cs="Arial"/>
                <w:sz w:val="20"/>
              </w:rPr>
            </w:pPr>
            <w:r w:rsidRPr="00BA3AB6">
              <w:rPr>
                <w:rStyle w:val="Strong"/>
                <w:rFonts w:cs="Arial"/>
                <w:sz w:val="20"/>
              </w:rPr>
              <w:t xml:space="preserve">Approve </w:t>
            </w:r>
            <w:r w:rsidR="005A02B1" w:rsidRPr="005A02B1">
              <w:rPr>
                <w:rStyle w:val="Strong"/>
                <w:rFonts w:cs="Arial"/>
                <w:sz w:val="20"/>
              </w:rPr>
              <w:t>Contract with Double Tree by Hilton Los Angeles-</w:t>
            </w:r>
            <w:r w:rsidR="005A02B1" w:rsidRPr="003D0669">
              <w:rPr>
                <w:rStyle w:val="Strong"/>
                <w:rFonts w:cs="Arial"/>
                <w:sz w:val="20"/>
              </w:rPr>
              <w:t>Norwalk for CalACES Retreat/Strategic Conference on October 31</w:t>
            </w:r>
            <w:r w:rsidR="006438D8" w:rsidRPr="003D0669">
              <w:rPr>
                <w:rStyle w:val="Strong"/>
                <w:rFonts w:cs="Arial"/>
                <w:sz w:val="20"/>
              </w:rPr>
              <w:t>, 2018</w:t>
            </w:r>
            <w:r w:rsidR="005A02B1" w:rsidRPr="003D0669">
              <w:rPr>
                <w:rStyle w:val="Strong"/>
                <w:rFonts w:cs="Arial"/>
                <w:sz w:val="20"/>
              </w:rPr>
              <w:t xml:space="preserve"> – November 2, 2018, in an amount not to exceed </w:t>
            </w:r>
            <w:r w:rsidR="005A02B1" w:rsidRPr="00D93208">
              <w:rPr>
                <w:rStyle w:val="Strong"/>
                <w:rFonts w:cs="Arial"/>
                <w:sz w:val="20"/>
              </w:rPr>
              <w:t>$</w:t>
            </w:r>
            <w:r w:rsidR="00332211" w:rsidRPr="00D93208">
              <w:rPr>
                <w:rStyle w:val="Strong"/>
                <w:rFonts w:cs="Arial"/>
                <w:sz w:val="20"/>
              </w:rPr>
              <w:t>3</w:t>
            </w:r>
            <w:r w:rsidR="008F2A6D" w:rsidRPr="00D93208">
              <w:rPr>
                <w:rStyle w:val="Strong"/>
                <w:rFonts w:cs="Arial"/>
                <w:sz w:val="20"/>
              </w:rPr>
              <w:t>2</w:t>
            </w:r>
            <w:r w:rsidR="00332211" w:rsidRPr="00D93208">
              <w:rPr>
                <w:rStyle w:val="Strong"/>
                <w:rFonts w:cs="Arial"/>
                <w:sz w:val="20"/>
              </w:rPr>
              <w:t>,240</w:t>
            </w:r>
            <w:r w:rsidR="008F2A6D">
              <w:rPr>
                <w:rStyle w:val="Strong"/>
                <w:rFonts w:cs="Arial"/>
                <w:sz w:val="20"/>
              </w:rPr>
              <w:t xml:space="preserve"> </w:t>
            </w:r>
            <w:r w:rsidR="008F2A6D" w:rsidRPr="00D93208">
              <w:rPr>
                <w:rStyle w:val="Strong"/>
                <w:rFonts w:cs="Arial"/>
                <w:b w:val="0"/>
                <w:sz w:val="20"/>
              </w:rPr>
              <w:t xml:space="preserve">(does not include applicable service charge or </w:t>
            </w:r>
            <w:r w:rsidR="008F2A6D" w:rsidRPr="008F2A6D">
              <w:rPr>
                <w:rStyle w:val="Strong"/>
                <w:rFonts w:cs="Arial"/>
                <w:b w:val="0"/>
                <w:sz w:val="20"/>
              </w:rPr>
              <w:t xml:space="preserve">state </w:t>
            </w:r>
            <w:r w:rsidR="008F2A6D" w:rsidRPr="00D93208">
              <w:rPr>
                <w:rStyle w:val="Strong"/>
                <w:rFonts w:cs="Arial"/>
                <w:b w:val="0"/>
                <w:sz w:val="20"/>
              </w:rPr>
              <w:t>and local tax</w:t>
            </w:r>
            <w:r w:rsidR="008F2A6D">
              <w:rPr>
                <w:rStyle w:val="Strong"/>
                <w:rFonts w:cs="Arial"/>
                <w:b w:val="0"/>
                <w:sz w:val="20"/>
              </w:rPr>
              <w:t>)</w:t>
            </w:r>
            <w:r w:rsidR="008F2A6D">
              <w:rPr>
                <w:rStyle w:val="Strong"/>
                <w:rFonts w:cs="Arial"/>
                <w:sz w:val="20"/>
              </w:rPr>
              <w:t>.</w:t>
            </w:r>
          </w:p>
          <w:p w14:paraId="07D130DC" w14:textId="77777777" w:rsidR="008F2A6D" w:rsidRDefault="008F2A6D" w:rsidP="002C1EDC">
            <w:pPr>
              <w:rPr>
                <w:rStyle w:val="Strong"/>
                <w:rFonts w:cs="Arial"/>
                <w:sz w:val="20"/>
              </w:rPr>
            </w:pPr>
          </w:p>
          <w:p w14:paraId="18EDBA60" w14:textId="74B315C9" w:rsidR="002C1EDC" w:rsidRDefault="00CB52E7" w:rsidP="002C1EDC">
            <w:pPr>
              <w:rPr>
                <w:rStyle w:val="Strong"/>
                <w:rFonts w:cs="Arial"/>
                <w:sz w:val="20"/>
              </w:rPr>
            </w:pPr>
            <w:r w:rsidRPr="00D93208">
              <w:rPr>
                <w:rStyle w:val="Strong"/>
                <w:rFonts w:cs="Arial"/>
                <w:b w:val="0"/>
                <w:sz w:val="20"/>
              </w:rPr>
              <w:t>Each guest will be presenting his or her</w:t>
            </w:r>
            <w:r w:rsidR="003D0669" w:rsidRPr="00D93208">
              <w:rPr>
                <w:rStyle w:val="Strong"/>
                <w:rFonts w:cs="Arial"/>
                <w:b w:val="0"/>
                <w:sz w:val="20"/>
              </w:rPr>
              <w:t xml:space="preserve"> own mode of payment when the reservation is made.</w:t>
            </w:r>
            <w:r w:rsidR="003D0669">
              <w:rPr>
                <w:rStyle w:val="Strong"/>
                <w:rFonts w:cs="Arial"/>
                <w:sz w:val="20"/>
              </w:rPr>
              <w:t xml:space="preserve"> </w:t>
            </w:r>
            <w:r w:rsidR="003D0669" w:rsidRPr="00D93208">
              <w:rPr>
                <w:rStyle w:val="Strong"/>
                <w:rFonts w:cs="Arial"/>
                <w:b w:val="0"/>
                <w:sz w:val="20"/>
              </w:rPr>
              <w:t>Contract Signer is financially responsible for attrition damages if any and cancellation of entire contract if applicable.</w:t>
            </w:r>
            <w:r w:rsidR="003D0669" w:rsidRPr="003D0669">
              <w:rPr>
                <w:rStyle w:val="Strong"/>
                <w:rFonts w:cs="Arial"/>
                <w:sz w:val="20"/>
              </w:rPr>
              <w:t xml:space="preserve"> </w:t>
            </w:r>
          </w:p>
          <w:p w14:paraId="11C63C78" w14:textId="77777777" w:rsidR="005A02B1" w:rsidRDefault="005A02B1" w:rsidP="002C1EDC">
            <w:pPr>
              <w:rPr>
                <w:rStyle w:val="Strong"/>
                <w:rFonts w:cs="Arial"/>
                <w:sz w:val="20"/>
              </w:rPr>
            </w:pPr>
          </w:p>
          <w:p w14:paraId="611BA69C" w14:textId="056534E1" w:rsidR="005A02B1" w:rsidRPr="005A02B1" w:rsidRDefault="005A02B1" w:rsidP="002C1EDC">
            <w:pPr>
              <w:rPr>
                <w:rStyle w:val="Strong"/>
                <w:rFonts w:cs="Arial"/>
                <w:b w:val="0"/>
                <w:sz w:val="20"/>
              </w:rPr>
            </w:pPr>
            <w:r w:rsidRPr="005A02B1">
              <w:rPr>
                <w:rStyle w:val="Strong"/>
                <w:rFonts w:cs="Arial"/>
                <w:b w:val="0"/>
                <w:sz w:val="20"/>
              </w:rPr>
              <w:t>(Handout)</w:t>
            </w:r>
          </w:p>
        </w:tc>
      </w:tr>
      <w:tr w:rsidR="00397A4F" w:rsidRPr="00E6072B" w14:paraId="2C414B49" w14:textId="77777777" w:rsidTr="00620F1A">
        <w:trPr>
          <w:cantSplit/>
          <w:trHeight w:val="287"/>
          <w:tblHeader/>
          <w:jc w:val="center"/>
        </w:trPr>
        <w:tc>
          <w:tcPr>
            <w:tcW w:w="339" w:type="dxa"/>
            <w:shd w:val="clear" w:color="auto" w:fill="1F497D" w:themeFill="text2"/>
          </w:tcPr>
          <w:p w14:paraId="47E58B88" w14:textId="77777777" w:rsidR="002D5DB2" w:rsidRPr="00E6072B" w:rsidRDefault="002D5DB2" w:rsidP="00195D1B">
            <w:pPr>
              <w:rPr>
                <w:rFonts w:cs="Arial"/>
                <w:b/>
                <w:color w:val="FFFFFF" w:themeColor="background1"/>
              </w:rPr>
            </w:pPr>
            <w:r w:rsidRPr="00E6072B">
              <w:rPr>
                <w:rFonts w:cs="Arial"/>
                <w:b/>
                <w:color w:val="FFFFFF" w:themeColor="background1"/>
              </w:rPr>
              <w:t>#</w:t>
            </w:r>
          </w:p>
        </w:tc>
        <w:tc>
          <w:tcPr>
            <w:tcW w:w="1428" w:type="dxa"/>
            <w:shd w:val="clear" w:color="auto" w:fill="1F497D" w:themeFill="text2"/>
          </w:tcPr>
          <w:p w14:paraId="4C26CABB" w14:textId="77777777" w:rsidR="002D5DB2" w:rsidRPr="00E6072B" w:rsidRDefault="002D5DB2" w:rsidP="00195D1B">
            <w:pPr>
              <w:rPr>
                <w:rFonts w:cs="Arial"/>
                <w:b/>
                <w:color w:val="FFFFFF" w:themeColor="background1"/>
              </w:rPr>
            </w:pPr>
            <w:r w:rsidRPr="00E6072B">
              <w:rPr>
                <w:rFonts w:cs="Arial"/>
                <w:b/>
                <w:color w:val="FFFFFF" w:themeColor="background1"/>
              </w:rPr>
              <w:t>Type of Item</w:t>
            </w:r>
          </w:p>
        </w:tc>
        <w:tc>
          <w:tcPr>
            <w:tcW w:w="9881" w:type="dxa"/>
            <w:shd w:val="clear" w:color="auto" w:fill="1F497D" w:themeFill="text2"/>
          </w:tcPr>
          <w:p w14:paraId="073C381C" w14:textId="380CB523" w:rsidR="002D5DB2" w:rsidRPr="00E6072B" w:rsidRDefault="002C1EDC" w:rsidP="002D5DB2">
            <w:pPr>
              <w:jc w:val="center"/>
              <w:rPr>
                <w:rFonts w:cs="Arial"/>
                <w:b/>
                <w:color w:val="FFFFFF" w:themeColor="background1"/>
              </w:rPr>
            </w:pPr>
            <w:r>
              <w:rPr>
                <w:rFonts w:cs="Arial"/>
                <w:b/>
                <w:color w:val="FFFFFF" w:themeColor="background1"/>
              </w:rPr>
              <w:t>JPA Board</w:t>
            </w:r>
            <w:r w:rsidR="002D5DB2">
              <w:rPr>
                <w:rFonts w:cs="Arial"/>
                <w:b/>
                <w:color w:val="FFFFFF" w:themeColor="background1"/>
              </w:rPr>
              <w:t xml:space="preserve"> Informational Items</w:t>
            </w:r>
          </w:p>
        </w:tc>
      </w:tr>
      <w:tr w:rsidR="00620F1A" w:rsidRPr="00A65C7D" w14:paraId="200CFC57" w14:textId="77777777" w:rsidTr="00620F1A">
        <w:trPr>
          <w:cantSplit/>
          <w:trHeight w:val="557"/>
          <w:jc w:val="center"/>
        </w:trPr>
        <w:tc>
          <w:tcPr>
            <w:tcW w:w="339" w:type="dxa"/>
          </w:tcPr>
          <w:p w14:paraId="4736288D" w14:textId="77777777" w:rsidR="002D5DB2" w:rsidRPr="00A65C7D" w:rsidRDefault="002D5DB2" w:rsidP="00F57A57">
            <w:pPr>
              <w:numPr>
                <w:ilvl w:val="0"/>
                <w:numId w:val="1"/>
              </w:numPr>
              <w:ind w:left="0" w:firstLine="0"/>
              <w:rPr>
                <w:rFonts w:cs="Arial"/>
                <w:sz w:val="20"/>
              </w:rPr>
            </w:pPr>
          </w:p>
        </w:tc>
        <w:tc>
          <w:tcPr>
            <w:tcW w:w="1428" w:type="dxa"/>
          </w:tcPr>
          <w:p w14:paraId="03BE756E" w14:textId="01CA80DE" w:rsidR="002D5DB2" w:rsidRDefault="002D5DB2" w:rsidP="00F57A57">
            <w:pPr>
              <w:rPr>
                <w:rFonts w:cs="Arial"/>
                <w:sz w:val="20"/>
              </w:rPr>
            </w:pPr>
            <w:r>
              <w:rPr>
                <w:rFonts w:cs="Arial"/>
                <w:sz w:val="20"/>
              </w:rPr>
              <w:t>Informational</w:t>
            </w:r>
          </w:p>
        </w:tc>
        <w:tc>
          <w:tcPr>
            <w:tcW w:w="9881" w:type="dxa"/>
          </w:tcPr>
          <w:p w14:paraId="756D8252" w14:textId="75AF7E5B" w:rsidR="002D5DB2" w:rsidRDefault="002D5DB2" w:rsidP="00F57A57">
            <w:pPr>
              <w:rPr>
                <w:rFonts w:cs="Arial"/>
                <w:b/>
                <w:bCs/>
                <w:sz w:val="20"/>
                <w:szCs w:val="20"/>
              </w:rPr>
            </w:pPr>
            <w:r w:rsidRPr="002D5DB2">
              <w:rPr>
                <w:rFonts w:cs="Arial"/>
                <w:b/>
                <w:bCs/>
                <w:sz w:val="20"/>
                <w:szCs w:val="20"/>
              </w:rPr>
              <w:t>CalSAWS</w:t>
            </w:r>
            <w:r w:rsidR="00DB5873">
              <w:rPr>
                <w:rFonts w:cs="Arial"/>
                <w:b/>
                <w:bCs/>
                <w:sz w:val="20"/>
                <w:szCs w:val="20"/>
              </w:rPr>
              <w:t xml:space="preserve"> Leadership Team</w:t>
            </w:r>
            <w:r w:rsidRPr="002D5DB2">
              <w:rPr>
                <w:rFonts w:cs="Arial"/>
                <w:b/>
                <w:bCs/>
                <w:sz w:val="20"/>
                <w:szCs w:val="20"/>
              </w:rPr>
              <w:t xml:space="preserve"> </w:t>
            </w:r>
            <w:r w:rsidR="00DB5873">
              <w:rPr>
                <w:rFonts w:cs="Arial"/>
                <w:b/>
                <w:bCs/>
                <w:sz w:val="20"/>
                <w:szCs w:val="20"/>
              </w:rPr>
              <w:t>Update</w:t>
            </w:r>
          </w:p>
          <w:p w14:paraId="4C1479E1" w14:textId="77777777" w:rsidR="002D5DB2" w:rsidRDefault="002D5DB2" w:rsidP="00F57A57">
            <w:pPr>
              <w:rPr>
                <w:rFonts w:cs="Arial"/>
                <w:b/>
                <w:bCs/>
                <w:sz w:val="20"/>
                <w:szCs w:val="20"/>
              </w:rPr>
            </w:pPr>
          </w:p>
          <w:p w14:paraId="37B49F84" w14:textId="3C72A229" w:rsidR="002D5DB2" w:rsidRPr="0048474E" w:rsidRDefault="002D5DB2" w:rsidP="00F57A57">
            <w:pPr>
              <w:rPr>
                <w:rFonts w:cs="Arial"/>
                <w:bCs/>
                <w:sz w:val="20"/>
                <w:szCs w:val="20"/>
              </w:rPr>
            </w:pPr>
            <w:r>
              <w:rPr>
                <w:rFonts w:cs="Arial"/>
                <w:b/>
                <w:bCs/>
                <w:sz w:val="20"/>
                <w:szCs w:val="20"/>
              </w:rPr>
              <w:t>Summary:</w:t>
            </w:r>
            <w:r w:rsidR="0048474E">
              <w:rPr>
                <w:rFonts w:cs="Arial"/>
                <w:b/>
                <w:bCs/>
                <w:sz w:val="20"/>
                <w:szCs w:val="20"/>
              </w:rPr>
              <w:t xml:space="preserve"> </w:t>
            </w:r>
            <w:r w:rsidR="0048474E" w:rsidRPr="0048474E">
              <w:rPr>
                <w:rFonts w:cs="Arial"/>
                <w:bCs/>
                <w:sz w:val="20"/>
                <w:szCs w:val="20"/>
              </w:rPr>
              <w:t xml:space="preserve">Scott Pettygrove, Antonia Jimenez, Susan von Zabern and Brandon Nichols will provide updates regarding recent activities and discussions of the CalSAWS </w:t>
            </w:r>
            <w:r w:rsidR="00612A21">
              <w:rPr>
                <w:rFonts w:cs="Arial"/>
                <w:bCs/>
                <w:sz w:val="20"/>
                <w:szCs w:val="20"/>
              </w:rPr>
              <w:t>Leadership</w:t>
            </w:r>
            <w:r w:rsidR="0048474E" w:rsidRPr="0048474E">
              <w:rPr>
                <w:rFonts w:cs="Arial"/>
                <w:bCs/>
                <w:sz w:val="20"/>
                <w:szCs w:val="20"/>
              </w:rPr>
              <w:t xml:space="preserve"> Team.</w:t>
            </w:r>
          </w:p>
          <w:p w14:paraId="77112AA1" w14:textId="77777777" w:rsidR="002D5DB2" w:rsidRDefault="002D5DB2" w:rsidP="00F57A57">
            <w:pPr>
              <w:rPr>
                <w:rFonts w:cs="Arial"/>
                <w:bCs/>
                <w:sz w:val="20"/>
                <w:szCs w:val="20"/>
              </w:rPr>
            </w:pPr>
          </w:p>
          <w:p w14:paraId="3CABA606" w14:textId="3A0A5F57" w:rsidR="002D5DB2" w:rsidRPr="002D5DB2" w:rsidRDefault="002D5DB2" w:rsidP="00F57A57">
            <w:pPr>
              <w:rPr>
                <w:rFonts w:cs="Arial"/>
                <w:bCs/>
                <w:sz w:val="20"/>
                <w:szCs w:val="20"/>
              </w:rPr>
            </w:pPr>
          </w:p>
        </w:tc>
      </w:tr>
      <w:tr w:rsidR="00620F1A" w:rsidRPr="00A65C7D" w14:paraId="566E1B9D" w14:textId="77777777" w:rsidTr="00620F1A">
        <w:trPr>
          <w:cantSplit/>
          <w:trHeight w:val="557"/>
          <w:jc w:val="center"/>
        </w:trPr>
        <w:tc>
          <w:tcPr>
            <w:tcW w:w="339" w:type="dxa"/>
          </w:tcPr>
          <w:p w14:paraId="74CE160C" w14:textId="77777777" w:rsidR="000D0617" w:rsidRPr="00A65C7D" w:rsidRDefault="000D0617" w:rsidP="00F57A57">
            <w:pPr>
              <w:numPr>
                <w:ilvl w:val="0"/>
                <w:numId w:val="1"/>
              </w:numPr>
              <w:ind w:left="0" w:firstLine="0"/>
              <w:rPr>
                <w:rFonts w:cs="Arial"/>
                <w:sz w:val="20"/>
              </w:rPr>
            </w:pPr>
          </w:p>
        </w:tc>
        <w:tc>
          <w:tcPr>
            <w:tcW w:w="1428" w:type="dxa"/>
          </w:tcPr>
          <w:p w14:paraId="2130C279" w14:textId="1A8954DA" w:rsidR="000D0617" w:rsidRDefault="000D0617" w:rsidP="00F57A57">
            <w:pPr>
              <w:rPr>
                <w:rFonts w:cs="Arial"/>
                <w:sz w:val="20"/>
              </w:rPr>
            </w:pPr>
            <w:r>
              <w:rPr>
                <w:rFonts w:cs="Arial"/>
                <w:sz w:val="20"/>
              </w:rPr>
              <w:t>Informational</w:t>
            </w:r>
          </w:p>
        </w:tc>
        <w:tc>
          <w:tcPr>
            <w:tcW w:w="9881" w:type="dxa"/>
          </w:tcPr>
          <w:p w14:paraId="6070AC21" w14:textId="77777777" w:rsidR="000D0617" w:rsidRDefault="000D0617" w:rsidP="00F57A57">
            <w:pPr>
              <w:rPr>
                <w:rFonts w:cs="Arial"/>
                <w:b/>
                <w:bCs/>
                <w:sz w:val="20"/>
                <w:szCs w:val="20"/>
              </w:rPr>
            </w:pPr>
            <w:r w:rsidRPr="000D0617">
              <w:rPr>
                <w:rFonts w:cs="Arial"/>
                <w:b/>
                <w:bCs/>
                <w:sz w:val="20"/>
                <w:szCs w:val="20"/>
              </w:rPr>
              <w:t>CalACES Extended Planning</w:t>
            </w:r>
          </w:p>
          <w:p w14:paraId="5F2E60B7" w14:textId="77777777" w:rsidR="000D0617" w:rsidRDefault="000D0617" w:rsidP="00F57A57">
            <w:pPr>
              <w:rPr>
                <w:rFonts w:cs="Arial"/>
                <w:b/>
                <w:bCs/>
                <w:sz w:val="20"/>
                <w:szCs w:val="20"/>
              </w:rPr>
            </w:pPr>
          </w:p>
          <w:p w14:paraId="52F99B56" w14:textId="17603D1E" w:rsidR="000D0617" w:rsidRDefault="000D0617" w:rsidP="00F57A57">
            <w:pPr>
              <w:rPr>
                <w:rFonts w:cs="Arial"/>
                <w:bCs/>
                <w:sz w:val="20"/>
                <w:szCs w:val="20"/>
              </w:rPr>
            </w:pPr>
            <w:r>
              <w:rPr>
                <w:rFonts w:cs="Arial"/>
                <w:b/>
                <w:bCs/>
                <w:sz w:val="20"/>
                <w:szCs w:val="20"/>
              </w:rPr>
              <w:t>Summary:</w:t>
            </w:r>
            <w:r w:rsidR="0048474E">
              <w:rPr>
                <w:rFonts w:cs="Arial"/>
                <w:b/>
                <w:bCs/>
                <w:sz w:val="20"/>
                <w:szCs w:val="20"/>
              </w:rPr>
              <w:t xml:space="preserve"> </w:t>
            </w:r>
            <w:r w:rsidR="0048474E" w:rsidRPr="0048474E">
              <w:rPr>
                <w:rFonts w:cs="Arial"/>
                <w:bCs/>
                <w:sz w:val="20"/>
                <w:szCs w:val="20"/>
              </w:rPr>
              <w:t>John Boule</w:t>
            </w:r>
            <w:r w:rsidR="00D1507D">
              <w:rPr>
                <w:rFonts w:cs="Arial"/>
                <w:bCs/>
                <w:sz w:val="20"/>
                <w:szCs w:val="20"/>
              </w:rPr>
              <w:t xml:space="preserve">, </w:t>
            </w:r>
            <w:r w:rsidR="002C1EDC">
              <w:rPr>
                <w:rFonts w:cs="Arial"/>
                <w:bCs/>
                <w:sz w:val="20"/>
                <w:szCs w:val="20"/>
              </w:rPr>
              <w:t xml:space="preserve">Thomas Hartman, June Hutchison </w:t>
            </w:r>
            <w:r w:rsidR="00D1507D">
              <w:rPr>
                <w:rFonts w:cs="Arial"/>
                <w:bCs/>
                <w:sz w:val="20"/>
                <w:szCs w:val="20"/>
              </w:rPr>
              <w:t>and Laura Chavez</w:t>
            </w:r>
            <w:r w:rsidR="0048474E">
              <w:rPr>
                <w:rFonts w:cs="Arial"/>
                <w:bCs/>
                <w:sz w:val="20"/>
                <w:szCs w:val="20"/>
              </w:rPr>
              <w:t xml:space="preserve"> will provide the following updates regarding the CalACES Extended Planning Project:</w:t>
            </w:r>
          </w:p>
          <w:p w14:paraId="077ED4A3" w14:textId="4A14721D" w:rsidR="00E551F5" w:rsidRPr="00510226" w:rsidRDefault="00C45BA7" w:rsidP="00510226">
            <w:pPr>
              <w:numPr>
                <w:ilvl w:val="0"/>
                <w:numId w:val="44"/>
              </w:numPr>
              <w:rPr>
                <w:rFonts w:cs="Arial"/>
                <w:bCs/>
                <w:sz w:val="20"/>
                <w:szCs w:val="20"/>
              </w:rPr>
            </w:pPr>
            <w:r>
              <w:rPr>
                <w:rFonts w:cs="Arial"/>
                <w:bCs/>
                <w:sz w:val="20"/>
                <w:szCs w:val="20"/>
              </w:rPr>
              <w:t>Incorporation of the CalWIN User Labs to the workflow.</w:t>
            </w:r>
          </w:p>
          <w:p w14:paraId="27B03208" w14:textId="224B276F" w:rsidR="00E551F5" w:rsidRDefault="00C45BA7" w:rsidP="00510226">
            <w:pPr>
              <w:numPr>
                <w:ilvl w:val="0"/>
                <w:numId w:val="44"/>
              </w:numPr>
              <w:rPr>
                <w:rFonts w:cs="Arial"/>
                <w:bCs/>
                <w:sz w:val="20"/>
                <w:szCs w:val="20"/>
              </w:rPr>
            </w:pPr>
            <w:r>
              <w:rPr>
                <w:rFonts w:cs="Arial"/>
                <w:bCs/>
                <w:sz w:val="20"/>
                <w:szCs w:val="20"/>
              </w:rPr>
              <w:t>CalWIN Requirements Gathering Sessions</w:t>
            </w:r>
          </w:p>
          <w:p w14:paraId="5F7048F7" w14:textId="28F1C289" w:rsidR="00C45BA7" w:rsidRDefault="00C45BA7" w:rsidP="00510226">
            <w:pPr>
              <w:numPr>
                <w:ilvl w:val="0"/>
                <w:numId w:val="44"/>
              </w:numPr>
              <w:rPr>
                <w:rFonts w:cs="Arial"/>
                <w:bCs/>
                <w:sz w:val="20"/>
                <w:szCs w:val="20"/>
              </w:rPr>
            </w:pPr>
            <w:r>
              <w:rPr>
                <w:rFonts w:cs="Arial"/>
                <w:bCs/>
                <w:sz w:val="20"/>
                <w:szCs w:val="20"/>
              </w:rPr>
              <w:t>CalWIN Ancillary Systems Inventory and Analysis</w:t>
            </w:r>
          </w:p>
          <w:p w14:paraId="5DC0D790" w14:textId="29FE3F1C" w:rsidR="00C45BA7" w:rsidRPr="00510226" w:rsidRDefault="00C45BA7" w:rsidP="00510226">
            <w:pPr>
              <w:numPr>
                <w:ilvl w:val="0"/>
                <w:numId w:val="44"/>
              </w:numPr>
              <w:rPr>
                <w:rFonts w:cs="Arial"/>
                <w:bCs/>
                <w:sz w:val="20"/>
                <w:szCs w:val="20"/>
              </w:rPr>
            </w:pPr>
            <w:r>
              <w:rPr>
                <w:rFonts w:cs="Arial"/>
                <w:bCs/>
                <w:sz w:val="20"/>
                <w:szCs w:val="20"/>
              </w:rPr>
              <w:t>CalWIN Business Process Gap Analysis</w:t>
            </w:r>
          </w:p>
          <w:p w14:paraId="1D90A2BD" w14:textId="77777777" w:rsidR="000D0617" w:rsidRDefault="000D0617" w:rsidP="00F57A57">
            <w:pPr>
              <w:rPr>
                <w:rFonts w:cs="Arial"/>
                <w:bCs/>
                <w:sz w:val="20"/>
                <w:szCs w:val="20"/>
              </w:rPr>
            </w:pPr>
          </w:p>
          <w:p w14:paraId="66A15606" w14:textId="3FA4465B" w:rsidR="000D0617" w:rsidRPr="000D0617" w:rsidRDefault="0048474E" w:rsidP="00F57A57">
            <w:pPr>
              <w:rPr>
                <w:rFonts w:cs="Arial"/>
                <w:bCs/>
                <w:sz w:val="20"/>
                <w:szCs w:val="20"/>
              </w:rPr>
            </w:pPr>
            <w:r w:rsidRPr="00DB5873">
              <w:rPr>
                <w:rFonts w:cs="Arial"/>
                <w:bCs/>
                <w:sz w:val="20"/>
                <w:szCs w:val="20"/>
              </w:rPr>
              <w:t>(Handout)</w:t>
            </w:r>
          </w:p>
        </w:tc>
      </w:tr>
      <w:tr w:rsidR="00620F1A" w:rsidRPr="00A65C7D" w14:paraId="5BE1C833" w14:textId="77777777" w:rsidTr="00620F1A">
        <w:trPr>
          <w:cantSplit/>
          <w:trHeight w:val="557"/>
          <w:jc w:val="center"/>
        </w:trPr>
        <w:tc>
          <w:tcPr>
            <w:tcW w:w="339" w:type="dxa"/>
          </w:tcPr>
          <w:p w14:paraId="52C6F44F" w14:textId="77777777" w:rsidR="006E4107" w:rsidRPr="00A65C7D" w:rsidRDefault="006E4107" w:rsidP="00F57A57">
            <w:pPr>
              <w:numPr>
                <w:ilvl w:val="0"/>
                <w:numId w:val="1"/>
              </w:numPr>
              <w:ind w:left="0" w:firstLine="0"/>
              <w:rPr>
                <w:rFonts w:cs="Arial"/>
                <w:sz w:val="20"/>
              </w:rPr>
            </w:pPr>
          </w:p>
        </w:tc>
        <w:tc>
          <w:tcPr>
            <w:tcW w:w="1428" w:type="dxa"/>
          </w:tcPr>
          <w:p w14:paraId="35976194" w14:textId="5DD812DE" w:rsidR="006E4107" w:rsidRDefault="006E4107" w:rsidP="00F57A57">
            <w:pPr>
              <w:rPr>
                <w:rFonts w:cs="Arial"/>
                <w:sz w:val="20"/>
              </w:rPr>
            </w:pPr>
            <w:r>
              <w:rPr>
                <w:rFonts w:cs="Arial"/>
                <w:sz w:val="20"/>
              </w:rPr>
              <w:t>Informational</w:t>
            </w:r>
          </w:p>
        </w:tc>
        <w:tc>
          <w:tcPr>
            <w:tcW w:w="9881" w:type="dxa"/>
          </w:tcPr>
          <w:p w14:paraId="46EA4859" w14:textId="55B32F83" w:rsidR="006E4107" w:rsidRDefault="006E4107" w:rsidP="00F57A57">
            <w:pPr>
              <w:rPr>
                <w:rFonts w:cs="Arial"/>
                <w:b/>
                <w:bCs/>
                <w:sz w:val="20"/>
                <w:szCs w:val="20"/>
              </w:rPr>
            </w:pPr>
            <w:r w:rsidRPr="006E4107">
              <w:rPr>
                <w:rFonts w:cs="Arial"/>
                <w:b/>
                <w:bCs/>
                <w:sz w:val="20"/>
                <w:szCs w:val="20"/>
              </w:rPr>
              <w:t>Automated Assistant (B</w:t>
            </w:r>
            <w:r w:rsidR="00D7538E">
              <w:rPr>
                <w:rFonts w:cs="Arial"/>
                <w:b/>
                <w:bCs/>
                <w:sz w:val="20"/>
                <w:szCs w:val="20"/>
              </w:rPr>
              <w:t>ot</w:t>
            </w:r>
            <w:r w:rsidRPr="006E4107">
              <w:rPr>
                <w:rFonts w:cs="Arial"/>
                <w:b/>
                <w:bCs/>
                <w:sz w:val="20"/>
                <w:szCs w:val="20"/>
              </w:rPr>
              <w:t>) Update</w:t>
            </w:r>
          </w:p>
          <w:p w14:paraId="4F6CBDE1" w14:textId="77777777" w:rsidR="006E4107" w:rsidRDefault="006E4107" w:rsidP="00F57A57">
            <w:pPr>
              <w:rPr>
                <w:rFonts w:cs="Arial"/>
                <w:b/>
                <w:bCs/>
                <w:sz w:val="20"/>
                <w:szCs w:val="20"/>
              </w:rPr>
            </w:pPr>
          </w:p>
          <w:p w14:paraId="4216F85A" w14:textId="4BC7D4E0" w:rsidR="006E4107" w:rsidRDefault="006E4107" w:rsidP="00F57A57">
            <w:pPr>
              <w:rPr>
                <w:rFonts w:cs="Arial"/>
                <w:bCs/>
                <w:sz w:val="20"/>
                <w:szCs w:val="20"/>
              </w:rPr>
            </w:pPr>
            <w:r>
              <w:rPr>
                <w:rFonts w:cs="Arial"/>
                <w:b/>
                <w:bCs/>
                <w:sz w:val="20"/>
                <w:szCs w:val="20"/>
              </w:rPr>
              <w:t>Summary:</w:t>
            </w:r>
            <w:r>
              <w:rPr>
                <w:rFonts w:cs="Arial"/>
                <w:bCs/>
                <w:sz w:val="20"/>
                <w:szCs w:val="20"/>
              </w:rPr>
              <w:t xml:space="preserve"> </w:t>
            </w:r>
            <w:r w:rsidR="000A115C">
              <w:rPr>
                <w:rFonts w:cs="Arial"/>
                <w:bCs/>
                <w:sz w:val="20"/>
                <w:szCs w:val="20"/>
              </w:rPr>
              <w:t>Seth Richman</w:t>
            </w:r>
            <w:r>
              <w:rPr>
                <w:rFonts w:cs="Arial"/>
                <w:bCs/>
                <w:sz w:val="20"/>
                <w:szCs w:val="20"/>
              </w:rPr>
              <w:t xml:space="preserve"> will lead a discussion with the JPA Board Members regarding County preference for the Automated Assistants.</w:t>
            </w:r>
          </w:p>
          <w:p w14:paraId="0B872D4E" w14:textId="61CE4AC3" w:rsidR="006E4107" w:rsidRPr="006E4107" w:rsidRDefault="006E4107" w:rsidP="00F57A57">
            <w:pPr>
              <w:rPr>
                <w:rFonts w:cs="Arial"/>
                <w:bCs/>
                <w:sz w:val="20"/>
                <w:szCs w:val="20"/>
              </w:rPr>
            </w:pPr>
          </w:p>
        </w:tc>
      </w:tr>
      <w:tr w:rsidR="00620F1A" w:rsidRPr="00A65C7D" w14:paraId="15CB5638" w14:textId="77777777" w:rsidTr="00620F1A">
        <w:trPr>
          <w:cantSplit/>
          <w:trHeight w:val="557"/>
          <w:jc w:val="center"/>
        </w:trPr>
        <w:tc>
          <w:tcPr>
            <w:tcW w:w="339" w:type="dxa"/>
          </w:tcPr>
          <w:p w14:paraId="626AE72B" w14:textId="77777777" w:rsidR="000D0617" w:rsidRPr="00A65C7D" w:rsidRDefault="000D0617" w:rsidP="00F57A57">
            <w:pPr>
              <w:numPr>
                <w:ilvl w:val="0"/>
                <w:numId w:val="1"/>
              </w:numPr>
              <w:ind w:left="0" w:firstLine="0"/>
              <w:rPr>
                <w:rFonts w:cs="Arial"/>
                <w:sz w:val="20"/>
              </w:rPr>
            </w:pPr>
          </w:p>
        </w:tc>
        <w:tc>
          <w:tcPr>
            <w:tcW w:w="1428" w:type="dxa"/>
          </w:tcPr>
          <w:p w14:paraId="3A3340F3" w14:textId="50368DF4" w:rsidR="000D0617" w:rsidRDefault="000D0617" w:rsidP="00F57A57">
            <w:pPr>
              <w:rPr>
                <w:rFonts w:cs="Arial"/>
                <w:sz w:val="20"/>
              </w:rPr>
            </w:pPr>
            <w:r>
              <w:rPr>
                <w:rFonts w:cs="Arial"/>
                <w:sz w:val="20"/>
              </w:rPr>
              <w:t>Informational</w:t>
            </w:r>
          </w:p>
        </w:tc>
        <w:tc>
          <w:tcPr>
            <w:tcW w:w="9881" w:type="dxa"/>
          </w:tcPr>
          <w:p w14:paraId="59FDFE64" w14:textId="77777777" w:rsidR="000D0617" w:rsidRDefault="000D0617" w:rsidP="00F57A57">
            <w:pPr>
              <w:rPr>
                <w:rFonts w:cs="Arial"/>
                <w:b/>
                <w:bCs/>
                <w:sz w:val="20"/>
                <w:szCs w:val="20"/>
              </w:rPr>
            </w:pPr>
            <w:r w:rsidRPr="000D0617">
              <w:rPr>
                <w:rFonts w:cs="Arial"/>
                <w:b/>
                <w:bCs/>
                <w:sz w:val="20"/>
                <w:szCs w:val="20"/>
              </w:rPr>
              <w:t>M &amp; O Application Update</w:t>
            </w:r>
          </w:p>
          <w:p w14:paraId="4242B07B" w14:textId="77777777" w:rsidR="000D0617" w:rsidRDefault="000D0617" w:rsidP="00F57A57">
            <w:pPr>
              <w:rPr>
                <w:rFonts w:cs="Arial"/>
                <w:b/>
                <w:bCs/>
                <w:sz w:val="20"/>
                <w:szCs w:val="20"/>
              </w:rPr>
            </w:pPr>
          </w:p>
          <w:p w14:paraId="2059F481" w14:textId="1717A143" w:rsidR="000D0617" w:rsidRDefault="000D0617" w:rsidP="00F57A57">
            <w:pPr>
              <w:rPr>
                <w:rFonts w:cs="Arial"/>
                <w:bCs/>
                <w:sz w:val="20"/>
                <w:szCs w:val="20"/>
              </w:rPr>
            </w:pPr>
            <w:r>
              <w:rPr>
                <w:rFonts w:cs="Arial"/>
                <w:b/>
                <w:bCs/>
                <w:sz w:val="20"/>
                <w:szCs w:val="20"/>
              </w:rPr>
              <w:t>Summary:</w:t>
            </w:r>
            <w:r w:rsidR="00302094">
              <w:rPr>
                <w:rFonts w:cs="Arial"/>
                <w:b/>
                <w:bCs/>
                <w:sz w:val="20"/>
                <w:szCs w:val="20"/>
              </w:rPr>
              <w:t xml:space="preserve"> </w:t>
            </w:r>
            <w:r w:rsidR="00302094">
              <w:rPr>
                <w:rFonts w:cs="Arial"/>
                <w:bCs/>
                <w:sz w:val="20"/>
                <w:szCs w:val="20"/>
              </w:rPr>
              <w:t>M</w:t>
            </w:r>
            <w:r w:rsidR="002C1EDC">
              <w:rPr>
                <w:rFonts w:cs="Arial"/>
                <w:bCs/>
                <w:sz w:val="20"/>
                <w:szCs w:val="20"/>
              </w:rPr>
              <w:t xml:space="preserve">ichele Peterson </w:t>
            </w:r>
            <w:r w:rsidR="00302094">
              <w:rPr>
                <w:rFonts w:cs="Arial"/>
                <w:bCs/>
                <w:sz w:val="20"/>
                <w:szCs w:val="20"/>
              </w:rPr>
              <w:t>and Kelly Young</w:t>
            </w:r>
            <w:r w:rsidR="00302094" w:rsidRPr="00302094">
              <w:rPr>
                <w:rFonts w:cs="Arial"/>
                <w:bCs/>
                <w:sz w:val="20"/>
                <w:szCs w:val="20"/>
              </w:rPr>
              <w:t xml:space="preserve"> will provide an update on recent M&amp;O Project activities.</w:t>
            </w:r>
          </w:p>
          <w:p w14:paraId="02A9AE9A" w14:textId="754BDDB4" w:rsidR="00DB5873" w:rsidRPr="00DB5873" w:rsidRDefault="00DB5873" w:rsidP="00DB5873">
            <w:pPr>
              <w:pStyle w:val="ListParagraph"/>
              <w:numPr>
                <w:ilvl w:val="0"/>
                <w:numId w:val="38"/>
              </w:numPr>
              <w:rPr>
                <w:rFonts w:cs="Arial"/>
                <w:bCs/>
                <w:sz w:val="20"/>
                <w:szCs w:val="20"/>
              </w:rPr>
            </w:pPr>
            <w:r w:rsidRPr="00302094">
              <w:rPr>
                <w:rFonts w:cs="Arial"/>
                <w:bCs/>
                <w:sz w:val="20"/>
                <w:szCs w:val="20"/>
              </w:rPr>
              <w:t>Policy Changes</w:t>
            </w:r>
          </w:p>
          <w:p w14:paraId="2E7DC0E9" w14:textId="77777777" w:rsidR="000D0617" w:rsidRDefault="000D0617" w:rsidP="00F57A57">
            <w:pPr>
              <w:rPr>
                <w:rFonts w:cs="Arial"/>
                <w:bCs/>
                <w:sz w:val="20"/>
                <w:szCs w:val="20"/>
              </w:rPr>
            </w:pPr>
          </w:p>
          <w:p w14:paraId="5B4F8C6F" w14:textId="024F3DF7" w:rsidR="000D0617" w:rsidRPr="000D0617" w:rsidRDefault="000D0617" w:rsidP="00F57A57">
            <w:pPr>
              <w:rPr>
                <w:rFonts w:cs="Arial"/>
                <w:bCs/>
                <w:sz w:val="20"/>
                <w:szCs w:val="20"/>
              </w:rPr>
            </w:pPr>
            <w:r>
              <w:rPr>
                <w:rFonts w:cs="Arial"/>
                <w:bCs/>
                <w:sz w:val="20"/>
                <w:szCs w:val="20"/>
              </w:rPr>
              <w:t>(Handout)</w:t>
            </w:r>
          </w:p>
        </w:tc>
      </w:tr>
      <w:tr w:rsidR="00620F1A" w:rsidRPr="00A65C7D" w14:paraId="6AF81C1D" w14:textId="77777777" w:rsidTr="00620F1A">
        <w:trPr>
          <w:cantSplit/>
          <w:trHeight w:val="557"/>
          <w:jc w:val="center"/>
        </w:trPr>
        <w:tc>
          <w:tcPr>
            <w:tcW w:w="339" w:type="dxa"/>
          </w:tcPr>
          <w:p w14:paraId="35121531" w14:textId="77777777" w:rsidR="000D0617" w:rsidRPr="00A65C7D" w:rsidRDefault="000D0617" w:rsidP="00F57A57">
            <w:pPr>
              <w:numPr>
                <w:ilvl w:val="0"/>
                <w:numId w:val="1"/>
              </w:numPr>
              <w:ind w:left="0" w:firstLine="0"/>
              <w:rPr>
                <w:rFonts w:cs="Arial"/>
                <w:sz w:val="20"/>
              </w:rPr>
            </w:pPr>
          </w:p>
        </w:tc>
        <w:tc>
          <w:tcPr>
            <w:tcW w:w="1428" w:type="dxa"/>
          </w:tcPr>
          <w:p w14:paraId="52596B23" w14:textId="77777777" w:rsidR="000D0617" w:rsidRDefault="000D0617" w:rsidP="000D0617">
            <w:pPr>
              <w:rPr>
                <w:rFonts w:cs="Arial"/>
                <w:sz w:val="20"/>
              </w:rPr>
            </w:pPr>
            <w:r>
              <w:rPr>
                <w:rFonts w:cs="Arial"/>
                <w:sz w:val="20"/>
              </w:rPr>
              <w:t>Informational/</w:t>
            </w:r>
          </w:p>
          <w:p w14:paraId="11C3C5FB" w14:textId="4B6FF41B" w:rsidR="000D0617" w:rsidRDefault="000D0617" w:rsidP="000D0617">
            <w:pPr>
              <w:rPr>
                <w:rFonts w:cs="Arial"/>
                <w:sz w:val="20"/>
              </w:rPr>
            </w:pPr>
            <w:r>
              <w:rPr>
                <w:rFonts w:cs="Arial"/>
                <w:sz w:val="20"/>
              </w:rPr>
              <w:t>Procedural</w:t>
            </w:r>
          </w:p>
        </w:tc>
        <w:tc>
          <w:tcPr>
            <w:tcW w:w="9881" w:type="dxa"/>
          </w:tcPr>
          <w:p w14:paraId="1E8EE51C" w14:textId="7118DD3E" w:rsidR="000D0617" w:rsidRPr="000D0617" w:rsidRDefault="000D0617" w:rsidP="00F57A57">
            <w:pPr>
              <w:rPr>
                <w:rFonts w:cs="Arial"/>
                <w:b/>
                <w:bCs/>
                <w:sz w:val="20"/>
                <w:szCs w:val="20"/>
              </w:rPr>
            </w:pPr>
            <w:r>
              <w:rPr>
                <w:rFonts w:cs="Arial"/>
                <w:b/>
                <w:bCs/>
                <w:sz w:val="20"/>
                <w:szCs w:val="20"/>
              </w:rPr>
              <w:t>Public Comment</w:t>
            </w:r>
          </w:p>
        </w:tc>
      </w:tr>
      <w:tr w:rsidR="00620F1A" w:rsidRPr="00A65C7D" w14:paraId="4C821CD7" w14:textId="77777777" w:rsidTr="00620F1A">
        <w:trPr>
          <w:cantSplit/>
          <w:trHeight w:val="557"/>
          <w:jc w:val="center"/>
        </w:trPr>
        <w:tc>
          <w:tcPr>
            <w:tcW w:w="339" w:type="dxa"/>
          </w:tcPr>
          <w:p w14:paraId="094BBC9E" w14:textId="77777777" w:rsidR="00F57A57" w:rsidRPr="00A65C7D" w:rsidRDefault="00F57A57" w:rsidP="00F57A57">
            <w:pPr>
              <w:numPr>
                <w:ilvl w:val="0"/>
                <w:numId w:val="1"/>
              </w:numPr>
              <w:ind w:left="0" w:firstLine="0"/>
              <w:rPr>
                <w:rFonts w:cs="Arial"/>
                <w:sz w:val="20"/>
              </w:rPr>
            </w:pPr>
          </w:p>
        </w:tc>
        <w:tc>
          <w:tcPr>
            <w:tcW w:w="1428" w:type="dxa"/>
          </w:tcPr>
          <w:p w14:paraId="398FBEEF" w14:textId="77777777" w:rsidR="00F57A57" w:rsidRDefault="00F57A57" w:rsidP="00F57A57">
            <w:pPr>
              <w:rPr>
                <w:rFonts w:cs="Arial"/>
                <w:sz w:val="20"/>
              </w:rPr>
            </w:pPr>
            <w:r>
              <w:rPr>
                <w:rFonts w:cs="Arial"/>
                <w:sz w:val="20"/>
              </w:rPr>
              <w:t>Informational/</w:t>
            </w:r>
          </w:p>
          <w:p w14:paraId="5A9C9FE1" w14:textId="77777777" w:rsidR="00F57A57" w:rsidRDefault="00F57A57" w:rsidP="00F57A57">
            <w:pPr>
              <w:rPr>
                <w:rFonts w:cs="Arial"/>
                <w:sz w:val="20"/>
              </w:rPr>
            </w:pPr>
            <w:r>
              <w:rPr>
                <w:rFonts w:cs="Arial"/>
                <w:sz w:val="20"/>
              </w:rPr>
              <w:t>Procedural</w:t>
            </w:r>
          </w:p>
        </w:tc>
        <w:tc>
          <w:tcPr>
            <w:tcW w:w="9881" w:type="dxa"/>
          </w:tcPr>
          <w:p w14:paraId="69EB8BA6" w14:textId="77777777" w:rsidR="00F57A57" w:rsidRDefault="00F57A57" w:rsidP="00F57A57">
            <w:pPr>
              <w:rPr>
                <w:rFonts w:cs="Arial"/>
                <w:b/>
                <w:bCs/>
                <w:sz w:val="20"/>
                <w:szCs w:val="20"/>
              </w:rPr>
            </w:pPr>
            <w:r>
              <w:rPr>
                <w:rFonts w:cs="Arial"/>
                <w:b/>
                <w:bCs/>
                <w:sz w:val="20"/>
                <w:szCs w:val="20"/>
              </w:rPr>
              <w:t>Adjourn Meeting</w:t>
            </w:r>
          </w:p>
          <w:p w14:paraId="7379C389" w14:textId="77777777" w:rsidR="00302094" w:rsidRDefault="00302094" w:rsidP="00F57A57">
            <w:pPr>
              <w:rPr>
                <w:rFonts w:cs="Arial"/>
                <w:b/>
                <w:bCs/>
                <w:sz w:val="20"/>
                <w:szCs w:val="20"/>
              </w:rPr>
            </w:pPr>
          </w:p>
          <w:p w14:paraId="45AE5866" w14:textId="5337ED7F" w:rsidR="00302094" w:rsidRDefault="00302094" w:rsidP="00BA3AB6">
            <w:pPr>
              <w:rPr>
                <w:rFonts w:cs="Arial"/>
                <w:b/>
                <w:bCs/>
                <w:sz w:val="20"/>
                <w:szCs w:val="20"/>
              </w:rPr>
            </w:pPr>
            <w:r w:rsidRPr="00302094">
              <w:rPr>
                <w:rFonts w:cs="Arial"/>
                <w:b/>
                <w:bCs/>
                <w:sz w:val="20"/>
                <w:szCs w:val="20"/>
              </w:rPr>
              <w:t xml:space="preserve">Summary: </w:t>
            </w:r>
            <w:r w:rsidRPr="00302094">
              <w:rPr>
                <w:rFonts w:cs="Arial"/>
                <w:bCs/>
                <w:sz w:val="20"/>
                <w:szCs w:val="20"/>
              </w:rPr>
              <w:t>CalACES Board</w:t>
            </w:r>
            <w:r>
              <w:rPr>
                <w:rFonts w:cs="Arial"/>
                <w:b/>
                <w:bCs/>
                <w:sz w:val="20"/>
                <w:szCs w:val="20"/>
              </w:rPr>
              <w:t xml:space="preserve"> </w:t>
            </w:r>
            <w:r w:rsidRPr="00302094">
              <w:rPr>
                <w:rFonts w:cs="Arial"/>
                <w:bCs/>
                <w:sz w:val="20"/>
                <w:szCs w:val="20"/>
              </w:rPr>
              <w:t>Chair</w:t>
            </w:r>
            <w:r>
              <w:rPr>
                <w:rFonts w:cs="Arial"/>
                <w:bCs/>
                <w:sz w:val="20"/>
                <w:szCs w:val="20"/>
              </w:rPr>
              <w:t xml:space="preserve">, </w:t>
            </w:r>
            <w:r w:rsidRPr="00302094">
              <w:rPr>
                <w:rFonts w:cs="Arial"/>
                <w:bCs/>
                <w:sz w:val="20"/>
                <w:szCs w:val="20"/>
              </w:rPr>
              <w:t>Scott Pettygrove will adjourn the JPA Board Meeting.</w:t>
            </w:r>
          </w:p>
        </w:tc>
      </w:tr>
    </w:tbl>
    <w:p w14:paraId="36995180" w14:textId="77777777" w:rsidR="008D2FD3" w:rsidRPr="008D2FD3" w:rsidRDefault="008D2FD3" w:rsidP="008D2FD3">
      <w:pPr>
        <w:tabs>
          <w:tab w:val="left" w:pos="2550"/>
        </w:tabs>
      </w:pPr>
    </w:p>
    <w:sectPr w:rsidR="008D2FD3" w:rsidRPr="008D2FD3" w:rsidSect="00555D62">
      <w:headerReference w:type="default" r:id="rId9"/>
      <w:footerReference w:type="default" r:id="rId10"/>
      <w:type w:val="continuous"/>
      <w:pgSz w:w="12240" w:h="15840" w:code="1"/>
      <w:pgMar w:top="187" w:right="1440" w:bottom="720" w:left="1440" w:header="144" w:footer="14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5D9B69" w16cid:durableId="1E5987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8AD02" w14:textId="77777777" w:rsidR="00292FD9" w:rsidRDefault="00292FD9" w:rsidP="00225400">
      <w:pPr>
        <w:spacing w:after="0" w:line="240" w:lineRule="auto"/>
      </w:pPr>
      <w:r>
        <w:separator/>
      </w:r>
    </w:p>
  </w:endnote>
  <w:endnote w:type="continuationSeparator" w:id="0">
    <w:p w14:paraId="5E31389A" w14:textId="77777777" w:rsidR="00292FD9" w:rsidRDefault="00292FD9" w:rsidP="00225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923498"/>
      <w:docPartObj>
        <w:docPartGallery w:val="Page Numbers (Bottom of Page)"/>
        <w:docPartUnique/>
      </w:docPartObj>
    </w:sdtPr>
    <w:sdtEndPr>
      <w:rPr>
        <w:noProof/>
      </w:rPr>
    </w:sdtEndPr>
    <w:sdtContent>
      <w:p w14:paraId="60DB90BF" w14:textId="48492FF3" w:rsidR="00DE2C84" w:rsidRDefault="00DE2C84">
        <w:pPr>
          <w:pStyle w:val="Footer"/>
          <w:jc w:val="right"/>
        </w:pPr>
        <w:r>
          <w:fldChar w:fldCharType="begin"/>
        </w:r>
        <w:r>
          <w:instrText xml:space="preserve"> PAGE   \* MERGEFORMAT </w:instrText>
        </w:r>
        <w:r>
          <w:fldChar w:fldCharType="separate"/>
        </w:r>
        <w:r w:rsidR="00CB52E7">
          <w:rPr>
            <w:noProof/>
          </w:rPr>
          <w:t>1</w:t>
        </w:r>
        <w:r>
          <w:rPr>
            <w:noProof/>
          </w:rPr>
          <w:fldChar w:fldCharType="end"/>
        </w:r>
      </w:p>
    </w:sdtContent>
  </w:sdt>
  <w:p w14:paraId="624CEC5E" w14:textId="77777777" w:rsidR="00DE2C84" w:rsidRDefault="00DE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62DDE" w14:textId="77777777" w:rsidR="00292FD9" w:rsidRDefault="00292FD9" w:rsidP="00225400">
      <w:pPr>
        <w:spacing w:after="0" w:line="240" w:lineRule="auto"/>
      </w:pPr>
      <w:r>
        <w:separator/>
      </w:r>
    </w:p>
  </w:footnote>
  <w:footnote w:type="continuationSeparator" w:id="0">
    <w:p w14:paraId="509FE853" w14:textId="77777777" w:rsidR="00292FD9" w:rsidRDefault="00292FD9" w:rsidP="00225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78BD" w14:textId="703BC414" w:rsidR="00620F1A" w:rsidRPr="00620F1A" w:rsidRDefault="00620F1A" w:rsidP="00620F1A">
    <w:pPr>
      <w:pStyle w:val="Header"/>
      <w:jc w:val="center"/>
      <w:rPr>
        <w:b/>
        <w:bCs/>
      </w:rPr>
    </w:pPr>
    <w:r w:rsidRPr="00620F1A">
      <w:rPr>
        <w:b/>
        <w:bCs/>
      </w:rPr>
      <w:t>Executive Summary for the</w:t>
    </w:r>
  </w:p>
  <w:p w14:paraId="25AFDE0D" w14:textId="0836C992" w:rsidR="00620F1A" w:rsidRPr="00620F1A" w:rsidRDefault="00620F1A" w:rsidP="00620F1A">
    <w:pPr>
      <w:pStyle w:val="Header"/>
      <w:jc w:val="center"/>
      <w:rPr>
        <w:b/>
        <w:bCs/>
      </w:rPr>
    </w:pPr>
    <w:r w:rsidRPr="00620F1A">
      <w:rPr>
        <w:b/>
        <w:bCs/>
      </w:rPr>
      <w:t>California Automated Consortium Eligibility System (“CalACES”)</w:t>
    </w:r>
  </w:p>
  <w:p w14:paraId="70A6A124" w14:textId="5D5B574A" w:rsidR="00620F1A" w:rsidRDefault="00620F1A" w:rsidP="00620F1A">
    <w:pPr>
      <w:pStyle w:val="Header"/>
      <w:jc w:val="center"/>
      <w:rPr>
        <w:b/>
        <w:bCs/>
      </w:rPr>
    </w:pPr>
    <w:r w:rsidRPr="00620F1A">
      <w:rPr>
        <w:b/>
        <w:bCs/>
      </w:rPr>
      <w:t>Meeting of the Board of Directors - March 23, 2018</w:t>
    </w:r>
  </w:p>
  <w:p w14:paraId="1430935E" w14:textId="77777777" w:rsidR="00620F1A" w:rsidRDefault="00620F1A" w:rsidP="00620F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336"/>
    <w:multiLevelType w:val="hybridMultilevel"/>
    <w:tmpl w:val="530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103"/>
    <w:multiLevelType w:val="hybridMultilevel"/>
    <w:tmpl w:val="ED5C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15FF"/>
    <w:multiLevelType w:val="hybridMultilevel"/>
    <w:tmpl w:val="00FE5F2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34255"/>
    <w:multiLevelType w:val="hybridMultilevel"/>
    <w:tmpl w:val="09C6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75F24"/>
    <w:multiLevelType w:val="hybridMultilevel"/>
    <w:tmpl w:val="AE883B96"/>
    <w:lvl w:ilvl="0" w:tplc="ED965750">
      <w:start w:val="1"/>
      <w:numFmt w:val="bullet"/>
      <w:lvlText w:val=""/>
      <w:lvlJc w:val="left"/>
      <w:pPr>
        <w:ind w:left="1186"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A7A65"/>
    <w:multiLevelType w:val="hybridMultilevel"/>
    <w:tmpl w:val="DFC0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43052"/>
    <w:multiLevelType w:val="hybridMultilevel"/>
    <w:tmpl w:val="505EB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B1EE1"/>
    <w:multiLevelType w:val="hybridMultilevel"/>
    <w:tmpl w:val="1A6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3700A"/>
    <w:multiLevelType w:val="hybridMultilevel"/>
    <w:tmpl w:val="E1E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A14AB"/>
    <w:multiLevelType w:val="hybridMultilevel"/>
    <w:tmpl w:val="4FFA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15EB5"/>
    <w:multiLevelType w:val="hybridMultilevel"/>
    <w:tmpl w:val="42E8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C2018"/>
    <w:multiLevelType w:val="hybridMultilevel"/>
    <w:tmpl w:val="3DF8E7CA"/>
    <w:lvl w:ilvl="0" w:tplc="ED965750">
      <w:start w:val="1"/>
      <w:numFmt w:val="bullet"/>
      <w:lvlText w:val=""/>
      <w:lvlJc w:val="left"/>
      <w:pPr>
        <w:ind w:left="1186"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51809"/>
    <w:multiLevelType w:val="hybridMultilevel"/>
    <w:tmpl w:val="033C7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212AC"/>
    <w:multiLevelType w:val="hybridMultilevel"/>
    <w:tmpl w:val="84342FD2"/>
    <w:lvl w:ilvl="0" w:tplc="039482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77257"/>
    <w:multiLevelType w:val="hybridMultilevel"/>
    <w:tmpl w:val="6660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5037B"/>
    <w:multiLevelType w:val="hybridMultilevel"/>
    <w:tmpl w:val="588C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B72EE"/>
    <w:multiLevelType w:val="hybridMultilevel"/>
    <w:tmpl w:val="DBE6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86CF4"/>
    <w:multiLevelType w:val="hybridMultilevel"/>
    <w:tmpl w:val="2B9C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33EC3"/>
    <w:multiLevelType w:val="hybridMultilevel"/>
    <w:tmpl w:val="14B2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F3F68"/>
    <w:multiLevelType w:val="hybridMultilevel"/>
    <w:tmpl w:val="871A8656"/>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20" w15:restartNumberingAfterBreak="0">
    <w:nsid w:val="3A4061EC"/>
    <w:multiLevelType w:val="hybridMultilevel"/>
    <w:tmpl w:val="F1E2ED72"/>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21" w15:restartNumberingAfterBreak="0">
    <w:nsid w:val="40E01A6B"/>
    <w:multiLevelType w:val="hybridMultilevel"/>
    <w:tmpl w:val="5D226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E37DA"/>
    <w:multiLevelType w:val="hybridMultilevel"/>
    <w:tmpl w:val="28F4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84F35"/>
    <w:multiLevelType w:val="hybridMultilevel"/>
    <w:tmpl w:val="3DF66D6C"/>
    <w:lvl w:ilvl="0" w:tplc="0409000F">
      <w:start w:val="1"/>
      <w:numFmt w:val="decimal"/>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4DBD0757"/>
    <w:multiLevelType w:val="hybridMultilevel"/>
    <w:tmpl w:val="AFAC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E241C"/>
    <w:multiLevelType w:val="hybridMultilevel"/>
    <w:tmpl w:val="DC9A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B4014"/>
    <w:multiLevelType w:val="hybridMultilevel"/>
    <w:tmpl w:val="B594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D53E8"/>
    <w:multiLevelType w:val="hybridMultilevel"/>
    <w:tmpl w:val="830E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53A7E"/>
    <w:multiLevelType w:val="hybridMultilevel"/>
    <w:tmpl w:val="0C70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44AC4"/>
    <w:multiLevelType w:val="hybridMultilevel"/>
    <w:tmpl w:val="FBEC29A6"/>
    <w:lvl w:ilvl="0" w:tplc="B0C63D4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94AB6"/>
    <w:multiLevelType w:val="hybridMultilevel"/>
    <w:tmpl w:val="C03EBE3E"/>
    <w:lvl w:ilvl="0" w:tplc="DEF4D414">
      <w:start w:val="1"/>
      <w:numFmt w:val="bullet"/>
      <w:lvlText w:val=""/>
      <w:lvlJc w:val="left"/>
      <w:pPr>
        <w:ind w:left="1186" w:hanging="360"/>
      </w:pPr>
      <w:rPr>
        <w:rFonts w:ascii="Symbol" w:hAnsi="Symbol" w:hint="default"/>
        <w:sz w:val="14"/>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31" w15:restartNumberingAfterBreak="0">
    <w:nsid w:val="5DE14EE9"/>
    <w:multiLevelType w:val="hybridMultilevel"/>
    <w:tmpl w:val="2DE4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A190C"/>
    <w:multiLevelType w:val="hybridMultilevel"/>
    <w:tmpl w:val="1D72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D26B4"/>
    <w:multiLevelType w:val="hybridMultilevel"/>
    <w:tmpl w:val="4AFC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9410F"/>
    <w:multiLevelType w:val="hybridMultilevel"/>
    <w:tmpl w:val="1F9E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121D0"/>
    <w:multiLevelType w:val="hybridMultilevel"/>
    <w:tmpl w:val="54B2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919B9"/>
    <w:multiLevelType w:val="hybridMultilevel"/>
    <w:tmpl w:val="FA6833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194136"/>
    <w:multiLevelType w:val="hybridMultilevel"/>
    <w:tmpl w:val="C6A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B6323"/>
    <w:multiLevelType w:val="hybridMultilevel"/>
    <w:tmpl w:val="B7EA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D56E7B"/>
    <w:multiLevelType w:val="hybridMultilevel"/>
    <w:tmpl w:val="75EAF9E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0" w15:restartNumberingAfterBreak="0">
    <w:nsid w:val="70483D0C"/>
    <w:multiLevelType w:val="hybridMultilevel"/>
    <w:tmpl w:val="4EC2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57FFD"/>
    <w:multiLevelType w:val="hybridMultilevel"/>
    <w:tmpl w:val="D46E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D5A7B"/>
    <w:multiLevelType w:val="hybridMultilevel"/>
    <w:tmpl w:val="B478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B608D"/>
    <w:multiLevelType w:val="hybridMultilevel"/>
    <w:tmpl w:val="BF06E408"/>
    <w:lvl w:ilvl="0" w:tplc="B3123468">
      <w:start w:val="1"/>
      <w:numFmt w:val="decimal"/>
      <w:lvlText w:val="%1)"/>
      <w:lvlJc w:val="left"/>
      <w:pPr>
        <w:tabs>
          <w:tab w:val="num" w:pos="720"/>
        </w:tabs>
        <w:ind w:left="720" w:hanging="360"/>
      </w:pPr>
    </w:lvl>
    <w:lvl w:ilvl="1" w:tplc="C8D04A32" w:tentative="1">
      <w:start w:val="1"/>
      <w:numFmt w:val="decimal"/>
      <w:lvlText w:val="%2)"/>
      <w:lvlJc w:val="left"/>
      <w:pPr>
        <w:tabs>
          <w:tab w:val="num" w:pos="1440"/>
        </w:tabs>
        <w:ind w:left="1440" w:hanging="360"/>
      </w:pPr>
    </w:lvl>
    <w:lvl w:ilvl="2" w:tplc="ED56B370" w:tentative="1">
      <w:start w:val="1"/>
      <w:numFmt w:val="decimal"/>
      <w:lvlText w:val="%3)"/>
      <w:lvlJc w:val="left"/>
      <w:pPr>
        <w:tabs>
          <w:tab w:val="num" w:pos="2160"/>
        </w:tabs>
        <w:ind w:left="2160" w:hanging="360"/>
      </w:pPr>
    </w:lvl>
    <w:lvl w:ilvl="3" w:tplc="4838240A" w:tentative="1">
      <w:start w:val="1"/>
      <w:numFmt w:val="decimal"/>
      <w:lvlText w:val="%4)"/>
      <w:lvlJc w:val="left"/>
      <w:pPr>
        <w:tabs>
          <w:tab w:val="num" w:pos="2880"/>
        </w:tabs>
        <w:ind w:left="2880" w:hanging="360"/>
      </w:pPr>
    </w:lvl>
    <w:lvl w:ilvl="4" w:tplc="DF266762" w:tentative="1">
      <w:start w:val="1"/>
      <w:numFmt w:val="decimal"/>
      <w:lvlText w:val="%5)"/>
      <w:lvlJc w:val="left"/>
      <w:pPr>
        <w:tabs>
          <w:tab w:val="num" w:pos="3600"/>
        </w:tabs>
        <w:ind w:left="3600" w:hanging="360"/>
      </w:pPr>
    </w:lvl>
    <w:lvl w:ilvl="5" w:tplc="7F763A08" w:tentative="1">
      <w:start w:val="1"/>
      <w:numFmt w:val="decimal"/>
      <w:lvlText w:val="%6)"/>
      <w:lvlJc w:val="left"/>
      <w:pPr>
        <w:tabs>
          <w:tab w:val="num" w:pos="4320"/>
        </w:tabs>
        <w:ind w:left="4320" w:hanging="360"/>
      </w:pPr>
    </w:lvl>
    <w:lvl w:ilvl="6" w:tplc="C068D87E" w:tentative="1">
      <w:start w:val="1"/>
      <w:numFmt w:val="decimal"/>
      <w:lvlText w:val="%7)"/>
      <w:lvlJc w:val="left"/>
      <w:pPr>
        <w:tabs>
          <w:tab w:val="num" w:pos="5040"/>
        </w:tabs>
        <w:ind w:left="5040" w:hanging="360"/>
      </w:pPr>
    </w:lvl>
    <w:lvl w:ilvl="7" w:tplc="E60618BC" w:tentative="1">
      <w:start w:val="1"/>
      <w:numFmt w:val="decimal"/>
      <w:lvlText w:val="%8)"/>
      <w:lvlJc w:val="left"/>
      <w:pPr>
        <w:tabs>
          <w:tab w:val="num" w:pos="5760"/>
        </w:tabs>
        <w:ind w:left="5760" w:hanging="360"/>
      </w:pPr>
    </w:lvl>
    <w:lvl w:ilvl="8" w:tplc="46BE695C" w:tentative="1">
      <w:start w:val="1"/>
      <w:numFmt w:val="decimal"/>
      <w:lvlText w:val="%9)"/>
      <w:lvlJc w:val="left"/>
      <w:pPr>
        <w:tabs>
          <w:tab w:val="num" w:pos="6480"/>
        </w:tabs>
        <w:ind w:left="6480" w:hanging="360"/>
      </w:pPr>
    </w:lvl>
  </w:abstractNum>
  <w:abstractNum w:abstractNumId="44" w15:restartNumberingAfterBreak="0">
    <w:nsid w:val="7DAE58BA"/>
    <w:multiLevelType w:val="hybridMultilevel"/>
    <w:tmpl w:val="2180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4177B"/>
    <w:multiLevelType w:val="hybridMultilevel"/>
    <w:tmpl w:val="0346EDEE"/>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8D1C8F"/>
    <w:multiLevelType w:val="hybridMultilevel"/>
    <w:tmpl w:val="45509C86"/>
    <w:lvl w:ilvl="0" w:tplc="B0C63D4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9"/>
  </w:num>
  <w:num w:numId="3">
    <w:abstractNumId w:val="0"/>
  </w:num>
  <w:num w:numId="4">
    <w:abstractNumId w:val="28"/>
  </w:num>
  <w:num w:numId="5">
    <w:abstractNumId w:val="18"/>
  </w:num>
  <w:num w:numId="6">
    <w:abstractNumId w:val="10"/>
  </w:num>
  <w:num w:numId="7">
    <w:abstractNumId w:val="21"/>
  </w:num>
  <w:num w:numId="8">
    <w:abstractNumId w:val="13"/>
  </w:num>
  <w:num w:numId="9">
    <w:abstractNumId w:val="12"/>
  </w:num>
  <w:num w:numId="10">
    <w:abstractNumId w:val="16"/>
  </w:num>
  <w:num w:numId="11">
    <w:abstractNumId w:val="38"/>
  </w:num>
  <w:num w:numId="12">
    <w:abstractNumId w:val="7"/>
  </w:num>
  <w:num w:numId="13">
    <w:abstractNumId w:val="36"/>
  </w:num>
  <w:num w:numId="14">
    <w:abstractNumId w:val="40"/>
  </w:num>
  <w:num w:numId="15">
    <w:abstractNumId w:val="15"/>
  </w:num>
  <w:num w:numId="16">
    <w:abstractNumId w:val="35"/>
  </w:num>
  <w:num w:numId="17">
    <w:abstractNumId w:val="24"/>
  </w:num>
  <w:num w:numId="18">
    <w:abstractNumId w:val="26"/>
  </w:num>
  <w:num w:numId="19">
    <w:abstractNumId w:val="37"/>
  </w:num>
  <w:num w:numId="20">
    <w:abstractNumId w:val="5"/>
  </w:num>
  <w:num w:numId="21">
    <w:abstractNumId w:val="27"/>
  </w:num>
  <w:num w:numId="22">
    <w:abstractNumId w:val="33"/>
  </w:num>
  <w:num w:numId="23">
    <w:abstractNumId w:val="34"/>
  </w:num>
  <w:num w:numId="24">
    <w:abstractNumId w:val="9"/>
  </w:num>
  <w:num w:numId="25">
    <w:abstractNumId w:val="20"/>
  </w:num>
  <w:num w:numId="26">
    <w:abstractNumId w:val="3"/>
  </w:num>
  <w:num w:numId="27">
    <w:abstractNumId w:val="19"/>
  </w:num>
  <w:num w:numId="28">
    <w:abstractNumId w:val="30"/>
  </w:num>
  <w:num w:numId="29">
    <w:abstractNumId w:val="11"/>
  </w:num>
  <w:num w:numId="30">
    <w:abstractNumId w:val="4"/>
  </w:num>
  <w:num w:numId="31">
    <w:abstractNumId w:val="44"/>
  </w:num>
  <w:num w:numId="32">
    <w:abstractNumId w:val="31"/>
  </w:num>
  <w:num w:numId="33">
    <w:abstractNumId w:val="6"/>
  </w:num>
  <w:num w:numId="34">
    <w:abstractNumId w:val="42"/>
  </w:num>
  <w:num w:numId="35">
    <w:abstractNumId w:val="46"/>
  </w:num>
  <w:num w:numId="36">
    <w:abstractNumId w:val="29"/>
  </w:num>
  <w:num w:numId="37">
    <w:abstractNumId w:val="2"/>
  </w:num>
  <w:num w:numId="38">
    <w:abstractNumId w:val="41"/>
  </w:num>
  <w:num w:numId="39">
    <w:abstractNumId w:val="32"/>
  </w:num>
  <w:num w:numId="40">
    <w:abstractNumId w:val="1"/>
  </w:num>
  <w:num w:numId="41">
    <w:abstractNumId w:val="23"/>
  </w:num>
  <w:num w:numId="42">
    <w:abstractNumId w:val="8"/>
  </w:num>
  <w:num w:numId="43">
    <w:abstractNumId w:val="22"/>
  </w:num>
  <w:num w:numId="44">
    <w:abstractNumId w:val="43"/>
  </w:num>
  <w:num w:numId="45">
    <w:abstractNumId w:val="14"/>
  </w:num>
  <w:num w:numId="46">
    <w:abstractNumId w:val="25"/>
  </w:num>
  <w:num w:numId="4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9F"/>
    <w:rsid w:val="00005804"/>
    <w:rsid w:val="000064BF"/>
    <w:rsid w:val="000178F1"/>
    <w:rsid w:val="00022237"/>
    <w:rsid w:val="00022A2B"/>
    <w:rsid w:val="00023AA0"/>
    <w:rsid w:val="00023E95"/>
    <w:rsid w:val="00024E7B"/>
    <w:rsid w:val="00031F5D"/>
    <w:rsid w:val="0003269D"/>
    <w:rsid w:val="0003709B"/>
    <w:rsid w:val="0004085D"/>
    <w:rsid w:val="00040FD7"/>
    <w:rsid w:val="000420E7"/>
    <w:rsid w:val="0004656B"/>
    <w:rsid w:val="000503F1"/>
    <w:rsid w:val="00051900"/>
    <w:rsid w:val="0005528F"/>
    <w:rsid w:val="00066CF9"/>
    <w:rsid w:val="00070F2F"/>
    <w:rsid w:val="00073C65"/>
    <w:rsid w:val="0007788F"/>
    <w:rsid w:val="00077B59"/>
    <w:rsid w:val="00080B16"/>
    <w:rsid w:val="00087B39"/>
    <w:rsid w:val="00090618"/>
    <w:rsid w:val="00090784"/>
    <w:rsid w:val="00091A0A"/>
    <w:rsid w:val="00093EB4"/>
    <w:rsid w:val="00095841"/>
    <w:rsid w:val="00096705"/>
    <w:rsid w:val="000A115C"/>
    <w:rsid w:val="000A1285"/>
    <w:rsid w:val="000B149E"/>
    <w:rsid w:val="000B4E35"/>
    <w:rsid w:val="000C062D"/>
    <w:rsid w:val="000C2A08"/>
    <w:rsid w:val="000C2C99"/>
    <w:rsid w:val="000D0617"/>
    <w:rsid w:val="000D3460"/>
    <w:rsid w:val="000D64B0"/>
    <w:rsid w:val="000D6BA5"/>
    <w:rsid w:val="000D7070"/>
    <w:rsid w:val="000D7485"/>
    <w:rsid w:val="000E22C1"/>
    <w:rsid w:val="000E5448"/>
    <w:rsid w:val="000E7E8C"/>
    <w:rsid w:val="000F10AA"/>
    <w:rsid w:val="000F3A58"/>
    <w:rsid w:val="000F71B1"/>
    <w:rsid w:val="00100127"/>
    <w:rsid w:val="00113D7B"/>
    <w:rsid w:val="00116191"/>
    <w:rsid w:val="00131F74"/>
    <w:rsid w:val="00133293"/>
    <w:rsid w:val="00145C82"/>
    <w:rsid w:val="00146F2F"/>
    <w:rsid w:val="0015108E"/>
    <w:rsid w:val="001524A6"/>
    <w:rsid w:val="00154CA5"/>
    <w:rsid w:val="0015728D"/>
    <w:rsid w:val="00157405"/>
    <w:rsid w:val="00160300"/>
    <w:rsid w:val="001639FB"/>
    <w:rsid w:val="001650C6"/>
    <w:rsid w:val="00174379"/>
    <w:rsid w:val="0017574A"/>
    <w:rsid w:val="0017679A"/>
    <w:rsid w:val="001830F4"/>
    <w:rsid w:val="001A1456"/>
    <w:rsid w:val="001A248A"/>
    <w:rsid w:val="001A7269"/>
    <w:rsid w:val="001B545D"/>
    <w:rsid w:val="001C10EE"/>
    <w:rsid w:val="001C3053"/>
    <w:rsid w:val="001C325E"/>
    <w:rsid w:val="001C3C2F"/>
    <w:rsid w:val="001D4B30"/>
    <w:rsid w:val="001D6526"/>
    <w:rsid w:val="001E1053"/>
    <w:rsid w:val="001E37DC"/>
    <w:rsid w:val="001F0DB3"/>
    <w:rsid w:val="001F1325"/>
    <w:rsid w:val="001F48DC"/>
    <w:rsid w:val="00201300"/>
    <w:rsid w:val="00201C89"/>
    <w:rsid w:val="0020258E"/>
    <w:rsid w:val="00203FB1"/>
    <w:rsid w:val="0020644B"/>
    <w:rsid w:val="002077D1"/>
    <w:rsid w:val="00207E8B"/>
    <w:rsid w:val="00207F04"/>
    <w:rsid w:val="002127A8"/>
    <w:rsid w:val="00213326"/>
    <w:rsid w:val="00216963"/>
    <w:rsid w:val="0021744D"/>
    <w:rsid w:val="002247BE"/>
    <w:rsid w:val="00225400"/>
    <w:rsid w:val="00227F9B"/>
    <w:rsid w:val="002315E0"/>
    <w:rsid w:val="00233CB1"/>
    <w:rsid w:val="00235B5A"/>
    <w:rsid w:val="002366F9"/>
    <w:rsid w:val="0023730E"/>
    <w:rsid w:val="00240D81"/>
    <w:rsid w:val="00246DA3"/>
    <w:rsid w:val="0024773C"/>
    <w:rsid w:val="0024782A"/>
    <w:rsid w:val="00254F16"/>
    <w:rsid w:val="00256DD9"/>
    <w:rsid w:val="0026246A"/>
    <w:rsid w:val="00271F9F"/>
    <w:rsid w:val="002748D6"/>
    <w:rsid w:val="002817BF"/>
    <w:rsid w:val="002825A7"/>
    <w:rsid w:val="00292272"/>
    <w:rsid w:val="002926CC"/>
    <w:rsid w:val="00292FD9"/>
    <w:rsid w:val="00296DCD"/>
    <w:rsid w:val="002A2716"/>
    <w:rsid w:val="002A49B6"/>
    <w:rsid w:val="002A7A8F"/>
    <w:rsid w:val="002B2153"/>
    <w:rsid w:val="002B2D08"/>
    <w:rsid w:val="002B4009"/>
    <w:rsid w:val="002C1EDC"/>
    <w:rsid w:val="002D466E"/>
    <w:rsid w:val="002D5DB2"/>
    <w:rsid w:val="002E0C03"/>
    <w:rsid w:val="002E18DC"/>
    <w:rsid w:val="002F0539"/>
    <w:rsid w:val="002F0BA1"/>
    <w:rsid w:val="002F3DDA"/>
    <w:rsid w:val="00302094"/>
    <w:rsid w:val="0031103B"/>
    <w:rsid w:val="00314B14"/>
    <w:rsid w:val="00314C6C"/>
    <w:rsid w:val="00320055"/>
    <w:rsid w:val="00326376"/>
    <w:rsid w:val="00332211"/>
    <w:rsid w:val="00342183"/>
    <w:rsid w:val="003458BF"/>
    <w:rsid w:val="00347EFA"/>
    <w:rsid w:val="00351DD4"/>
    <w:rsid w:val="003524D9"/>
    <w:rsid w:val="00355CB8"/>
    <w:rsid w:val="00360C06"/>
    <w:rsid w:val="0036242A"/>
    <w:rsid w:val="00364B6E"/>
    <w:rsid w:val="00365D56"/>
    <w:rsid w:val="00366594"/>
    <w:rsid w:val="0036749D"/>
    <w:rsid w:val="00371649"/>
    <w:rsid w:val="00372004"/>
    <w:rsid w:val="003727B2"/>
    <w:rsid w:val="0037370C"/>
    <w:rsid w:val="00374170"/>
    <w:rsid w:val="00375A02"/>
    <w:rsid w:val="00381B9E"/>
    <w:rsid w:val="00392C8F"/>
    <w:rsid w:val="00397A4F"/>
    <w:rsid w:val="00397BFD"/>
    <w:rsid w:val="003A2841"/>
    <w:rsid w:val="003A2FA4"/>
    <w:rsid w:val="003A4F3A"/>
    <w:rsid w:val="003A70F1"/>
    <w:rsid w:val="003A7323"/>
    <w:rsid w:val="003A7A56"/>
    <w:rsid w:val="003B4B8D"/>
    <w:rsid w:val="003C1C34"/>
    <w:rsid w:val="003D0669"/>
    <w:rsid w:val="003D2611"/>
    <w:rsid w:val="003D36AE"/>
    <w:rsid w:val="003D3711"/>
    <w:rsid w:val="003D6B3A"/>
    <w:rsid w:val="003F0841"/>
    <w:rsid w:val="003F4C74"/>
    <w:rsid w:val="00400860"/>
    <w:rsid w:val="004054DD"/>
    <w:rsid w:val="00414A39"/>
    <w:rsid w:val="00414B4C"/>
    <w:rsid w:val="00414CEB"/>
    <w:rsid w:val="00425412"/>
    <w:rsid w:val="0043472C"/>
    <w:rsid w:val="00434D18"/>
    <w:rsid w:val="004352A5"/>
    <w:rsid w:val="00435A6F"/>
    <w:rsid w:val="00436FAA"/>
    <w:rsid w:val="004377A4"/>
    <w:rsid w:val="00450978"/>
    <w:rsid w:val="00450A50"/>
    <w:rsid w:val="00451D8F"/>
    <w:rsid w:val="00452651"/>
    <w:rsid w:val="00457B5D"/>
    <w:rsid w:val="00474EA6"/>
    <w:rsid w:val="00475D4F"/>
    <w:rsid w:val="00484093"/>
    <w:rsid w:val="0048474E"/>
    <w:rsid w:val="004904EE"/>
    <w:rsid w:val="00490814"/>
    <w:rsid w:val="0049242B"/>
    <w:rsid w:val="004941A2"/>
    <w:rsid w:val="00495239"/>
    <w:rsid w:val="004964E7"/>
    <w:rsid w:val="004A0117"/>
    <w:rsid w:val="004A032C"/>
    <w:rsid w:val="004A2022"/>
    <w:rsid w:val="004A3F32"/>
    <w:rsid w:val="004B3877"/>
    <w:rsid w:val="004B6386"/>
    <w:rsid w:val="004C00E6"/>
    <w:rsid w:val="004C6CCE"/>
    <w:rsid w:val="004D19F3"/>
    <w:rsid w:val="004D4474"/>
    <w:rsid w:val="004D6F50"/>
    <w:rsid w:val="004D77D8"/>
    <w:rsid w:val="004E7028"/>
    <w:rsid w:val="004F0B35"/>
    <w:rsid w:val="004F244A"/>
    <w:rsid w:val="00506A44"/>
    <w:rsid w:val="005071B5"/>
    <w:rsid w:val="00510226"/>
    <w:rsid w:val="005102DE"/>
    <w:rsid w:val="00510BC0"/>
    <w:rsid w:val="0051116E"/>
    <w:rsid w:val="005137BB"/>
    <w:rsid w:val="00513991"/>
    <w:rsid w:val="005139DF"/>
    <w:rsid w:val="00513EA3"/>
    <w:rsid w:val="00517925"/>
    <w:rsid w:val="00520117"/>
    <w:rsid w:val="0052213A"/>
    <w:rsid w:val="0052300A"/>
    <w:rsid w:val="005234BC"/>
    <w:rsid w:val="005244CB"/>
    <w:rsid w:val="00525E07"/>
    <w:rsid w:val="00526570"/>
    <w:rsid w:val="00532A89"/>
    <w:rsid w:val="00533730"/>
    <w:rsid w:val="00534964"/>
    <w:rsid w:val="0053525C"/>
    <w:rsid w:val="00537A7C"/>
    <w:rsid w:val="00540B49"/>
    <w:rsid w:val="00542793"/>
    <w:rsid w:val="00544735"/>
    <w:rsid w:val="00545296"/>
    <w:rsid w:val="00553FD9"/>
    <w:rsid w:val="005542E5"/>
    <w:rsid w:val="00554C6E"/>
    <w:rsid w:val="005554FE"/>
    <w:rsid w:val="00555D62"/>
    <w:rsid w:val="00557978"/>
    <w:rsid w:val="00557993"/>
    <w:rsid w:val="00560297"/>
    <w:rsid w:val="00560799"/>
    <w:rsid w:val="0056290F"/>
    <w:rsid w:val="00567A98"/>
    <w:rsid w:val="005701EF"/>
    <w:rsid w:val="005715B0"/>
    <w:rsid w:val="00576EA5"/>
    <w:rsid w:val="00577177"/>
    <w:rsid w:val="00580D03"/>
    <w:rsid w:val="00581104"/>
    <w:rsid w:val="0058217F"/>
    <w:rsid w:val="00583D6A"/>
    <w:rsid w:val="005852F3"/>
    <w:rsid w:val="00586186"/>
    <w:rsid w:val="00591A31"/>
    <w:rsid w:val="00591A5E"/>
    <w:rsid w:val="0059373D"/>
    <w:rsid w:val="00596C4A"/>
    <w:rsid w:val="00597226"/>
    <w:rsid w:val="005974DE"/>
    <w:rsid w:val="005A02B1"/>
    <w:rsid w:val="005A05C2"/>
    <w:rsid w:val="005A0D16"/>
    <w:rsid w:val="005A5A74"/>
    <w:rsid w:val="005B5513"/>
    <w:rsid w:val="005B7A21"/>
    <w:rsid w:val="005B7C59"/>
    <w:rsid w:val="005B7EF9"/>
    <w:rsid w:val="005C0A1B"/>
    <w:rsid w:val="005C5D5B"/>
    <w:rsid w:val="005D3D7E"/>
    <w:rsid w:val="005D7A0E"/>
    <w:rsid w:val="005E6FE4"/>
    <w:rsid w:val="005E7EB1"/>
    <w:rsid w:val="005F09B8"/>
    <w:rsid w:val="005F4B8E"/>
    <w:rsid w:val="005F551C"/>
    <w:rsid w:val="005F7648"/>
    <w:rsid w:val="006005DF"/>
    <w:rsid w:val="006008BF"/>
    <w:rsid w:val="00612A21"/>
    <w:rsid w:val="00615AF4"/>
    <w:rsid w:val="00615FA7"/>
    <w:rsid w:val="00617129"/>
    <w:rsid w:val="00620F1A"/>
    <w:rsid w:val="00622249"/>
    <w:rsid w:val="0062290C"/>
    <w:rsid w:val="006272C9"/>
    <w:rsid w:val="0063594E"/>
    <w:rsid w:val="00635C5F"/>
    <w:rsid w:val="0063781E"/>
    <w:rsid w:val="006416B5"/>
    <w:rsid w:val="006438D8"/>
    <w:rsid w:val="00645840"/>
    <w:rsid w:val="00647EC8"/>
    <w:rsid w:val="00650CEE"/>
    <w:rsid w:val="00651AAD"/>
    <w:rsid w:val="006550A3"/>
    <w:rsid w:val="006567BC"/>
    <w:rsid w:val="006567C7"/>
    <w:rsid w:val="006630D9"/>
    <w:rsid w:val="006631ED"/>
    <w:rsid w:val="00664D2C"/>
    <w:rsid w:val="006655BC"/>
    <w:rsid w:val="00674D16"/>
    <w:rsid w:val="00677F19"/>
    <w:rsid w:val="00685348"/>
    <w:rsid w:val="00685360"/>
    <w:rsid w:val="006855BE"/>
    <w:rsid w:val="00695B9B"/>
    <w:rsid w:val="006A2F48"/>
    <w:rsid w:val="006A7B7F"/>
    <w:rsid w:val="006C2CE8"/>
    <w:rsid w:val="006C307F"/>
    <w:rsid w:val="006C7523"/>
    <w:rsid w:val="006E0B35"/>
    <w:rsid w:val="006E156F"/>
    <w:rsid w:val="006E2875"/>
    <w:rsid w:val="006E3B37"/>
    <w:rsid w:val="006E4107"/>
    <w:rsid w:val="006E6BCE"/>
    <w:rsid w:val="006E6DD1"/>
    <w:rsid w:val="006E7810"/>
    <w:rsid w:val="006E7D4C"/>
    <w:rsid w:val="006F094C"/>
    <w:rsid w:val="006F5FFA"/>
    <w:rsid w:val="007043DF"/>
    <w:rsid w:val="007069EF"/>
    <w:rsid w:val="00706F91"/>
    <w:rsid w:val="007072FF"/>
    <w:rsid w:val="00712572"/>
    <w:rsid w:val="0071546A"/>
    <w:rsid w:val="0072271F"/>
    <w:rsid w:val="00723014"/>
    <w:rsid w:val="00725105"/>
    <w:rsid w:val="00727518"/>
    <w:rsid w:val="00736EE9"/>
    <w:rsid w:val="00737399"/>
    <w:rsid w:val="007403FF"/>
    <w:rsid w:val="007533EA"/>
    <w:rsid w:val="00760A06"/>
    <w:rsid w:val="007617D4"/>
    <w:rsid w:val="007624F2"/>
    <w:rsid w:val="00762856"/>
    <w:rsid w:val="007629DC"/>
    <w:rsid w:val="00763075"/>
    <w:rsid w:val="00770A46"/>
    <w:rsid w:val="00771865"/>
    <w:rsid w:val="007926AA"/>
    <w:rsid w:val="00792722"/>
    <w:rsid w:val="007945B5"/>
    <w:rsid w:val="007A0403"/>
    <w:rsid w:val="007A11CD"/>
    <w:rsid w:val="007A30BA"/>
    <w:rsid w:val="007A44EA"/>
    <w:rsid w:val="007A6264"/>
    <w:rsid w:val="007C4FA3"/>
    <w:rsid w:val="007C5DC8"/>
    <w:rsid w:val="007C63A9"/>
    <w:rsid w:val="007D74DD"/>
    <w:rsid w:val="007D7D94"/>
    <w:rsid w:val="007E10F4"/>
    <w:rsid w:val="007E2101"/>
    <w:rsid w:val="007E2579"/>
    <w:rsid w:val="007E446A"/>
    <w:rsid w:val="007E5C02"/>
    <w:rsid w:val="007E73DC"/>
    <w:rsid w:val="007F436C"/>
    <w:rsid w:val="007F48E5"/>
    <w:rsid w:val="007F5914"/>
    <w:rsid w:val="007F5C94"/>
    <w:rsid w:val="007F66CC"/>
    <w:rsid w:val="00800FF2"/>
    <w:rsid w:val="008065EC"/>
    <w:rsid w:val="0081232B"/>
    <w:rsid w:val="00812E33"/>
    <w:rsid w:val="00813218"/>
    <w:rsid w:val="00823DD8"/>
    <w:rsid w:val="00832DE7"/>
    <w:rsid w:val="00832F76"/>
    <w:rsid w:val="008356B2"/>
    <w:rsid w:val="00835E13"/>
    <w:rsid w:val="00835EDA"/>
    <w:rsid w:val="00840004"/>
    <w:rsid w:val="0084439C"/>
    <w:rsid w:val="00844AE9"/>
    <w:rsid w:val="0084792E"/>
    <w:rsid w:val="008524C1"/>
    <w:rsid w:val="00855E9E"/>
    <w:rsid w:val="00860860"/>
    <w:rsid w:val="00860BA2"/>
    <w:rsid w:val="00873D29"/>
    <w:rsid w:val="008753A7"/>
    <w:rsid w:val="008803E6"/>
    <w:rsid w:val="008844CF"/>
    <w:rsid w:val="00885F55"/>
    <w:rsid w:val="00886F49"/>
    <w:rsid w:val="00891D9A"/>
    <w:rsid w:val="00893A91"/>
    <w:rsid w:val="008A0E53"/>
    <w:rsid w:val="008A6895"/>
    <w:rsid w:val="008B0899"/>
    <w:rsid w:val="008B39F8"/>
    <w:rsid w:val="008C104F"/>
    <w:rsid w:val="008D2FD3"/>
    <w:rsid w:val="008D5054"/>
    <w:rsid w:val="008D57A0"/>
    <w:rsid w:val="008E07E2"/>
    <w:rsid w:val="008E23DA"/>
    <w:rsid w:val="008E4F41"/>
    <w:rsid w:val="008E7B1C"/>
    <w:rsid w:val="008F2A6D"/>
    <w:rsid w:val="008F6C57"/>
    <w:rsid w:val="008F77F0"/>
    <w:rsid w:val="00903452"/>
    <w:rsid w:val="0090560F"/>
    <w:rsid w:val="00907A25"/>
    <w:rsid w:val="00923548"/>
    <w:rsid w:val="00924895"/>
    <w:rsid w:val="00934023"/>
    <w:rsid w:val="00940488"/>
    <w:rsid w:val="00940C37"/>
    <w:rsid w:val="00943494"/>
    <w:rsid w:val="00945BA1"/>
    <w:rsid w:val="00946404"/>
    <w:rsid w:val="009574A0"/>
    <w:rsid w:val="00957E6D"/>
    <w:rsid w:val="009609B0"/>
    <w:rsid w:val="00961A3D"/>
    <w:rsid w:val="0096297C"/>
    <w:rsid w:val="0096778C"/>
    <w:rsid w:val="009720D6"/>
    <w:rsid w:val="0098184C"/>
    <w:rsid w:val="00984381"/>
    <w:rsid w:val="00984951"/>
    <w:rsid w:val="0098601D"/>
    <w:rsid w:val="009872EA"/>
    <w:rsid w:val="009A018E"/>
    <w:rsid w:val="009A1CB2"/>
    <w:rsid w:val="009A30A7"/>
    <w:rsid w:val="009B05D4"/>
    <w:rsid w:val="009B1195"/>
    <w:rsid w:val="009B42E1"/>
    <w:rsid w:val="009B69A0"/>
    <w:rsid w:val="009C1871"/>
    <w:rsid w:val="009D3D10"/>
    <w:rsid w:val="009D57A0"/>
    <w:rsid w:val="009D7A31"/>
    <w:rsid w:val="009E0D2F"/>
    <w:rsid w:val="009E3CC7"/>
    <w:rsid w:val="009E6819"/>
    <w:rsid w:val="009F6503"/>
    <w:rsid w:val="009F6BEC"/>
    <w:rsid w:val="009F76FB"/>
    <w:rsid w:val="009F7F85"/>
    <w:rsid w:val="00A0511A"/>
    <w:rsid w:val="00A05566"/>
    <w:rsid w:val="00A1099A"/>
    <w:rsid w:val="00A10E4B"/>
    <w:rsid w:val="00A20D67"/>
    <w:rsid w:val="00A22EFD"/>
    <w:rsid w:val="00A26259"/>
    <w:rsid w:val="00A26D5C"/>
    <w:rsid w:val="00A31873"/>
    <w:rsid w:val="00A407CF"/>
    <w:rsid w:val="00A431F2"/>
    <w:rsid w:val="00A55A8A"/>
    <w:rsid w:val="00A56259"/>
    <w:rsid w:val="00A5632C"/>
    <w:rsid w:val="00A6142F"/>
    <w:rsid w:val="00A62999"/>
    <w:rsid w:val="00A65C7D"/>
    <w:rsid w:val="00A70E71"/>
    <w:rsid w:val="00A74FA2"/>
    <w:rsid w:val="00A81254"/>
    <w:rsid w:val="00A86D5F"/>
    <w:rsid w:val="00A91B03"/>
    <w:rsid w:val="00A932FB"/>
    <w:rsid w:val="00A95656"/>
    <w:rsid w:val="00AA03B5"/>
    <w:rsid w:val="00AA30F3"/>
    <w:rsid w:val="00AA56B3"/>
    <w:rsid w:val="00AA717E"/>
    <w:rsid w:val="00AC7B52"/>
    <w:rsid w:val="00AD03EC"/>
    <w:rsid w:val="00AD281A"/>
    <w:rsid w:val="00AD4E94"/>
    <w:rsid w:val="00AE0610"/>
    <w:rsid w:val="00AE1B40"/>
    <w:rsid w:val="00AE27C1"/>
    <w:rsid w:val="00AE3F84"/>
    <w:rsid w:val="00AE4983"/>
    <w:rsid w:val="00AE6508"/>
    <w:rsid w:val="00AF17FE"/>
    <w:rsid w:val="00AF3C7F"/>
    <w:rsid w:val="00AF40E9"/>
    <w:rsid w:val="00B039A1"/>
    <w:rsid w:val="00B03F35"/>
    <w:rsid w:val="00B04B8C"/>
    <w:rsid w:val="00B0579F"/>
    <w:rsid w:val="00B16997"/>
    <w:rsid w:val="00B16E3D"/>
    <w:rsid w:val="00B3258F"/>
    <w:rsid w:val="00B37314"/>
    <w:rsid w:val="00B37AF1"/>
    <w:rsid w:val="00B40C6D"/>
    <w:rsid w:val="00B448F6"/>
    <w:rsid w:val="00B56918"/>
    <w:rsid w:val="00B5787C"/>
    <w:rsid w:val="00B61012"/>
    <w:rsid w:val="00B62EE7"/>
    <w:rsid w:val="00B65BD0"/>
    <w:rsid w:val="00B65CDE"/>
    <w:rsid w:val="00B67224"/>
    <w:rsid w:val="00B67C07"/>
    <w:rsid w:val="00B705DE"/>
    <w:rsid w:val="00B825BD"/>
    <w:rsid w:val="00B83EBD"/>
    <w:rsid w:val="00B84D12"/>
    <w:rsid w:val="00B84DFA"/>
    <w:rsid w:val="00B906F9"/>
    <w:rsid w:val="00B91426"/>
    <w:rsid w:val="00B97C34"/>
    <w:rsid w:val="00BA0B59"/>
    <w:rsid w:val="00BA2914"/>
    <w:rsid w:val="00BA3AB6"/>
    <w:rsid w:val="00BA6E9E"/>
    <w:rsid w:val="00BA7042"/>
    <w:rsid w:val="00BB410E"/>
    <w:rsid w:val="00BB4D5B"/>
    <w:rsid w:val="00BB578E"/>
    <w:rsid w:val="00BB7272"/>
    <w:rsid w:val="00BB78F1"/>
    <w:rsid w:val="00BC149E"/>
    <w:rsid w:val="00BD2B2E"/>
    <w:rsid w:val="00BD3099"/>
    <w:rsid w:val="00BD5F41"/>
    <w:rsid w:val="00BE0385"/>
    <w:rsid w:val="00BE1CA7"/>
    <w:rsid w:val="00BE7660"/>
    <w:rsid w:val="00BF3297"/>
    <w:rsid w:val="00BF6934"/>
    <w:rsid w:val="00BF6EAE"/>
    <w:rsid w:val="00C027F5"/>
    <w:rsid w:val="00C03939"/>
    <w:rsid w:val="00C1605A"/>
    <w:rsid w:val="00C16E82"/>
    <w:rsid w:val="00C20571"/>
    <w:rsid w:val="00C20AE5"/>
    <w:rsid w:val="00C24238"/>
    <w:rsid w:val="00C30104"/>
    <w:rsid w:val="00C329FA"/>
    <w:rsid w:val="00C43CF7"/>
    <w:rsid w:val="00C45BA7"/>
    <w:rsid w:val="00C50A92"/>
    <w:rsid w:val="00C519B2"/>
    <w:rsid w:val="00C526A8"/>
    <w:rsid w:val="00C55CAA"/>
    <w:rsid w:val="00C56FE3"/>
    <w:rsid w:val="00C6146B"/>
    <w:rsid w:val="00C6358C"/>
    <w:rsid w:val="00C729DC"/>
    <w:rsid w:val="00C74156"/>
    <w:rsid w:val="00C75449"/>
    <w:rsid w:val="00C76E4B"/>
    <w:rsid w:val="00C8379F"/>
    <w:rsid w:val="00C8533A"/>
    <w:rsid w:val="00CA24AC"/>
    <w:rsid w:val="00CA2E5B"/>
    <w:rsid w:val="00CA6059"/>
    <w:rsid w:val="00CB2C03"/>
    <w:rsid w:val="00CB4F23"/>
    <w:rsid w:val="00CB52E7"/>
    <w:rsid w:val="00CC07BC"/>
    <w:rsid w:val="00CC1864"/>
    <w:rsid w:val="00CC18D9"/>
    <w:rsid w:val="00CC3683"/>
    <w:rsid w:val="00CC6BDC"/>
    <w:rsid w:val="00CC6F2F"/>
    <w:rsid w:val="00CC71D0"/>
    <w:rsid w:val="00CD0BB0"/>
    <w:rsid w:val="00CD4BE6"/>
    <w:rsid w:val="00CD5299"/>
    <w:rsid w:val="00CD7058"/>
    <w:rsid w:val="00CD708B"/>
    <w:rsid w:val="00CD77C4"/>
    <w:rsid w:val="00CE28F8"/>
    <w:rsid w:val="00CE4612"/>
    <w:rsid w:val="00CE5AFE"/>
    <w:rsid w:val="00CE6344"/>
    <w:rsid w:val="00CF13ED"/>
    <w:rsid w:val="00CF28C5"/>
    <w:rsid w:val="00D0011D"/>
    <w:rsid w:val="00D01685"/>
    <w:rsid w:val="00D0394E"/>
    <w:rsid w:val="00D1006B"/>
    <w:rsid w:val="00D10DAB"/>
    <w:rsid w:val="00D1507D"/>
    <w:rsid w:val="00D20FFF"/>
    <w:rsid w:val="00D2704A"/>
    <w:rsid w:val="00D311F8"/>
    <w:rsid w:val="00D33377"/>
    <w:rsid w:val="00D34C02"/>
    <w:rsid w:val="00D36C8A"/>
    <w:rsid w:val="00D40599"/>
    <w:rsid w:val="00D45C51"/>
    <w:rsid w:val="00D5627D"/>
    <w:rsid w:val="00D639BD"/>
    <w:rsid w:val="00D67F94"/>
    <w:rsid w:val="00D733EC"/>
    <w:rsid w:val="00D7538E"/>
    <w:rsid w:val="00D84A0E"/>
    <w:rsid w:val="00D9028D"/>
    <w:rsid w:val="00D908B7"/>
    <w:rsid w:val="00D927D4"/>
    <w:rsid w:val="00D92D33"/>
    <w:rsid w:val="00D93208"/>
    <w:rsid w:val="00DA16EB"/>
    <w:rsid w:val="00DA6098"/>
    <w:rsid w:val="00DB2C56"/>
    <w:rsid w:val="00DB3343"/>
    <w:rsid w:val="00DB5873"/>
    <w:rsid w:val="00DB6563"/>
    <w:rsid w:val="00DB7827"/>
    <w:rsid w:val="00DB7FC7"/>
    <w:rsid w:val="00DD30BF"/>
    <w:rsid w:val="00DD6193"/>
    <w:rsid w:val="00DE0BAB"/>
    <w:rsid w:val="00DE187B"/>
    <w:rsid w:val="00DE2C84"/>
    <w:rsid w:val="00DE36BC"/>
    <w:rsid w:val="00DE451E"/>
    <w:rsid w:val="00DF0C14"/>
    <w:rsid w:val="00DF0D6B"/>
    <w:rsid w:val="00DF25D8"/>
    <w:rsid w:val="00DF2CAD"/>
    <w:rsid w:val="00DF4848"/>
    <w:rsid w:val="00DF6D75"/>
    <w:rsid w:val="00DF73C3"/>
    <w:rsid w:val="00E03453"/>
    <w:rsid w:val="00E0376A"/>
    <w:rsid w:val="00E1589D"/>
    <w:rsid w:val="00E15B2E"/>
    <w:rsid w:val="00E227D8"/>
    <w:rsid w:val="00E254BA"/>
    <w:rsid w:val="00E272A7"/>
    <w:rsid w:val="00E27658"/>
    <w:rsid w:val="00E40629"/>
    <w:rsid w:val="00E41BB0"/>
    <w:rsid w:val="00E4383F"/>
    <w:rsid w:val="00E50028"/>
    <w:rsid w:val="00E50CB1"/>
    <w:rsid w:val="00E551F5"/>
    <w:rsid w:val="00E5558F"/>
    <w:rsid w:val="00E55B44"/>
    <w:rsid w:val="00E604C2"/>
    <w:rsid w:val="00E6072B"/>
    <w:rsid w:val="00E61EFC"/>
    <w:rsid w:val="00E648E4"/>
    <w:rsid w:val="00E67F5D"/>
    <w:rsid w:val="00E70E7F"/>
    <w:rsid w:val="00E74F82"/>
    <w:rsid w:val="00E77F8A"/>
    <w:rsid w:val="00E80C4E"/>
    <w:rsid w:val="00E866C9"/>
    <w:rsid w:val="00E87154"/>
    <w:rsid w:val="00E871B9"/>
    <w:rsid w:val="00E873C9"/>
    <w:rsid w:val="00E91776"/>
    <w:rsid w:val="00E9662E"/>
    <w:rsid w:val="00EA4117"/>
    <w:rsid w:val="00EA4BD3"/>
    <w:rsid w:val="00EA64D4"/>
    <w:rsid w:val="00EA70FF"/>
    <w:rsid w:val="00EB443F"/>
    <w:rsid w:val="00EB5AE7"/>
    <w:rsid w:val="00EB65B5"/>
    <w:rsid w:val="00EC0B7A"/>
    <w:rsid w:val="00EC12E1"/>
    <w:rsid w:val="00EC1472"/>
    <w:rsid w:val="00EC5F11"/>
    <w:rsid w:val="00ED0A1F"/>
    <w:rsid w:val="00ED6817"/>
    <w:rsid w:val="00EE05FD"/>
    <w:rsid w:val="00EE35DC"/>
    <w:rsid w:val="00EE47A3"/>
    <w:rsid w:val="00EE5A23"/>
    <w:rsid w:val="00EE64D0"/>
    <w:rsid w:val="00EF007A"/>
    <w:rsid w:val="00EF01C0"/>
    <w:rsid w:val="00EF2893"/>
    <w:rsid w:val="00EF29CD"/>
    <w:rsid w:val="00EF307C"/>
    <w:rsid w:val="00EF3F11"/>
    <w:rsid w:val="00EF4750"/>
    <w:rsid w:val="00F008C8"/>
    <w:rsid w:val="00F00D36"/>
    <w:rsid w:val="00F032FE"/>
    <w:rsid w:val="00F05E38"/>
    <w:rsid w:val="00F20D25"/>
    <w:rsid w:val="00F36800"/>
    <w:rsid w:val="00F4213F"/>
    <w:rsid w:val="00F44FD3"/>
    <w:rsid w:val="00F450B0"/>
    <w:rsid w:val="00F458AA"/>
    <w:rsid w:val="00F4679E"/>
    <w:rsid w:val="00F5230B"/>
    <w:rsid w:val="00F53447"/>
    <w:rsid w:val="00F57A57"/>
    <w:rsid w:val="00F6714D"/>
    <w:rsid w:val="00F82ADE"/>
    <w:rsid w:val="00F84E94"/>
    <w:rsid w:val="00F9021F"/>
    <w:rsid w:val="00F965C1"/>
    <w:rsid w:val="00F97D8D"/>
    <w:rsid w:val="00FA2034"/>
    <w:rsid w:val="00FC1B53"/>
    <w:rsid w:val="00FD2ABD"/>
    <w:rsid w:val="00FD4F17"/>
    <w:rsid w:val="00FD55E9"/>
    <w:rsid w:val="00FD6BFC"/>
    <w:rsid w:val="00FE2A09"/>
    <w:rsid w:val="00FE3B6D"/>
    <w:rsid w:val="00FE54CF"/>
    <w:rsid w:val="00FF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E3DF"/>
  <w15:docId w15:val="{87167A37-A37F-429A-BC34-448F74A9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A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55BC"/>
    <w:rPr>
      <w:rFonts w:ascii="Arial" w:hAnsi="Arial"/>
      <w:b/>
      <w:bCs/>
      <w:sz w:val="24"/>
    </w:rPr>
  </w:style>
  <w:style w:type="paragraph" w:styleId="ListParagraph">
    <w:name w:val="List Paragraph"/>
    <w:basedOn w:val="Normal"/>
    <w:link w:val="ListParagraphChar"/>
    <w:uiPriority w:val="34"/>
    <w:qFormat/>
    <w:rsid w:val="003A4F3A"/>
    <w:pPr>
      <w:ind w:left="720"/>
      <w:contextualSpacing/>
    </w:pPr>
  </w:style>
  <w:style w:type="paragraph" w:styleId="BalloonText">
    <w:name w:val="Balloon Text"/>
    <w:basedOn w:val="Normal"/>
    <w:link w:val="BalloonTextChar"/>
    <w:uiPriority w:val="99"/>
    <w:semiHidden/>
    <w:unhideWhenUsed/>
    <w:rsid w:val="00A31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73"/>
    <w:rPr>
      <w:rFonts w:ascii="Tahoma" w:hAnsi="Tahoma" w:cs="Tahoma"/>
      <w:sz w:val="16"/>
      <w:szCs w:val="16"/>
    </w:rPr>
  </w:style>
  <w:style w:type="paragraph" w:styleId="BodyTextIndent2">
    <w:name w:val="Body Text Indent 2"/>
    <w:basedOn w:val="Normal"/>
    <w:link w:val="BodyTextIndent2Char"/>
    <w:rsid w:val="00314C6C"/>
    <w:pPr>
      <w:spacing w:after="0" w:line="240" w:lineRule="auto"/>
      <w:ind w:left="720"/>
    </w:pPr>
    <w:rPr>
      <w:rFonts w:ascii="Book Antiqua" w:eastAsia="Times New Roman" w:hAnsi="Book Antiqua" w:cs="Times New Roman"/>
      <w:szCs w:val="20"/>
    </w:rPr>
  </w:style>
  <w:style w:type="character" w:customStyle="1" w:styleId="BodyTextIndent2Char">
    <w:name w:val="Body Text Indent 2 Char"/>
    <w:basedOn w:val="DefaultParagraphFont"/>
    <w:link w:val="BodyTextIndent2"/>
    <w:rsid w:val="00314C6C"/>
    <w:rPr>
      <w:rFonts w:ascii="Book Antiqua" w:eastAsia="Times New Roman" w:hAnsi="Book Antiqua" w:cs="Times New Roman"/>
      <w:szCs w:val="20"/>
    </w:rPr>
  </w:style>
  <w:style w:type="paragraph" w:styleId="Header">
    <w:name w:val="header"/>
    <w:basedOn w:val="Normal"/>
    <w:link w:val="HeaderChar"/>
    <w:uiPriority w:val="99"/>
    <w:unhideWhenUsed/>
    <w:rsid w:val="00225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400"/>
    <w:rPr>
      <w:rFonts w:ascii="Arial" w:hAnsi="Arial"/>
    </w:rPr>
  </w:style>
  <w:style w:type="paragraph" w:styleId="Footer">
    <w:name w:val="footer"/>
    <w:basedOn w:val="Normal"/>
    <w:link w:val="FooterChar"/>
    <w:uiPriority w:val="99"/>
    <w:unhideWhenUsed/>
    <w:rsid w:val="00225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400"/>
    <w:rPr>
      <w:rFonts w:ascii="Arial" w:hAnsi="Arial"/>
    </w:rPr>
  </w:style>
  <w:style w:type="character" w:customStyle="1" w:styleId="DWTNormChar">
    <w:name w:val="DWTNorm Char"/>
    <w:basedOn w:val="DefaultParagraphFont"/>
    <w:link w:val="DWTNorm"/>
    <w:locked/>
    <w:rsid w:val="005E7EB1"/>
    <w:rPr>
      <w:sz w:val="24"/>
    </w:rPr>
  </w:style>
  <w:style w:type="paragraph" w:customStyle="1" w:styleId="DWTNorm">
    <w:name w:val="DWTNorm"/>
    <w:basedOn w:val="Normal"/>
    <w:link w:val="DWTNormChar"/>
    <w:rsid w:val="005E7EB1"/>
    <w:pPr>
      <w:spacing w:after="240" w:line="240" w:lineRule="auto"/>
      <w:ind w:firstLine="720"/>
    </w:pPr>
    <w:rPr>
      <w:rFonts w:asciiTheme="minorHAnsi" w:hAnsiTheme="minorHAnsi"/>
      <w:sz w:val="24"/>
    </w:rPr>
  </w:style>
  <w:style w:type="character" w:styleId="CommentReference">
    <w:name w:val="annotation reference"/>
    <w:basedOn w:val="DefaultParagraphFont"/>
    <w:semiHidden/>
    <w:unhideWhenUsed/>
    <w:rsid w:val="003727B2"/>
    <w:rPr>
      <w:sz w:val="16"/>
      <w:szCs w:val="16"/>
    </w:rPr>
  </w:style>
  <w:style w:type="paragraph" w:styleId="CommentText">
    <w:name w:val="annotation text"/>
    <w:basedOn w:val="Normal"/>
    <w:link w:val="CommentTextChar"/>
    <w:semiHidden/>
    <w:unhideWhenUsed/>
    <w:rsid w:val="003727B2"/>
    <w:pPr>
      <w:spacing w:line="240" w:lineRule="auto"/>
    </w:pPr>
    <w:rPr>
      <w:sz w:val="20"/>
      <w:szCs w:val="20"/>
    </w:rPr>
  </w:style>
  <w:style w:type="character" w:customStyle="1" w:styleId="CommentTextChar">
    <w:name w:val="Comment Text Char"/>
    <w:basedOn w:val="DefaultParagraphFont"/>
    <w:link w:val="CommentText"/>
    <w:uiPriority w:val="99"/>
    <w:semiHidden/>
    <w:rsid w:val="003727B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727B2"/>
    <w:rPr>
      <w:b/>
      <w:bCs/>
    </w:rPr>
  </w:style>
  <w:style w:type="character" w:customStyle="1" w:styleId="CommentSubjectChar">
    <w:name w:val="Comment Subject Char"/>
    <w:basedOn w:val="CommentTextChar"/>
    <w:link w:val="CommentSubject"/>
    <w:uiPriority w:val="99"/>
    <w:semiHidden/>
    <w:rsid w:val="003727B2"/>
    <w:rPr>
      <w:rFonts w:ascii="Arial" w:hAnsi="Arial"/>
      <w:b/>
      <w:bCs/>
      <w:sz w:val="20"/>
      <w:szCs w:val="20"/>
    </w:rPr>
  </w:style>
  <w:style w:type="paragraph" w:styleId="Revision">
    <w:name w:val="Revision"/>
    <w:hidden/>
    <w:uiPriority w:val="99"/>
    <w:semiHidden/>
    <w:rsid w:val="00650CEE"/>
    <w:pPr>
      <w:spacing w:after="0" w:line="240" w:lineRule="auto"/>
    </w:pPr>
    <w:rPr>
      <w:rFonts w:ascii="Arial" w:hAnsi="Arial"/>
    </w:rPr>
  </w:style>
  <w:style w:type="character" w:styleId="Emphasis">
    <w:name w:val="Emphasis"/>
    <w:basedOn w:val="DefaultParagraphFont"/>
    <w:qFormat/>
    <w:rsid w:val="00E272A7"/>
    <w:rPr>
      <w:i/>
      <w:iCs/>
    </w:rPr>
  </w:style>
  <w:style w:type="character" w:customStyle="1" w:styleId="ListParagraphChar">
    <w:name w:val="List Paragraph Char"/>
    <w:basedOn w:val="DefaultParagraphFont"/>
    <w:link w:val="ListParagraph"/>
    <w:uiPriority w:val="34"/>
    <w:rsid w:val="009D7A31"/>
    <w:rPr>
      <w:rFonts w:ascii="Arial" w:hAnsi="Arial"/>
    </w:rPr>
  </w:style>
  <w:style w:type="paragraph" w:styleId="NormalWeb">
    <w:name w:val="Normal (Web)"/>
    <w:basedOn w:val="Normal"/>
    <w:rsid w:val="00A6142F"/>
    <w:pPr>
      <w:spacing w:after="0" w:line="240" w:lineRule="auto"/>
    </w:pPr>
    <w:rPr>
      <w:rFonts w:ascii="Times New Roman" w:eastAsia="Times New Roman" w:hAnsi="Times New Roman" w:cs="Times New Roman"/>
      <w:sz w:val="24"/>
      <w:szCs w:val="24"/>
    </w:rPr>
  </w:style>
  <w:style w:type="paragraph" w:customStyle="1" w:styleId="Informal1">
    <w:name w:val="Informal1"/>
    <w:rsid w:val="00F450B0"/>
    <w:pPr>
      <w:spacing w:before="60" w:after="60" w:line="240" w:lineRule="auto"/>
    </w:pPr>
    <w:rPr>
      <w:rFonts w:ascii="Times New Roman" w:eastAsia="Times New Roman" w:hAnsi="Times New Roman" w:cs="Times New Roman"/>
      <w:noProof/>
      <w:sz w:val="20"/>
      <w:szCs w:val="20"/>
    </w:rPr>
  </w:style>
  <w:style w:type="paragraph" w:styleId="BodyText">
    <w:name w:val="Body Text"/>
    <w:basedOn w:val="Normal"/>
    <w:link w:val="BodyTextChar"/>
    <w:uiPriority w:val="99"/>
    <w:semiHidden/>
    <w:unhideWhenUsed/>
    <w:rsid w:val="00451D8F"/>
    <w:pPr>
      <w:spacing w:after="120"/>
    </w:pPr>
  </w:style>
  <w:style w:type="character" w:customStyle="1" w:styleId="BodyTextChar">
    <w:name w:val="Body Text Char"/>
    <w:basedOn w:val="DefaultParagraphFont"/>
    <w:link w:val="BodyText"/>
    <w:uiPriority w:val="99"/>
    <w:semiHidden/>
    <w:rsid w:val="00451D8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9530">
      <w:bodyDiv w:val="1"/>
      <w:marLeft w:val="0"/>
      <w:marRight w:val="0"/>
      <w:marTop w:val="0"/>
      <w:marBottom w:val="0"/>
      <w:divBdr>
        <w:top w:val="none" w:sz="0" w:space="0" w:color="auto"/>
        <w:left w:val="none" w:sz="0" w:space="0" w:color="auto"/>
        <w:bottom w:val="none" w:sz="0" w:space="0" w:color="auto"/>
        <w:right w:val="none" w:sz="0" w:space="0" w:color="auto"/>
      </w:divBdr>
    </w:div>
    <w:div w:id="126093008">
      <w:bodyDiv w:val="1"/>
      <w:marLeft w:val="0"/>
      <w:marRight w:val="0"/>
      <w:marTop w:val="0"/>
      <w:marBottom w:val="0"/>
      <w:divBdr>
        <w:top w:val="none" w:sz="0" w:space="0" w:color="auto"/>
        <w:left w:val="none" w:sz="0" w:space="0" w:color="auto"/>
        <w:bottom w:val="none" w:sz="0" w:space="0" w:color="auto"/>
        <w:right w:val="none" w:sz="0" w:space="0" w:color="auto"/>
      </w:divBdr>
    </w:div>
    <w:div w:id="145635148">
      <w:bodyDiv w:val="1"/>
      <w:marLeft w:val="0"/>
      <w:marRight w:val="0"/>
      <w:marTop w:val="0"/>
      <w:marBottom w:val="0"/>
      <w:divBdr>
        <w:top w:val="none" w:sz="0" w:space="0" w:color="auto"/>
        <w:left w:val="none" w:sz="0" w:space="0" w:color="auto"/>
        <w:bottom w:val="none" w:sz="0" w:space="0" w:color="auto"/>
        <w:right w:val="none" w:sz="0" w:space="0" w:color="auto"/>
      </w:divBdr>
    </w:div>
    <w:div w:id="181356838">
      <w:bodyDiv w:val="1"/>
      <w:marLeft w:val="0"/>
      <w:marRight w:val="0"/>
      <w:marTop w:val="0"/>
      <w:marBottom w:val="0"/>
      <w:divBdr>
        <w:top w:val="none" w:sz="0" w:space="0" w:color="auto"/>
        <w:left w:val="none" w:sz="0" w:space="0" w:color="auto"/>
        <w:bottom w:val="none" w:sz="0" w:space="0" w:color="auto"/>
        <w:right w:val="none" w:sz="0" w:space="0" w:color="auto"/>
      </w:divBdr>
    </w:div>
    <w:div w:id="202180770">
      <w:bodyDiv w:val="1"/>
      <w:marLeft w:val="0"/>
      <w:marRight w:val="0"/>
      <w:marTop w:val="0"/>
      <w:marBottom w:val="0"/>
      <w:divBdr>
        <w:top w:val="none" w:sz="0" w:space="0" w:color="auto"/>
        <w:left w:val="none" w:sz="0" w:space="0" w:color="auto"/>
        <w:bottom w:val="none" w:sz="0" w:space="0" w:color="auto"/>
        <w:right w:val="none" w:sz="0" w:space="0" w:color="auto"/>
      </w:divBdr>
    </w:div>
    <w:div w:id="318508681">
      <w:bodyDiv w:val="1"/>
      <w:marLeft w:val="0"/>
      <w:marRight w:val="0"/>
      <w:marTop w:val="0"/>
      <w:marBottom w:val="0"/>
      <w:divBdr>
        <w:top w:val="none" w:sz="0" w:space="0" w:color="auto"/>
        <w:left w:val="none" w:sz="0" w:space="0" w:color="auto"/>
        <w:bottom w:val="none" w:sz="0" w:space="0" w:color="auto"/>
        <w:right w:val="none" w:sz="0" w:space="0" w:color="auto"/>
      </w:divBdr>
      <w:divsChild>
        <w:div w:id="516774071">
          <w:marLeft w:val="806"/>
          <w:marRight w:val="0"/>
          <w:marTop w:val="200"/>
          <w:marBottom w:val="0"/>
          <w:divBdr>
            <w:top w:val="none" w:sz="0" w:space="0" w:color="auto"/>
            <w:left w:val="none" w:sz="0" w:space="0" w:color="auto"/>
            <w:bottom w:val="none" w:sz="0" w:space="0" w:color="auto"/>
            <w:right w:val="none" w:sz="0" w:space="0" w:color="auto"/>
          </w:divBdr>
        </w:div>
        <w:div w:id="585966664">
          <w:marLeft w:val="806"/>
          <w:marRight w:val="0"/>
          <w:marTop w:val="200"/>
          <w:marBottom w:val="0"/>
          <w:divBdr>
            <w:top w:val="none" w:sz="0" w:space="0" w:color="auto"/>
            <w:left w:val="none" w:sz="0" w:space="0" w:color="auto"/>
            <w:bottom w:val="none" w:sz="0" w:space="0" w:color="auto"/>
            <w:right w:val="none" w:sz="0" w:space="0" w:color="auto"/>
          </w:divBdr>
        </w:div>
        <w:div w:id="1351952410">
          <w:marLeft w:val="806"/>
          <w:marRight w:val="0"/>
          <w:marTop w:val="200"/>
          <w:marBottom w:val="0"/>
          <w:divBdr>
            <w:top w:val="none" w:sz="0" w:space="0" w:color="auto"/>
            <w:left w:val="none" w:sz="0" w:space="0" w:color="auto"/>
            <w:bottom w:val="none" w:sz="0" w:space="0" w:color="auto"/>
            <w:right w:val="none" w:sz="0" w:space="0" w:color="auto"/>
          </w:divBdr>
        </w:div>
      </w:divsChild>
    </w:div>
    <w:div w:id="336352651">
      <w:bodyDiv w:val="1"/>
      <w:marLeft w:val="0"/>
      <w:marRight w:val="0"/>
      <w:marTop w:val="0"/>
      <w:marBottom w:val="0"/>
      <w:divBdr>
        <w:top w:val="none" w:sz="0" w:space="0" w:color="auto"/>
        <w:left w:val="none" w:sz="0" w:space="0" w:color="auto"/>
        <w:bottom w:val="none" w:sz="0" w:space="0" w:color="auto"/>
        <w:right w:val="none" w:sz="0" w:space="0" w:color="auto"/>
      </w:divBdr>
    </w:div>
    <w:div w:id="364067538">
      <w:bodyDiv w:val="1"/>
      <w:marLeft w:val="0"/>
      <w:marRight w:val="0"/>
      <w:marTop w:val="0"/>
      <w:marBottom w:val="0"/>
      <w:divBdr>
        <w:top w:val="none" w:sz="0" w:space="0" w:color="auto"/>
        <w:left w:val="none" w:sz="0" w:space="0" w:color="auto"/>
        <w:bottom w:val="none" w:sz="0" w:space="0" w:color="auto"/>
        <w:right w:val="none" w:sz="0" w:space="0" w:color="auto"/>
      </w:divBdr>
    </w:div>
    <w:div w:id="421879564">
      <w:bodyDiv w:val="1"/>
      <w:marLeft w:val="0"/>
      <w:marRight w:val="0"/>
      <w:marTop w:val="0"/>
      <w:marBottom w:val="0"/>
      <w:divBdr>
        <w:top w:val="none" w:sz="0" w:space="0" w:color="auto"/>
        <w:left w:val="none" w:sz="0" w:space="0" w:color="auto"/>
        <w:bottom w:val="none" w:sz="0" w:space="0" w:color="auto"/>
        <w:right w:val="none" w:sz="0" w:space="0" w:color="auto"/>
      </w:divBdr>
    </w:div>
    <w:div w:id="436222236">
      <w:bodyDiv w:val="1"/>
      <w:marLeft w:val="0"/>
      <w:marRight w:val="0"/>
      <w:marTop w:val="0"/>
      <w:marBottom w:val="0"/>
      <w:divBdr>
        <w:top w:val="none" w:sz="0" w:space="0" w:color="auto"/>
        <w:left w:val="none" w:sz="0" w:space="0" w:color="auto"/>
        <w:bottom w:val="none" w:sz="0" w:space="0" w:color="auto"/>
        <w:right w:val="none" w:sz="0" w:space="0" w:color="auto"/>
      </w:divBdr>
    </w:div>
    <w:div w:id="452138676">
      <w:bodyDiv w:val="1"/>
      <w:marLeft w:val="0"/>
      <w:marRight w:val="0"/>
      <w:marTop w:val="0"/>
      <w:marBottom w:val="0"/>
      <w:divBdr>
        <w:top w:val="none" w:sz="0" w:space="0" w:color="auto"/>
        <w:left w:val="none" w:sz="0" w:space="0" w:color="auto"/>
        <w:bottom w:val="none" w:sz="0" w:space="0" w:color="auto"/>
        <w:right w:val="none" w:sz="0" w:space="0" w:color="auto"/>
      </w:divBdr>
    </w:div>
    <w:div w:id="454368882">
      <w:bodyDiv w:val="1"/>
      <w:marLeft w:val="0"/>
      <w:marRight w:val="0"/>
      <w:marTop w:val="0"/>
      <w:marBottom w:val="0"/>
      <w:divBdr>
        <w:top w:val="none" w:sz="0" w:space="0" w:color="auto"/>
        <w:left w:val="none" w:sz="0" w:space="0" w:color="auto"/>
        <w:bottom w:val="none" w:sz="0" w:space="0" w:color="auto"/>
        <w:right w:val="none" w:sz="0" w:space="0" w:color="auto"/>
      </w:divBdr>
    </w:div>
    <w:div w:id="457334682">
      <w:bodyDiv w:val="1"/>
      <w:marLeft w:val="0"/>
      <w:marRight w:val="0"/>
      <w:marTop w:val="0"/>
      <w:marBottom w:val="0"/>
      <w:divBdr>
        <w:top w:val="none" w:sz="0" w:space="0" w:color="auto"/>
        <w:left w:val="none" w:sz="0" w:space="0" w:color="auto"/>
        <w:bottom w:val="none" w:sz="0" w:space="0" w:color="auto"/>
        <w:right w:val="none" w:sz="0" w:space="0" w:color="auto"/>
      </w:divBdr>
    </w:div>
    <w:div w:id="462775975">
      <w:bodyDiv w:val="1"/>
      <w:marLeft w:val="0"/>
      <w:marRight w:val="0"/>
      <w:marTop w:val="0"/>
      <w:marBottom w:val="0"/>
      <w:divBdr>
        <w:top w:val="none" w:sz="0" w:space="0" w:color="auto"/>
        <w:left w:val="none" w:sz="0" w:space="0" w:color="auto"/>
        <w:bottom w:val="none" w:sz="0" w:space="0" w:color="auto"/>
        <w:right w:val="none" w:sz="0" w:space="0" w:color="auto"/>
      </w:divBdr>
    </w:div>
    <w:div w:id="497502687">
      <w:bodyDiv w:val="1"/>
      <w:marLeft w:val="0"/>
      <w:marRight w:val="0"/>
      <w:marTop w:val="0"/>
      <w:marBottom w:val="0"/>
      <w:divBdr>
        <w:top w:val="none" w:sz="0" w:space="0" w:color="auto"/>
        <w:left w:val="none" w:sz="0" w:space="0" w:color="auto"/>
        <w:bottom w:val="none" w:sz="0" w:space="0" w:color="auto"/>
        <w:right w:val="none" w:sz="0" w:space="0" w:color="auto"/>
      </w:divBdr>
    </w:div>
    <w:div w:id="513959723">
      <w:bodyDiv w:val="1"/>
      <w:marLeft w:val="0"/>
      <w:marRight w:val="0"/>
      <w:marTop w:val="0"/>
      <w:marBottom w:val="0"/>
      <w:divBdr>
        <w:top w:val="none" w:sz="0" w:space="0" w:color="auto"/>
        <w:left w:val="none" w:sz="0" w:space="0" w:color="auto"/>
        <w:bottom w:val="none" w:sz="0" w:space="0" w:color="auto"/>
        <w:right w:val="none" w:sz="0" w:space="0" w:color="auto"/>
      </w:divBdr>
    </w:div>
    <w:div w:id="544413532">
      <w:bodyDiv w:val="1"/>
      <w:marLeft w:val="0"/>
      <w:marRight w:val="0"/>
      <w:marTop w:val="0"/>
      <w:marBottom w:val="0"/>
      <w:divBdr>
        <w:top w:val="none" w:sz="0" w:space="0" w:color="auto"/>
        <w:left w:val="none" w:sz="0" w:space="0" w:color="auto"/>
        <w:bottom w:val="none" w:sz="0" w:space="0" w:color="auto"/>
        <w:right w:val="none" w:sz="0" w:space="0" w:color="auto"/>
      </w:divBdr>
    </w:div>
    <w:div w:id="576549729">
      <w:bodyDiv w:val="1"/>
      <w:marLeft w:val="0"/>
      <w:marRight w:val="0"/>
      <w:marTop w:val="0"/>
      <w:marBottom w:val="0"/>
      <w:divBdr>
        <w:top w:val="none" w:sz="0" w:space="0" w:color="auto"/>
        <w:left w:val="none" w:sz="0" w:space="0" w:color="auto"/>
        <w:bottom w:val="none" w:sz="0" w:space="0" w:color="auto"/>
        <w:right w:val="none" w:sz="0" w:space="0" w:color="auto"/>
      </w:divBdr>
    </w:div>
    <w:div w:id="633684117">
      <w:bodyDiv w:val="1"/>
      <w:marLeft w:val="0"/>
      <w:marRight w:val="0"/>
      <w:marTop w:val="0"/>
      <w:marBottom w:val="0"/>
      <w:divBdr>
        <w:top w:val="none" w:sz="0" w:space="0" w:color="auto"/>
        <w:left w:val="none" w:sz="0" w:space="0" w:color="auto"/>
        <w:bottom w:val="none" w:sz="0" w:space="0" w:color="auto"/>
        <w:right w:val="none" w:sz="0" w:space="0" w:color="auto"/>
      </w:divBdr>
    </w:div>
    <w:div w:id="735904608">
      <w:bodyDiv w:val="1"/>
      <w:marLeft w:val="0"/>
      <w:marRight w:val="0"/>
      <w:marTop w:val="0"/>
      <w:marBottom w:val="0"/>
      <w:divBdr>
        <w:top w:val="none" w:sz="0" w:space="0" w:color="auto"/>
        <w:left w:val="none" w:sz="0" w:space="0" w:color="auto"/>
        <w:bottom w:val="none" w:sz="0" w:space="0" w:color="auto"/>
        <w:right w:val="none" w:sz="0" w:space="0" w:color="auto"/>
      </w:divBdr>
    </w:div>
    <w:div w:id="765463837">
      <w:bodyDiv w:val="1"/>
      <w:marLeft w:val="0"/>
      <w:marRight w:val="0"/>
      <w:marTop w:val="0"/>
      <w:marBottom w:val="0"/>
      <w:divBdr>
        <w:top w:val="none" w:sz="0" w:space="0" w:color="auto"/>
        <w:left w:val="none" w:sz="0" w:space="0" w:color="auto"/>
        <w:bottom w:val="none" w:sz="0" w:space="0" w:color="auto"/>
        <w:right w:val="none" w:sz="0" w:space="0" w:color="auto"/>
      </w:divBdr>
    </w:div>
    <w:div w:id="804618236">
      <w:bodyDiv w:val="1"/>
      <w:marLeft w:val="0"/>
      <w:marRight w:val="0"/>
      <w:marTop w:val="0"/>
      <w:marBottom w:val="0"/>
      <w:divBdr>
        <w:top w:val="none" w:sz="0" w:space="0" w:color="auto"/>
        <w:left w:val="none" w:sz="0" w:space="0" w:color="auto"/>
        <w:bottom w:val="none" w:sz="0" w:space="0" w:color="auto"/>
        <w:right w:val="none" w:sz="0" w:space="0" w:color="auto"/>
      </w:divBdr>
    </w:div>
    <w:div w:id="855845971">
      <w:bodyDiv w:val="1"/>
      <w:marLeft w:val="0"/>
      <w:marRight w:val="0"/>
      <w:marTop w:val="0"/>
      <w:marBottom w:val="0"/>
      <w:divBdr>
        <w:top w:val="none" w:sz="0" w:space="0" w:color="auto"/>
        <w:left w:val="none" w:sz="0" w:space="0" w:color="auto"/>
        <w:bottom w:val="none" w:sz="0" w:space="0" w:color="auto"/>
        <w:right w:val="none" w:sz="0" w:space="0" w:color="auto"/>
      </w:divBdr>
    </w:div>
    <w:div w:id="873346974">
      <w:bodyDiv w:val="1"/>
      <w:marLeft w:val="0"/>
      <w:marRight w:val="0"/>
      <w:marTop w:val="0"/>
      <w:marBottom w:val="0"/>
      <w:divBdr>
        <w:top w:val="none" w:sz="0" w:space="0" w:color="auto"/>
        <w:left w:val="none" w:sz="0" w:space="0" w:color="auto"/>
        <w:bottom w:val="none" w:sz="0" w:space="0" w:color="auto"/>
        <w:right w:val="none" w:sz="0" w:space="0" w:color="auto"/>
      </w:divBdr>
    </w:div>
    <w:div w:id="878400489">
      <w:bodyDiv w:val="1"/>
      <w:marLeft w:val="0"/>
      <w:marRight w:val="0"/>
      <w:marTop w:val="0"/>
      <w:marBottom w:val="0"/>
      <w:divBdr>
        <w:top w:val="none" w:sz="0" w:space="0" w:color="auto"/>
        <w:left w:val="none" w:sz="0" w:space="0" w:color="auto"/>
        <w:bottom w:val="none" w:sz="0" w:space="0" w:color="auto"/>
        <w:right w:val="none" w:sz="0" w:space="0" w:color="auto"/>
      </w:divBdr>
    </w:div>
    <w:div w:id="917249836">
      <w:bodyDiv w:val="1"/>
      <w:marLeft w:val="0"/>
      <w:marRight w:val="0"/>
      <w:marTop w:val="0"/>
      <w:marBottom w:val="0"/>
      <w:divBdr>
        <w:top w:val="none" w:sz="0" w:space="0" w:color="auto"/>
        <w:left w:val="none" w:sz="0" w:space="0" w:color="auto"/>
        <w:bottom w:val="none" w:sz="0" w:space="0" w:color="auto"/>
        <w:right w:val="none" w:sz="0" w:space="0" w:color="auto"/>
      </w:divBdr>
    </w:div>
    <w:div w:id="976105640">
      <w:bodyDiv w:val="1"/>
      <w:marLeft w:val="0"/>
      <w:marRight w:val="0"/>
      <w:marTop w:val="0"/>
      <w:marBottom w:val="0"/>
      <w:divBdr>
        <w:top w:val="none" w:sz="0" w:space="0" w:color="auto"/>
        <w:left w:val="none" w:sz="0" w:space="0" w:color="auto"/>
        <w:bottom w:val="none" w:sz="0" w:space="0" w:color="auto"/>
        <w:right w:val="none" w:sz="0" w:space="0" w:color="auto"/>
      </w:divBdr>
    </w:div>
    <w:div w:id="1022972845">
      <w:bodyDiv w:val="1"/>
      <w:marLeft w:val="0"/>
      <w:marRight w:val="0"/>
      <w:marTop w:val="0"/>
      <w:marBottom w:val="0"/>
      <w:divBdr>
        <w:top w:val="none" w:sz="0" w:space="0" w:color="auto"/>
        <w:left w:val="none" w:sz="0" w:space="0" w:color="auto"/>
        <w:bottom w:val="none" w:sz="0" w:space="0" w:color="auto"/>
        <w:right w:val="none" w:sz="0" w:space="0" w:color="auto"/>
      </w:divBdr>
    </w:div>
    <w:div w:id="1028682478">
      <w:bodyDiv w:val="1"/>
      <w:marLeft w:val="0"/>
      <w:marRight w:val="0"/>
      <w:marTop w:val="0"/>
      <w:marBottom w:val="0"/>
      <w:divBdr>
        <w:top w:val="none" w:sz="0" w:space="0" w:color="auto"/>
        <w:left w:val="none" w:sz="0" w:space="0" w:color="auto"/>
        <w:bottom w:val="none" w:sz="0" w:space="0" w:color="auto"/>
        <w:right w:val="none" w:sz="0" w:space="0" w:color="auto"/>
      </w:divBdr>
    </w:div>
    <w:div w:id="1041319309">
      <w:bodyDiv w:val="1"/>
      <w:marLeft w:val="0"/>
      <w:marRight w:val="0"/>
      <w:marTop w:val="0"/>
      <w:marBottom w:val="0"/>
      <w:divBdr>
        <w:top w:val="none" w:sz="0" w:space="0" w:color="auto"/>
        <w:left w:val="none" w:sz="0" w:space="0" w:color="auto"/>
        <w:bottom w:val="none" w:sz="0" w:space="0" w:color="auto"/>
        <w:right w:val="none" w:sz="0" w:space="0" w:color="auto"/>
      </w:divBdr>
    </w:div>
    <w:div w:id="1129326525">
      <w:bodyDiv w:val="1"/>
      <w:marLeft w:val="0"/>
      <w:marRight w:val="0"/>
      <w:marTop w:val="0"/>
      <w:marBottom w:val="0"/>
      <w:divBdr>
        <w:top w:val="none" w:sz="0" w:space="0" w:color="auto"/>
        <w:left w:val="none" w:sz="0" w:space="0" w:color="auto"/>
        <w:bottom w:val="none" w:sz="0" w:space="0" w:color="auto"/>
        <w:right w:val="none" w:sz="0" w:space="0" w:color="auto"/>
      </w:divBdr>
    </w:div>
    <w:div w:id="1167136230">
      <w:bodyDiv w:val="1"/>
      <w:marLeft w:val="0"/>
      <w:marRight w:val="0"/>
      <w:marTop w:val="0"/>
      <w:marBottom w:val="0"/>
      <w:divBdr>
        <w:top w:val="none" w:sz="0" w:space="0" w:color="auto"/>
        <w:left w:val="none" w:sz="0" w:space="0" w:color="auto"/>
        <w:bottom w:val="none" w:sz="0" w:space="0" w:color="auto"/>
        <w:right w:val="none" w:sz="0" w:space="0" w:color="auto"/>
      </w:divBdr>
    </w:div>
    <w:div w:id="1222132004">
      <w:bodyDiv w:val="1"/>
      <w:marLeft w:val="0"/>
      <w:marRight w:val="0"/>
      <w:marTop w:val="0"/>
      <w:marBottom w:val="0"/>
      <w:divBdr>
        <w:top w:val="none" w:sz="0" w:space="0" w:color="auto"/>
        <w:left w:val="none" w:sz="0" w:space="0" w:color="auto"/>
        <w:bottom w:val="none" w:sz="0" w:space="0" w:color="auto"/>
        <w:right w:val="none" w:sz="0" w:space="0" w:color="auto"/>
      </w:divBdr>
    </w:div>
    <w:div w:id="1283880121">
      <w:bodyDiv w:val="1"/>
      <w:marLeft w:val="0"/>
      <w:marRight w:val="0"/>
      <w:marTop w:val="0"/>
      <w:marBottom w:val="0"/>
      <w:divBdr>
        <w:top w:val="none" w:sz="0" w:space="0" w:color="auto"/>
        <w:left w:val="none" w:sz="0" w:space="0" w:color="auto"/>
        <w:bottom w:val="none" w:sz="0" w:space="0" w:color="auto"/>
        <w:right w:val="none" w:sz="0" w:space="0" w:color="auto"/>
      </w:divBdr>
    </w:div>
    <w:div w:id="1355571800">
      <w:bodyDiv w:val="1"/>
      <w:marLeft w:val="0"/>
      <w:marRight w:val="0"/>
      <w:marTop w:val="0"/>
      <w:marBottom w:val="0"/>
      <w:divBdr>
        <w:top w:val="none" w:sz="0" w:space="0" w:color="auto"/>
        <w:left w:val="none" w:sz="0" w:space="0" w:color="auto"/>
        <w:bottom w:val="none" w:sz="0" w:space="0" w:color="auto"/>
        <w:right w:val="none" w:sz="0" w:space="0" w:color="auto"/>
      </w:divBdr>
    </w:div>
    <w:div w:id="1369640522">
      <w:bodyDiv w:val="1"/>
      <w:marLeft w:val="0"/>
      <w:marRight w:val="0"/>
      <w:marTop w:val="0"/>
      <w:marBottom w:val="0"/>
      <w:divBdr>
        <w:top w:val="none" w:sz="0" w:space="0" w:color="auto"/>
        <w:left w:val="none" w:sz="0" w:space="0" w:color="auto"/>
        <w:bottom w:val="none" w:sz="0" w:space="0" w:color="auto"/>
        <w:right w:val="none" w:sz="0" w:space="0" w:color="auto"/>
      </w:divBdr>
    </w:div>
    <w:div w:id="1385258119">
      <w:bodyDiv w:val="1"/>
      <w:marLeft w:val="0"/>
      <w:marRight w:val="0"/>
      <w:marTop w:val="0"/>
      <w:marBottom w:val="0"/>
      <w:divBdr>
        <w:top w:val="none" w:sz="0" w:space="0" w:color="auto"/>
        <w:left w:val="none" w:sz="0" w:space="0" w:color="auto"/>
        <w:bottom w:val="none" w:sz="0" w:space="0" w:color="auto"/>
        <w:right w:val="none" w:sz="0" w:space="0" w:color="auto"/>
      </w:divBdr>
    </w:div>
    <w:div w:id="1403064261">
      <w:bodyDiv w:val="1"/>
      <w:marLeft w:val="0"/>
      <w:marRight w:val="0"/>
      <w:marTop w:val="0"/>
      <w:marBottom w:val="0"/>
      <w:divBdr>
        <w:top w:val="none" w:sz="0" w:space="0" w:color="auto"/>
        <w:left w:val="none" w:sz="0" w:space="0" w:color="auto"/>
        <w:bottom w:val="none" w:sz="0" w:space="0" w:color="auto"/>
        <w:right w:val="none" w:sz="0" w:space="0" w:color="auto"/>
      </w:divBdr>
    </w:div>
    <w:div w:id="1406877827">
      <w:bodyDiv w:val="1"/>
      <w:marLeft w:val="0"/>
      <w:marRight w:val="0"/>
      <w:marTop w:val="0"/>
      <w:marBottom w:val="0"/>
      <w:divBdr>
        <w:top w:val="none" w:sz="0" w:space="0" w:color="auto"/>
        <w:left w:val="none" w:sz="0" w:space="0" w:color="auto"/>
        <w:bottom w:val="none" w:sz="0" w:space="0" w:color="auto"/>
        <w:right w:val="none" w:sz="0" w:space="0" w:color="auto"/>
      </w:divBdr>
    </w:div>
    <w:div w:id="1476602708">
      <w:bodyDiv w:val="1"/>
      <w:marLeft w:val="0"/>
      <w:marRight w:val="0"/>
      <w:marTop w:val="0"/>
      <w:marBottom w:val="0"/>
      <w:divBdr>
        <w:top w:val="none" w:sz="0" w:space="0" w:color="auto"/>
        <w:left w:val="none" w:sz="0" w:space="0" w:color="auto"/>
        <w:bottom w:val="none" w:sz="0" w:space="0" w:color="auto"/>
        <w:right w:val="none" w:sz="0" w:space="0" w:color="auto"/>
      </w:divBdr>
    </w:div>
    <w:div w:id="1536384040">
      <w:bodyDiv w:val="1"/>
      <w:marLeft w:val="0"/>
      <w:marRight w:val="0"/>
      <w:marTop w:val="0"/>
      <w:marBottom w:val="0"/>
      <w:divBdr>
        <w:top w:val="none" w:sz="0" w:space="0" w:color="auto"/>
        <w:left w:val="none" w:sz="0" w:space="0" w:color="auto"/>
        <w:bottom w:val="none" w:sz="0" w:space="0" w:color="auto"/>
        <w:right w:val="none" w:sz="0" w:space="0" w:color="auto"/>
      </w:divBdr>
    </w:div>
    <w:div w:id="1567953578">
      <w:bodyDiv w:val="1"/>
      <w:marLeft w:val="0"/>
      <w:marRight w:val="0"/>
      <w:marTop w:val="0"/>
      <w:marBottom w:val="0"/>
      <w:divBdr>
        <w:top w:val="none" w:sz="0" w:space="0" w:color="auto"/>
        <w:left w:val="none" w:sz="0" w:space="0" w:color="auto"/>
        <w:bottom w:val="none" w:sz="0" w:space="0" w:color="auto"/>
        <w:right w:val="none" w:sz="0" w:space="0" w:color="auto"/>
      </w:divBdr>
    </w:div>
    <w:div w:id="1748334801">
      <w:bodyDiv w:val="1"/>
      <w:marLeft w:val="0"/>
      <w:marRight w:val="0"/>
      <w:marTop w:val="0"/>
      <w:marBottom w:val="0"/>
      <w:divBdr>
        <w:top w:val="none" w:sz="0" w:space="0" w:color="auto"/>
        <w:left w:val="none" w:sz="0" w:space="0" w:color="auto"/>
        <w:bottom w:val="none" w:sz="0" w:space="0" w:color="auto"/>
        <w:right w:val="none" w:sz="0" w:space="0" w:color="auto"/>
      </w:divBdr>
    </w:div>
    <w:div w:id="1811940184">
      <w:bodyDiv w:val="1"/>
      <w:marLeft w:val="0"/>
      <w:marRight w:val="0"/>
      <w:marTop w:val="0"/>
      <w:marBottom w:val="0"/>
      <w:divBdr>
        <w:top w:val="none" w:sz="0" w:space="0" w:color="auto"/>
        <w:left w:val="none" w:sz="0" w:space="0" w:color="auto"/>
        <w:bottom w:val="none" w:sz="0" w:space="0" w:color="auto"/>
        <w:right w:val="none" w:sz="0" w:space="0" w:color="auto"/>
      </w:divBdr>
    </w:div>
    <w:div w:id="1890531552">
      <w:bodyDiv w:val="1"/>
      <w:marLeft w:val="0"/>
      <w:marRight w:val="0"/>
      <w:marTop w:val="0"/>
      <w:marBottom w:val="0"/>
      <w:divBdr>
        <w:top w:val="none" w:sz="0" w:space="0" w:color="auto"/>
        <w:left w:val="none" w:sz="0" w:space="0" w:color="auto"/>
        <w:bottom w:val="none" w:sz="0" w:space="0" w:color="auto"/>
        <w:right w:val="none" w:sz="0" w:space="0" w:color="auto"/>
      </w:divBdr>
    </w:div>
    <w:div w:id="1894270685">
      <w:bodyDiv w:val="1"/>
      <w:marLeft w:val="0"/>
      <w:marRight w:val="0"/>
      <w:marTop w:val="0"/>
      <w:marBottom w:val="0"/>
      <w:divBdr>
        <w:top w:val="none" w:sz="0" w:space="0" w:color="auto"/>
        <w:left w:val="none" w:sz="0" w:space="0" w:color="auto"/>
        <w:bottom w:val="none" w:sz="0" w:space="0" w:color="auto"/>
        <w:right w:val="none" w:sz="0" w:space="0" w:color="auto"/>
      </w:divBdr>
    </w:div>
    <w:div w:id="1894416165">
      <w:bodyDiv w:val="1"/>
      <w:marLeft w:val="0"/>
      <w:marRight w:val="0"/>
      <w:marTop w:val="0"/>
      <w:marBottom w:val="0"/>
      <w:divBdr>
        <w:top w:val="none" w:sz="0" w:space="0" w:color="auto"/>
        <w:left w:val="none" w:sz="0" w:space="0" w:color="auto"/>
        <w:bottom w:val="none" w:sz="0" w:space="0" w:color="auto"/>
        <w:right w:val="none" w:sz="0" w:space="0" w:color="auto"/>
      </w:divBdr>
    </w:div>
    <w:div w:id="1903522244">
      <w:bodyDiv w:val="1"/>
      <w:marLeft w:val="0"/>
      <w:marRight w:val="0"/>
      <w:marTop w:val="0"/>
      <w:marBottom w:val="0"/>
      <w:divBdr>
        <w:top w:val="none" w:sz="0" w:space="0" w:color="auto"/>
        <w:left w:val="none" w:sz="0" w:space="0" w:color="auto"/>
        <w:bottom w:val="none" w:sz="0" w:space="0" w:color="auto"/>
        <w:right w:val="none" w:sz="0" w:space="0" w:color="auto"/>
      </w:divBdr>
    </w:div>
    <w:div w:id="1904638810">
      <w:bodyDiv w:val="1"/>
      <w:marLeft w:val="0"/>
      <w:marRight w:val="0"/>
      <w:marTop w:val="0"/>
      <w:marBottom w:val="0"/>
      <w:divBdr>
        <w:top w:val="none" w:sz="0" w:space="0" w:color="auto"/>
        <w:left w:val="none" w:sz="0" w:space="0" w:color="auto"/>
        <w:bottom w:val="none" w:sz="0" w:space="0" w:color="auto"/>
        <w:right w:val="none" w:sz="0" w:space="0" w:color="auto"/>
      </w:divBdr>
    </w:div>
    <w:div w:id="1988628350">
      <w:bodyDiv w:val="1"/>
      <w:marLeft w:val="0"/>
      <w:marRight w:val="0"/>
      <w:marTop w:val="0"/>
      <w:marBottom w:val="0"/>
      <w:divBdr>
        <w:top w:val="none" w:sz="0" w:space="0" w:color="auto"/>
        <w:left w:val="none" w:sz="0" w:space="0" w:color="auto"/>
        <w:bottom w:val="none" w:sz="0" w:space="0" w:color="auto"/>
        <w:right w:val="none" w:sz="0" w:space="0" w:color="auto"/>
      </w:divBdr>
    </w:div>
    <w:div w:id="2000841654">
      <w:bodyDiv w:val="1"/>
      <w:marLeft w:val="0"/>
      <w:marRight w:val="0"/>
      <w:marTop w:val="0"/>
      <w:marBottom w:val="0"/>
      <w:divBdr>
        <w:top w:val="none" w:sz="0" w:space="0" w:color="auto"/>
        <w:left w:val="none" w:sz="0" w:space="0" w:color="auto"/>
        <w:bottom w:val="none" w:sz="0" w:space="0" w:color="auto"/>
        <w:right w:val="none" w:sz="0" w:space="0" w:color="auto"/>
      </w:divBdr>
    </w:div>
    <w:div w:id="2027906890">
      <w:bodyDiv w:val="1"/>
      <w:marLeft w:val="0"/>
      <w:marRight w:val="0"/>
      <w:marTop w:val="0"/>
      <w:marBottom w:val="0"/>
      <w:divBdr>
        <w:top w:val="none" w:sz="0" w:space="0" w:color="auto"/>
        <w:left w:val="none" w:sz="0" w:space="0" w:color="auto"/>
        <w:bottom w:val="none" w:sz="0" w:space="0" w:color="auto"/>
        <w:right w:val="none" w:sz="0" w:space="0" w:color="auto"/>
      </w:divBdr>
    </w:div>
    <w:div w:id="2038382083">
      <w:bodyDiv w:val="1"/>
      <w:marLeft w:val="0"/>
      <w:marRight w:val="0"/>
      <w:marTop w:val="0"/>
      <w:marBottom w:val="0"/>
      <w:divBdr>
        <w:top w:val="none" w:sz="0" w:space="0" w:color="auto"/>
        <w:left w:val="none" w:sz="0" w:space="0" w:color="auto"/>
        <w:bottom w:val="none" w:sz="0" w:space="0" w:color="auto"/>
        <w:right w:val="none" w:sz="0" w:space="0" w:color="auto"/>
      </w:divBdr>
    </w:div>
    <w:div w:id="2045669569">
      <w:bodyDiv w:val="1"/>
      <w:marLeft w:val="0"/>
      <w:marRight w:val="0"/>
      <w:marTop w:val="0"/>
      <w:marBottom w:val="0"/>
      <w:divBdr>
        <w:top w:val="none" w:sz="0" w:space="0" w:color="auto"/>
        <w:left w:val="none" w:sz="0" w:space="0" w:color="auto"/>
        <w:bottom w:val="none" w:sz="0" w:space="0" w:color="auto"/>
        <w:right w:val="none" w:sz="0" w:space="0" w:color="auto"/>
      </w:divBdr>
    </w:div>
    <w:div w:id="2053268206">
      <w:bodyDiv w:val="1"/>
      <w:marLeft w:val="0"/>
      <w:marRight w:val="0"/>
      <w:marTop w:val="0"/>
      <w:marBottom w:val="0"/>
      <w:divBdr>
        <w:top w:val="none" w:sz="0" w:space="0" w:color="auto"/>
        <w:left w:val="none" w:sz="0" w:space="0" w:color="auto"/>
        <w:bottom w:val="none" w:sz="0" w:space="0" w:color="auto"/>
        <w:right w:val="none" w:sz="0" w:space="0" w:color="auto"/>
      </w:divBdr>
    </w:div>
    <w:div w:id="2083140219">
      <w:bodyDiv w:val="1"/>
      <w:marLeft w:val="0"/>
      <w:marRight w:val="0"/>
      <w:marTop w:val="0"/>
      <w:marBottom w:val="0"/>
      <w:divBdr>
        <w:top w:val="none" w:sz="0" w:space="0" w:color="auto"/>
        <w:left w:val="none" w:sz="0" w:space="0" w:color="auto"/>
        <w:bottom w:val="none" w:sz="0" w:space="0" w:color="auto"/>
        <w:right w:val="none" w:sz="0" w:space="0" w:color="auto"/>
      </w:divBdr>
    </w:div>
    <w:div w:id="2090737006">
      <w:bodyDiv w:val="1"/>
      <w:marLeft w:val="0"/>
      <w:marRight w:val="0"/>
      <w:marTop w:val="0"/>
      <w:marBottom w:val="0"/>
      <w:divBdr>
        <w:top w:val="none" w:sz="0" w:space="0" w:color="auto"/>
        <w:left w:val="none" w:sz="0" w:space="0" w:color="auto"/>
        <w:bottom w:val="none" w:sz="0" w:space="0" w:color="auto"/>
        <w:right w:val="none" w:sz="0" w:space="0" w:color="auto"/>
      </w:divBdr>
    </w:div>
    <w:div w:id="2097824058">
      <w:bodyDiv w:val="1"/>
      <w:marLeft w:val="0"/>
      <w:marRight w:val="0"/>
      <w:marTop w:val="0"/>
      <w:marBottom w:val="0"/>
      <w:divBdr>
        <w:top w:val="none" w:sz="0" w:space="0" w:color="auto"/>
        <w:left w:val="none" w:sz="0" w:space="0" w:color="auto"/>
        <w:bottom w:val="none" w:sz="0" w:space="0" w:color="auto"/>
        <w:right w:val="none" w:sz="0" w:space="0" w:color="auto"/>
      </w:divBdr>
    </w:div>
    <w:div w:id="2103528788">
      <w:bodyDiv w:val="1"/>
      <w:marLeft w:val="0"/>
      <w:marRight w:val="0"/>
      <w:marTop w:val="0"/>
      <w:marBottom w:val="0"/>
      <w:divBdr>
        <w:top w:val="none" w:sz="0" w:space="0" w:color="auto"/>
        <w:left w:val="none" w:sz="0" w:space="0" w:color="auto"/>
        <w:bottom w:val="none" w:sz="0" w:space="0" w:color="auto"/>
        <w:right w:val="none" w:sz="0" w:space="0" w:color="auto"/>
      </w:divBdr>
    </w:div>
    <w:div w:id="2105373432">
      <w:bodyDiv w:val="1"/>
      <w:marLeft w:val="0"/>
      <w:marRight w:val="0"/>
      <w:marTop w:val="0"/>
      <w:marBottom w:val="0"/>
      <w:divBdr>
        <w:top w:val="none" w:sz="0" w:space="0" w:color="auto"/>
        <w:left w:val="none" w:sz="0" w:space="0" w:color="auto"/>
        <w:bottom w:val="none" w:sz="0" w:space="0" w:color="auto"/>
        <w:right w:val="none" w:sz="0" w:space="0" w:color="auto"/>
      </w:divBdr>
    </w:div>
    <w:div w:id="2114129440">
      <w:bodyDiv w:val="1"/>
      <w:marLeft w:val="0"/>
      <w:marRight w:val="0"/>
      <w:marTop w:val="0"/>
      <w:marBottom w:val="0"/>
      <w:divBdr>
        <w:top w:val="none" w:sz="0" w:space="0" w:color="auto"/>
        <w:left w:val="none" w:sz="0" w:space="0" w:color="auto"/>
        <w:bottom w:val="none" w:sz="0" w:space="0" w:color="auto"/>
        <w:right w:val="none" w:sz="0" w:space="0" w:color="auto"/>
      </w:divBdr>
    </w:div>
    <w:div w:id="212607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2A50A-CCFD-4F72-ADB8-C5E43F87F21C}">
  <ds:schemaRefs>
    <ds:schemaRef ds:uri="http://schemas.openxmlformats.org/officeDocument/2006/bibliography"/>
  </ds:schemaRefs>
</ds:datastoreItem>
</file>

<file path=customXml/itemProps2.xml><?xml version="1.0" encoding="utf-8"?>
<ds:datastoreItem xmlns:ds="http://schemas.openxmlformats.org/officeDocument/2006/customXml" ds:itemID="{BC3E563F-804D-4362-815B-54C74AA36AED}"/>
</file>

<file path=customXml/itemProps3.xml><?xml version="1.0" encoding="utf-8"?>
<ds:datastoreItem xmlns:ds="http://schemas.openxmlformats.org/officeDocument/2006/customXml" ds:itemID="{BB94EE23-32B4-4E70-9C96-DB1FBF0F6CAE}"/>
</file>

<file path=customXml/itemProps4.xml><?xml version="1.0" encoding="utf-8"?>
<ds:datastoreItem xmlns:ds="http://schemas.openxmlformats.org/officeDocument/2006/customXml" ds:itemID="{A06C4B1F-B5C7-4301-BCD7-8397F556408D}"/>
</file>

<file path=docProps/app.xml><?xml version="1.0" encoding="utf-8"?>
<Properties xmlns="http://schemas.openxmlformats.org/officeDocument/2006/extended-properties" xmlns:vt="http://schemas.openxmlformats.org/officeDocument/2006/docPropsVTypes">
  <Template>Normal.dotm</Template>
  <TotalTime>41</TotalTime>
  <Pages>5</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C-IV Project</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Johnson</dc:creator>
  <cp:lastModifiedBy>Jennifer A. Smith</cp:lastModifiedBy>
  <cp:revision>10</cp:revision>
  <cp:lastPrinted>2017-07-21T18:26:00Z</cp:lastPrinted>
  <dcterms:created xsi:type="dcterms:W3CDTF">2018-03-19T08:49:00Z</dcterms:created>
  <dcterms:modified xsi:type="dcterms:W3CDTF">2018-03-19T18:38:00Z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