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09A8" w:rsidRPr="00853334" w:rsidRDefault="004A09A8" w:rsidP="00853334">
      <w:pPr>
        <w:pStyle w:val="ABLOCKPARA"/>
        <w:jc w:val="right"/>
        <w:rPr>
          <w:b/>
          <w:sz w:val="24"/>
          <w:szCs w:val="24"/>
          <w:u w:val="single"/>
        </w:rPr>
      </w:pPr>
      <w:bookmarkStart w:id="0" w:name="_GoBack"/>
      <w:bookmarkEnd w:id="0"/>
      <w:r w:rsidRPr="005C7CBF">
        <w:rPr>
          <w:b/>
          <w:sz w:val="24"/>
          <w:szCs w:val="24"/>
          <w:u w:val="single"/>
        </w:rPr>
        <w:t xml:space="preserve">Attachment </w:t>
      </w:r>
      <w:r w:rsidR="00DF1651">
        <w:rPr>
          <w:b/>
          <w:sz w:val="24"/>
          <w:szCs w:val="24"/>
          <w:u w:val="single"/>
        </w:rPr>
        <w:t>57</w:t>
      </w:r>
    </w:p>
    <w:p w:rsidR="004A09A8" w:rsidRDefault="004A09A8">
      <w:pPr>
        <w:pStyle w:val="ABLOCKPARA"/>
        <w:rPr>
          <w:b/>
          <w:sz w:val="40"/>
        </w:rPr>
      </w:pPr>
    </w:p>
    <w:p w:rsidR="004A09A8" w:rsidRDefault="004A09A8">
      <w:pPr>
        <w:pStyle w:val="ABLOCKPARA"/>
        <w:rPr>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CC1D91" w:rsidRPr="00E3574B" w:rsidTr="002D63B5">
        <w:trPr>
          <w:trHeight w:val="1850"/>
        </w:trPr>
        <w:tc>
          <w:tcPr>
            <w:tcW w:w="9576" w:type="dxa"/>
            <w:vAlign w:val="bottom"/>
          </w:tcPr>
          <w:p w:rsidR="00CC1D91" w:rsidRPr="00E3574B" w:rsidRDefault="00CC1D91" w:rsidP="002D63B5">
            <w:pPr>
              <w:spacing w:line="276" w:lineRule="auto"/>
              <w:jc w:val="center"/>
              <w:rPr>
                <w:rFonts w:cstheme="minorHAnsi"/>
                <w:sz w:val="40"/>
                <w:szCs w:val="40"/>
              </w:rPr>
            </w:pPr>
          </w:p>
          <w:p w:rsidR="00D17B6A" w:rsidRDefault="00CC1D91" w:rsidP="002D63B5">
            <w:pPr>
              <w:spacing w:line="276" w:lineRule="auto"/>
              <w:jc w:val="center"/>
              <w:rPr>
                <w:rFonts w:cstheme="minorHAnsi"/>
                <w:sz w:val="40"/>
                <w:szCs w:val="40"/>
              </w:rPr>
            </w:pPr>
            <w:r w:rsidRPr="00E3574B">
              <w:rPr>
                <w:rFonts w:cstheme="minorHAnsi"/>
                <w:sz w:val="40"/>
                <w:szCs w:val="40"/>
              </w:rPr>
              <w:t>First Data Government Solutions</w:t>
            </w:r>
            <w:r w:rsidR="00DF1651">
              <w:rPr>
                <w:rFonts w:cstheme="minorHAnsi"/>
                <w:sz w:val="40"/>
                <w:szCs w:val="40"/>
              </w:rPr>
              <w:t>, LP</w:t>
            </w:r>
          </w:p>
          <w:p w:rsidR="00222443" w:rsidRPr="00E3574B" w:rsidRDefault="00CC1D91" w:rsidP="003B41EF">
            <w:pPr>
              <w:spacing w:line="276" w:lineRule="auto"/>
              <w:jc w:val="center"/>
              <w:rPr>
                <w:rFonts w:cstheme="minorHAnsi"/>
                <w:sz w:val="40"/>
                <w:szCs w:val="40"/>
              </w:rPr>
            </w:pPr>
            <w:r w:rsidRPr="00E3574B">
              <w:rPr>
                <w:rFonts w:cstheme="minorHAnsi"/>
                <w:sz w:val="40"/>
                <w:szCs w:val="40"/>
              </w:rPr>
              <w:t>Change Order CO-0</w:t>
            </w:r>
            <w:r w:rsidR="00C354B1" w:rsidRPr="00E3574B">
              <w:rPr>
                <w:rFonts w:cstheme="minorHAnsi"/>
                <w:sz w:val="40"/>
                <w:szCs w:val="40"/>
              </w:rPr>
              <w:t>4</w:t>
            </w:r>
            <w:r w:rsidR="00DF1651">
              <w:rPr>
                <w:rFonts w:cstheme="minorHAnsi"/>
                <w:sz w:val="40"/>
                <w:szCs w:val="40"/>
              </w:rPr>
              <w:t>9</w:t>
            </w:r>
          </w:p>
          <w:p w:rsidR="00A169E8" w:rsidRPr="00E3574B" w:rsidRDefault="00DF1651" w:rsidP="00A169E8">
            <w:pPr>
              <w:spacing w:line="276" w:lineRule="auto"/>
              <w:jc w:val="center"/>
              <w:rPr>
                <w:rFonts w:cstheme="minorHAnsi"/>
                <w:sz w:val="40"/>
                <w:szCs w:val="40"/>
              </w:rPr>
            </w:pPr>
            <w:r>
              <w:rPr>
                <w:rFonts w:cstheme="minorHAnsi"/>
                <w:sz w:val="40"/>
                <w:szCs w:val="40"/>
              </w:rPr>
              <w:t xml:space="preserve">CalSAWS </w:t>
            </w:r>
            <w:r w:rsidR="002941D3">
              <w:rPr>
                <w:rFonts w:cstheme="minorHAnsi"/>
                <w:sz w:val="40"/>
                <w:szCs w:val="40"/>
              </w:rPr>
              <w:t>Migration Planning</w:t>
            </w:r>
          </w:p>
          <w:p w:rsidR="00CC1D91" w:rsidRPr="00E3574B" w:rsidRDefault="00F0616B" w:rsidP="00A169E8">
            <w:pPr>
              <w:spacing w:line="276" w:lineRule="auto"/>
              <w:jc w:val="center"/>
              <w:rPr>
                <w:rFonts w:cstheme="minorHAnsi"/>
                <w:sz w:val="40"/>
                <w:szCs w:val="40"/>
              </w:rPr>
            </w:pPr>
            <w:r w:rsidRPr="00E3574B">
              <w:rPr>
                <w:rFonts w:cstheme="minorHAnsi"/>
                <w:sz w:val="40"/>
                <w:szCs w:val="40"/>
              </w:rPr>
              <w:t xml:space="preserve"> </w:t>
            </w:r>
          </w:p>
        </w:tc>
      </w:tr>
      <w:tr w:rsidR="00CC1D91" w:rsidRPr="00E3574B" w:rsidTr="002D63B5">
        <w:tc>
          <w:tcPr>
            <w:tcW w:w="9576" w:type="dxa"/>
            <w:vAlign w:val="bottom"/>
          </w:tcPr>
          <w:p w:rsidR="00484118" w:rsidRPr="00E3574B" w:rsidRDefault="00484118" w:rsidP="006622FF">
            <w:pPr>
              <w:jc w:val="center"/>
              <w:rPr>
                <w:rFonts w:cstheme="minorHAnsi"/>
                <w:sz w:val="40"/>
                <w:szCs w:val="40"/>
              </w:rPr>
            </w:pPr>
          </w:p>
          <w:p w:rsidR="00CC1D91" w:rsidRPr="00E3574B" w:rsidRDefault="00E3192C" w:rsidP="00AE43A1">
            <w:pPr>
              <w:spacing w:after="240"/>
              <w:jc w:val="center"/>
              <w:rPr>
                <w:rFonts w:cstheme="minorHAnsi"/>
                <w:sz w:val="40"/>
                <w:szCs w:val="40"/>
              </w:rPr>
            </w:pPr>
            <w:r w:rsidRPr="00E3574B">
              <w:rPr>
                <w:rFonts w:cstheme="minorHAnsi"/>
                <w:sz w:val="40"/>
                <w:szCs w:val="40"/>
              </w:rPr>
              <w:t xml:space="preserve">California </w:t>
            </w:r>
            <w:r w:rsidR="00484118" w:rsidRPr="00E3574B">
              <w:rPr>
                <w:rFonts w:cstheme="minorHAnsi"/>
                <w:sz w:val="40"/>
                <w:szCs w:val="40"/>
              </w:rPr>
              <w:t>Automated</w:t>
            </w:r>
            <w:r w:rsidR="00CC3746" w:rsidRPr="00E3574B">
              <w:rPr>
                <w:rFonts w:cstheme="minorHAnsi"/>
                <w:sz w:val="40"/>
                <w:szCs w:val="40"/>
              </w:rPr>
              <w:t xml:space="preserve"> </w:t>
            </w:r>
            <w:r w:rsidR="00CC1D91" w:rsidRPr="00E3574B">
              <w:rPr>
                <w:rFonts w:cstheme="minorHAnsi"/>
                <w:sz w:val="40"/>
                <w:szCs w:val="40"/>
              </w:rPr>
              <w:t xml:space="preserve">Consortium </w:t>
            </w:r>
            <w:r w:rsidR="00CC3746" w:rsidRPr="00E3574B">
              <w:rPr>
                <w:rFonts w:cstheme="minorHAnsi"/>
                <w:sz w:val="40"/>
                <w:szCs w:val="40"/>
              </w:rPr>
              <w:t>Eligibility System</w:t>
            </w:r>
          </w:p>
          <w:p w:rsidR="00094838" w:rsidRPr="00E3574B" w:rsidRDefault="004807D2" w:rsidP="00CC3746">
            <w:pPr>
              <w:spacing w:line="480" w:lineRule="auto"/>
              <w:jc w:val="center"/>
              <w:rPr>
                <w:rFonts w:cstheme="minorHAnsi"/>
                <w:sz w:val="40"/>
                <w:szCs w:val="40"/>
              </w:rPr>
            </w:pPr>
            <w:r w:rsidRPr="00E3574B">
              <w:rPr>
                <w:rFonts w:cstheme="minorHAnsi"/>
                <w:sz w:val="40"/>
                <w:szCs w:val="40"/>
              </w:rPr>
              <w:t>CalACES</w:t>
            </w:r>
            <w:r w:rsidR="00094838" w:rsidRPr="00E3574B">
              <w:rPr>
                <w:rFonts w:cstheme="minorHAnsi"/>
                <w:sz w:val="40"/>
                <w:szCs w:val="40"/>
              </w:rPr>
              <w:t xml:space="preserve"> </w:t>
            </w:r>
            <w:r w:rsidR="00824607" w:rsidRPr="00E3574B">
              <w:rPr>
                <w:rFonts w:cstheme="minorHAnsi"/>
                <w:sz w:val="40"/>
                <w:szCs w:val="40"/>
              </w:rPr>
              <w:t xml:space="preserve">Migration </w:t>
            </w:r>
            <w:r w:rsidR="00094838" w:rsidRPr="00E3574B">
              <w:rPr>
                <w:rFonts w:cstheme="minorHAnsi"/>
                <w:sz w:val="40"/>
                <w:szCs w:val="40"/>
              </w:rPr>
              <w:t>Project</w:t>
            </w:r>
          </w:p>
        </w:tc>
      </w:tr>
    </w:tbl>
    <w:p w:rsidR="00302568" w:rsidRPr="00E3574B" w:rsidRDefault="00302568" w:rsidP="00B4018C">
      <w:pPr>
        <w:pStyle w:val="ABLOCKPARA"/>
        <w:jc w:val="center"/>
        <w:rPr>
          <w:rFonts w:cstheme="minorHAnsi"/>
        </w:rPr>
      </w:pPr>
    </w:p>
    <w:p w:rsidR="00302568" w:rsidRPr="00E3574B" w:rsidRDefault="00302568" w:rsidP="00B4018C">
      <w:pPr>
        <w:pStyle w:val="ABLOCKPARA"/>
        <w:jc w:val="center"/>
        <w:rPr>
          <w:rFonts w:cstheme="minorHAnsi"/>
        </w:rPr>
      </w:pPr>
    </w:p>
    <w:p w:rsidR="00302568" w:rsidRPr="00E3574B" w:rsidRDefault="00302568" w:rsidP="00B4018C">
      <w:pPr>
        <w:pStyle w:val="ABLOCKPARA"/>
        <w:jc w:val="center"/>
        <w:rPr>
          <w:rFonts w:cstheme="minorHAnsi"/>
        </w:rPr>
      </w:pPr>
    </w:p>
    <w:p w:rsidR="00302568" w:rsidRPr="00E3574B" w:rsidRDefault="00302568" w:rsidP="00B4018C">
      <w:pPr>
        <w:pStyle w:val="ABLOCKPARA"/>
        <w:jc w:val="center"/>
        <w:rPr>
          <w:rFonts w:cstheme="minorHAnsi"/>
        </w:rPr>
      </w:pPr>
    </w:p>
    <w:p w:rsidR="00A11ED3" w:rsidRPr="00E3574B" w:rsidRDefault="00A11ED3" w:rsidP="00B4018C">
      <w:pPr>
        <w:pStyle w:val="ABLOCKPARA"/>
        <w:jc w:val="center"/>
        <w:rPr>
          <w:rFonts w:cstheme="minorHAnsi"/>
        </w:rPr>
      </w:pPr>
    </w:p>
    <w:p w:rsidR="00A11ED3" w:rsidRPr="00E3574B" w:rsidRDefault="00A11ED3" w:rsidP="00B4018C">
      <w:pPr>
        <w:pStyle w:val="ABLOCKPARA"/>
        <w:jc w:val="center"/>
        <w:rPr>
          <w:rFonts w:cstheme="minorHAnsi"/>
        </w:rPr>
      </w:pPr>
    </w:p>
    <w:p w:rsidR="00A11ED3" w:rsidRPr="00E3574B" w:rsidRDefault="00A11ED3" w:rsidP="00B4018C">
      <w:pPr>
        <w:pStyle w:val="ABLOCKPARA"/>
        <w:jc w:val="center"/>
        <w:rPr>
          <w:rFonts w:cstheme="minorHAnsi"/>
        </w:rPr>
      </w:pPr>
    </w:p>
    <w:p w:rsidR="00A11ED3" w:rsidRPr="00E3574B" w:rsidRDefault="00A11ED3" w:rsidP="00B4018C">
      <w:pPr>
        <w:pStyle w:val="ABLOCKPARA"/>
        <w:jc w:val="center"/>
        <w:rPr>
          <w:rFonts w:cstheme="minorHAnsi"/>
        </w:rPr>
      </w:pPr>
    </w:p>
    <w:p w:rsidR="00CC3746" w:rsidRPr="00E3574B" w:rsidRDefault="00CC3746" w:rsidP="00B4018C">
      <w:pPr>
        <w:pStyle w:val="ABLOCKPARA"/>
        <w:jc w:val="center"/>
        <w:rPr>
          <w:rFonts w:cstheme="minorHAnsi"/>
        </w:rPr>
      </w:pPr>
    </w:p>
    <w:p w:rsidR="00CC3746" w:rsidRPr="00E3574B" w:rsidRDefault="00CC3746" w:rsidP="00B4018C">
      <w:pPr>
        <w:pStyle w:val="ABLOCKPARA"/>
        <w:jc w:val="center"/>
        <w:rPr>
          <w:rFonts w:cstheme="minorHAnsi"/>
        </w:rPr>
      </w:pPr>
    </w:p>
    <w:p w:rsidR="00CC3746" w:rsidRPr="00E3574B" w:rsidRDefault="00CC3746" w:rsidP="00B4018C">
      <w:pPr>
        <w:pStyle w:val="ABLOCKPARA"/>
        <w:jc w:val="center"/>
        <w:rPr>
          <w:rFonts w:cstheme="minorHAnsi"/>
        </w:rPr>
      </w:pPr>
    </w:p>
    <w:p w:rsidR="00CC3746" w:rsidRDefault="00CC3746" w:rsidP="00B4018C">
      <w:pPr>
        <w:pStyle w:val="ABLOCKPARA"/>
        <w:jc w:val="center"/>
      </w:pPr>
    </w:p>
    <w:p w:rsidR="00CC3746" w:rsidRDefault="00CC3746" w:rsidP="00B4018C">
      <w:pPr>
        <w:pStyle w:val="ABLOCKPARA"/>
        <w:jc w:val="center"/>
      </w:pPr>
    </w:p>
    <w:p w:rsidR="00CC3746" w:rsidRDefault="00CC3746" w:rsidP="00B4018C">
      <w:pPr>
        <w:pStyle w:val="ABLOCKPARA"/>
        <w:jc w:val="center"/>
      </w:pPr>
    </w:p>
    <w:p w:rsidR="00CC3746" w:rsidRDefault="00CC3746" w:rsidP="00B4018C">
      <w:pPr>
        <w:pStyle w:val="ABLOCKPARA"/>
        <w:jc w:val="center"/>
      </w:pPr>
    </w:p>
    <w:p w:rsidR="00CC3746" w:rsidRDefault="00CC3746" w:rsidP="00B4018C">
      <w:pPr>
        <w:pStyle w:val="ABLOCKPARA"/>
        <w:jc w:val="center"/>
      </w:pPr>
    </w:p>
    <w:p w:rsidR="00CC3746" w:rsidRDefault="00CC3746" w:rsidP="00B4018C">
      <w:pPr>
        <w:pStyle w:val="ABLOCKPARA"/>
        <w:jc w:val="center"/>
      </w:pPr>
    </w:p>
    <w:p w:rsidR="00CC3746" w:rsidRDefault="00CC3746" w:rsidP="00B4018C">
      <w:pPr>
        <w:pStyle w:val="ABLOCKPARA"/>
        <w:jc w:val="center"/>
      </w:pPr>
    </w:p>
    <w:p w:rsidR="00CC3746" w:rsidRDefault="00CC3746" w:rsidP="00B4018C">
      <w:pPr>
        <w:pStyle w:val="ABLOCKPARA"/>
        <w:jc w:val="center"/>
      </w:pPr>
    </w:p>
    <w:p w:rsidR="00302568" w:rsidRDefault="00302568" w:rsidP="00B4018C">
      <w:pPr>
        <w:pStyle w:val="ABLOCKPARA"/>
        <w:jc w:val="center"/>
      </w:pPr>
    </w:p>
    <w:p w:rsidR="009C2606" w:rsidRDefault="009C2606" w:rsidP="00B4018C">
      <w:pPr>
        <w:pStyle w:val="ABLOCKPARA"/>
        <w:jc w:val="center"/>
      </w:pPr>
    </w:p>
    <w:p w:rsidR="009C2606" w:rsidRDefault="009C2606" w:rsidP="00B4018C">
      <w:pPr>
        <w:pStyle w:val="ABLOCKPARA"/>
        <w:jc w:val="center"/>
      </w:pPr>
    </w:p>
    <w:p w:rsidR="00302568" w:rsidRDefault="00302568" w:rsidP="00B4018C">
      <w:pPr>
        <w:pStyle w:val="ABLOCKPARA"/>
        <w:jc w:val="center"/>
      </w:pPr>
    </w:p>
    <w:p w:rsidR="00B4018C" w:rsidRDefault="00B4018C" w:rsidP="00B4018C">
      <w:pPr>
        <w:pStyle w:val="ABLOCKPARA"/>
        <w:jc w:val="center"/>
      </w:pPr>
      <w:r w:rsidRPr="00993C16">
        <w:t>Submitted:</w:t>
      </w:r>
      <w:r w:rsidRPr="00993C16">
        <w:tab/>
        <w:t xml:space="preserve"> </w:t>
      </w:r>
      <w:r w:rsidR="00DF1651">
        <w:t>April 26, 2018</w:t>
      </w:r>
    </w:p>
    <w:p w:rsidR="0004041C" w:rsidRDefault="0004041C" w:rsidP="00B4018C">
      <w:pPr>
        <w:pStyle w:val="ABLOCKPARA"/>
        <w:jc w:val="center"/>
      </w:pPr>
    </w:p>
    <w:p w:rsidR="004A09A8" w:rsidRPr="00CC25FF" w:rsidRDefault="004A09A8" w:rsidP="00F779CC">
      <w:pPr>
        <w:pStyle w:val="Heading1"/>
      </w:pPr>
      <w:r w:rsidRPr="00CC25FF">
        <w:lastRenderedPageBreak/>
        <w:t xml:space="preserve">Statement of </w:t>
      </w:r>
      <w:r w:rsidRPr="00F779CC">
        <w:t>Purpose</w:t>
      </w:r>
      <w:r w:rsidRPr="00CC25FF">
        <w:t xml:space="preserve"> </w:t>
      </w:r>
    </w:p>
    <w:p w:rsidR="004A09A8" w:rsidRDefault="004A09A8" w:rsidP="00222443">
      <w:pPr>
        <w:widowControl w:val="0"/>
        <w:tabs>
          <w:tab w:val="left" w:pos="90"/>
        </w:tabs>
        <w:autoSpaceDE w:val="0"/>
        <w:autoSpaceDN w:val="0"/>
        <w:adjustRightInd w:val="0"/>
        <w:ind w:left="684"/>
        <w:rPr>
          <w:bCs/>
        </w:rPr>
      </w:pPr>
      <w:r w:rsidRPr="00630AD6">
        <w:rPr>
          <w:bCs/>
        </w:rPr>
        <w:t>This Change Order CO-</w:t>
      </w:r>
      <w:r w:rsidR="000163DF">
        <w:rPr>
          <w:bCs/>
        </w:rPr>
        <w:t>0</w:t>
      </w:r>
      <w:r w:rsidR="00F0616B">
        <w:rPr>
          <w:bCs/>
        </w:rPr>
        <w:t>4</w:t>
      </w:r>
      <w:r w:rsidR="00DF1651">
        <w:rPr>
          <w:bCs/>
        </w:rPr>
        <w:t>9</w:t>
      </w:r>
      <w:r w:rsidR="00C8060D">
        <w:rPr>
          <w:bCs/>
        </w:rPr>
        <w:t xml:space="preserve"> (“Change Order”)</w:t>
      </w:r>
      <w:r>
        <w:rPr>
          <w:bCs/>
        </w:rPr>
        <w:t xml:space="preserve"> </w:t>
      </w:r>
      <w:r w:rsidR="00CC1D91" w:rsidRPr="00CC1D91">
        <w:rPr>
          <w:bCs/>
        </w:rPr>
        <w:t xml:space="preserve">is related to the Agreement (the “Agreement”) dated as of October 29, 2007, as amended, by and between the </w:t>
      </w:r>
      <w:r w:rsidR="00674DC4">
        <w:rPr>
          <w:bCs/>
        </w:rPr>
        <w:t xml:space="preserve">California </w:t>
      </w:r>
      <w:r w:rsidR="00484118">
        <w:rPr>
          <w:bCs/>
        </w:rPr>
        <w:t>Automated</w:t>
      </w:r>
      <w:r w:rsidR="00CC3746">
        <w:rPr>
          <w:bCs/>
        </w:rPr>
        <w:t xml:space="preserve"> Consortium </w:t>
      </w:r>
      <w:r w:rsidR="00306D9C">
        <w:rPr>
          <w:bCs/>
        </w:rPr>
        <w:t>Eligibility</w:t>
      </w:r>
      <w:r w:rsidR="00CC3746">
        <w:rPr>
          <w:bCs/>
        </w:rPr>
        <w:t xml:space="preserve"> System </w:t>
      </w:r>
      <w:r w:rsidR="00CC1D91" w:rsidRPr="00CC1D91">
        <w:rPr>
          <w:bCs/>
        </w:rPr>
        <w:t>(</w:t>
      </w:r>
      <w:r w:rsidR="00AE591C">
        <w:rPr>
          <w:bCs/>
        </w:rPr>
        <w:t>“</w:t>
      </w:r>
      <w:r w:rsidR="00CC1D91" w:rsidRPr="00CC1D91">
        <w:rPr>
          <w:bCs/>
        </w:rPr>
        <w:t>Consortium</w:t>
      </w:r>
      <w:r w:rsidR="00AE591C">
        <w:rPr>
          <w:bCs/>
        </w:rPr>
        <w:t>”</w:t>
      </w:r>
      <w:r w:rsidR="00594166">
        <w:rPr>
          <w:bCs/>
        </w:rPr>
        <w:t xml:space="preserve">) </w:t>
      </w:r>
      <w:r w:rsidR="00CC1D91" w:rsidRPr="00CC1D91">
        <w:rPr>
          <w:bCs/>
        </w:rPr>
        <w:t xml:space="preserve">and First Data Government Solutions, LP ("First Data").  Unless the context indicates otherwise, all capitalized terms that are used, but not defined in this Change Order, shall have the meaning assigned to such terms in the Agreement. </w:t>
      </w:r>
    </w:p>
    <w:p w:rsidR="00222443" w:rsidRDefault="00222443" w:rsidP="00222443">
      <w:pPr>
        <w:widowControl w:val="0"/>
        <w:tabs>
          <w:tab w:val="left" w:pos="90"/>
        </w:tabs>
        <w:autoSpaceDE w:val="0"/>
        <w:autoSpaceDN w:val="0"/>
        <w:adjustRightInd w:val="0"/>
        <w:ind w:left="684"/>
        <w:rPr>
          <w:bCs/>
        </w:rPr>
      </w:pPr>
    </w:p>
    <w:p w:rsidR="00DF1651" w:rsidRDefault="0013191E" w:rsidP="00780B16">
      <w:pPr>
        <w:ind w:left="720"/>
        <w:jc w:val="both"/>
      </w:pPr>
      <w:bookmarkStart w:id="1" w:name="_Hlk511217512"/>
      <w:r>
        <w:t xml:space="preserve">The Consortium currently has two </w:t>
      </w:r>
      <w:r w:rsidR="00E51BC3">
        <w:t xml:space="preserve">automated welfare </w:t>
      </w:r>
      <w:r>
        <w:t xml:space="preserve">systems, the </w:t>
      </w:r>
      <w:r w:rsidRPr="0013191E">
        <w:rPr>
          <w:rFonts w:eastAsia="Calibri"/>
          <w:spacing w:val="-2"/>
        </w:rPr>
        <w:t>Los Angeles Eligibility, Automated Determination, Evaluation and Reporting (</w:t>
      </w:r>
      <w:r>
        <w:rPr>
          <w:rFonts w:eastAsia="Calibri"/>
          <w:spacing w:val="-2"/>
        </w:rPr>
        <w:t>“</w:t>
      </w:r>
      <w:r w:rsidRPr="0013191E">
        <w:rPr>
          <w:rFonts w:eastAsia="Calibri"/>
          <w:spacing w:val="-2"/>
        </w:rPr>
        <w:t>LEADER</w:t>
      </w:r>
      <w:r>
        <w:rPr>
          <w:rFonts w:eastAsia="Calibri"/>
          <w:spacing w:val="-2"/>
        </w:rPr>
        <w:t>”</w:t>
      </w:r>
      <w:r w:rsidRPr="0013191E">
        <w:rPr>
          <w:rFonts w:eastAsia="Calibri"/>
          <w:spacing w:val="-2"/>
        </w:rPr>
        <w:t xml:space="preserve">) </w:t>
      </w:r>
      <w:r>
        <w:t xml:space="preserve">Replacement System (“LRS”) and the Consortium IV (“C-IV”) System. </w:t>
      </w:r>
      <w:r w:rsidR="00E51BC3">
        <w:t xml:space="preserve">The </w:t>
      </w:r>
      <w:r w:rsidR="00E51BC3" w:rsidRPr="00764A78">
        <w:t xml:space="preserve">Consortium is planning </w:t>
      </w:r>
      <w:r w:rsidR="00E51BC3">
        <w:t xml:space="preserve">to migrate the counties </w:t>
      </w:r>
      <w:r w:rsidR="00E51BC3" w:rsidRPr="00764A78">
        <w:t>into a combined 40-county system (“CalACES”) with a future plan to migrate all California counties into a combined 58-county system (“CalSAWS”).</w:t>
      </w:r>
      <w:r w:rsidR="00657A24">
        <w:t xml:space="preserve"> </w:t>
      </w:r>
      <w:r w:rsidR="001B1642" w:rsidRPr="001B1642">
        <w:t>Federal sponsors, both Food and Nutrition Service (</w:t>
      </w:r>
      <w:r w:rsidR="001B1642">
        <w:t>“</w:t>
      </w:r>
      <w:r w:rsidR="001B1642" w:rsidRPr="001B1642">
        <w:t>FNS</w:t>
      </w:r>
      <w:r w:rsidR="001B1642">
        <w:t>”</w:t>
      </w:r>
      <w:r w:rsidR="001B1642" w:rsidRPr="001B1642">
        <w:t>) and the Centers for Medicare and Medicaid Services (</w:t>
      </w:r>
      <w:r w:rsidR="001B1642">
        <w:t>“</w:t>
      </w:r>
      <w:r w:rsidR="001B1642" w:rsidRPr="001B1642">
        <w:t>CMS</w:t>
      </w:r>
      <w:r w:rsidR="001B1642">
        <w:t>”</w:t>
      </w:r>
      <w:r w:rsidR="001B1642" w:rsidRPr="001B1642">
        <w:t xml:space="preserve">), have requested additional information and analysis surrounding </w:t>
      </w:r>
      <w:r w:rsidR="00780B16">
        <w:t>the requirements and cost estimates for C-IV migration to Cal</w:t>
      </w:r>
      <w:r w:rsidR="00E51BC3">
        <w:t>ACES, which will become the future CalSAWS</w:t>
      </w:r>
      <w:r w:rsidR="00780B16">
        <w:t xml:space="preserve"> </w:t>
      </w:r>
      <w:r w:rsidR="001B1642" w:rsidRPr="001B1642">
        <w:t xml:space="preserve">to support and approve the </w:t>
      </w:r>
      <w:r w:rsidR="001B1642" w:rsidRPr="00F05EAC">
        <w:t>Implementation Advance Planning Document (</w:t>
      </w:r>
      <w:r w:rsidR="001B1642">
        <w:t>“</w:t>
      </w:r>
      <w:r w:rsidR="001B1642" w:rsidRPr="00F05EAC">
        <w:t>IAPD</w:t>
      </w:r>
      <w:r w:rsidR="001B1642">
        <w:t>”</w:t>
      </w:r>
      <w:r w:rsidR="001B1642" w:rsidRPr="00F05EAC">
        <w:t>)</w:t>
      </w:r>
      <w:r w:rsidR="001B1642">
        <w:t xml:space="preserve"> </w:t>
      </w:r>
      <w:r w:rsidR="001B1642" w:rsidRPr="001B1642">
        <w:t xml:space="preserve">for the </w:t>
      </w:r>
      <w:r w:rsidR="001B1642">
        <w:t xml:space="preserve">CalACES </w:t>
      </w:r>
      <w:r w:rsidR="001B1642" w:rsidRPr="001B1642">
        <w:t xml:space="preserve">Migration </w:t>
      </w:r>
      <w:r w:rsidR="00EC012B">
        <w:t>Development and Implementation (“</w:t>
      </w:r>
      <w:r w:rsidR="001B1642" w:rsidRPr="001B1642">
        <w:t>D&amp;I</w:t>
      </w:r>
      <w:r w:rsidR="00EC012B">
        <w:t>”)</w:t>
      </w:r>
      <w:r w:rsidR="001B1642" w:rsidRPr="001B1642">
        <w:t xml:space="preserve"> </w:t>
      </w:r>
      <w:r w:rsidR="001B1642">
        <w:t>p</w:t>
      </w:r>
      <w:r w:rsidR="001B1642" w:rsidRPr="001B1642">
        <w:t>roject to proceed.</w:t>
      </w:r>
      <w:r w:rsidR="00DF1651">
        <w:t xml:space="preserve"> </w:t>
      </w:r>
      <w:r w:rsidR="00E51BC3" w:rsidRPr="00E51BC3">
        <w:t>As part of the CalSAWS Migration Planning effort, a validation of requirements for C-IV migration to CalACES and CalSAWS must be performed. High-level estimates for migration one-time costs and steady-state costs for CalSAWS must be developed. Additionally, the migration plan details such as procurement strategy for the development and implementation activities, sequencing, and implementation timelines must be developed.</w:t>
      </w:r>
    </w:p>
    <w:bookmarkEnd w:id="1"/>
    <w:p w:rsidR="001B1642" w:rsidRDefault="001B1642" w:rsidP="00DD7C8F">
      <w:pPr>
        <w:ind w:left="720"/>
        <w:jc w:val="both"/>
      </w:pPr>
    </w:p>
    <w:p w:rsidR="00443B66" w:rsidRDefault="00D64CC8" w:rsidP="00443B66">
      <w:pPr>
        <w:ind w:left="720"/>
        <w:jc w:val="both"/>
      </w:pPr>
      <w:r w:rsidRPr="00D64CC8">
        <w:t xml:space="preserve">This Change Order outlines </w:t>
      </w:r>
      <w:r w:rsidR="00826659" w:rsidRPr="00826659">
        <w:t xml:space="preserve">the staffing requirements, costs, and timeline for First Data </w:t>
      </w:r>
      <w:r w:rsidR="00C9575F">
        <w:t>and</w:t>
      </w:r>
      <w:r w:rsidR="0055178A">
        <w:t>/or</w:t>
      </w:r>
      <w:r w:rsidR="00C9575F">
        <w:t xml:space="preserve"> its </w:t>
      </w:r>
      <w:r w:rsidR="00C9575F" w:rsidRPr="00CE0735">
        <w:t>subcontractor</w:t>
      </w:r>
      <w:r w:rsidR="0055178A" w:rsidRPr="0055178A">
        <w:t>s</w:t>
      </w:r>
      <w:r w:rsidR="00657A24">
        <w:t xml:space="preserve"> to conduct </w:t>
      </w:r>
      <w:r w:rsidR="00780B16">
        <w:t>a val</w:t>
      </w:r>
      <w:r w:rsidR="00657A24">
        <w:t xml:space="preserve">idation of requirements </w:t>
      </w:r>
      <w:r w:rsidR="00780B16">
        <w:t xml:space="preserve">for C-IV migration to </w:t>
      </w:r>
      <w:r w:rsidR="00E51BC3">
        <w:t xml:space="preserve">CalACES and </w:t>
      </w:r>
      <w:r w:rsidR="00780B16">
        <w:t xml:space="preserve">CalSAWS, </w:t>
      </w:r>
      <w:r w:rsidR="00657A24">
        <w:t>develop high-level estimates for migration</w:t>
      </w:r>
      <w:r w:rsidR="00780B16">
        <w:t>, and develop a procurement strategy for the development and implementation activities, sequencing, and implementation timelines</w:t>
      </w:r>
      <w:r w:rsidR="00826659" w:rsidRPr="00826659">
        <w:t>.</w:t>
      </w:r>
    </w:p>
    <w:p w:rsidR="00D64CC8" w:rsidRDefault="002941D3" w:rsidP="00F779CC">
      <w:pPr>
        <w:pStyle w:val="Heading1"/>
      </w:pPr>
      <w:r>
        <w:t xml:space="preserve">Services and </w:t>
      </w:r>
      <w:r w:rsidR="00D64CC8" w:rsidRPr="00F779CC">
        <w:t>Deliverables</w:t>
      </w:r>
    </w:p>
    <w:p w:rsidR="00FE5527" w:rsidRDefault="00D64CC8" w:rsidP="00DB0D92">
      <w:pPr>
        <w:ind w:left="720"/>
      </w:pPr>
      <w:r>
        <w:t>First Data</w:t>
      </w:r>
      <w:r w:rsidRPr="008E59BC">
        <w:t xml:space="preserve"> </w:t>
      </w:r>
      <w:r w:rsidR="007A086D">
        <w:t xml:space="preserve">and its subcontractor </w:t>
      </w:r>
      <w:r w:rsidRPr="008E59BC">
        <w:t xml:space="preserve">shall provide </w:t>
      </w:r>
      <w:r w:rsidR="007A086D">
        <w:t xml:space="preserve">the </w:t>
      </w:r>
      <w:r w:rsidRPr="008E59BC">
        <w:t xml:space="preserve">Consortium with the </w:t>
      </w:r>
      <w:r w:rsidR="00706F48">
        <w:t>s</w:t>
      </w:r>
      <w:r>
        <w:t xml:space="preserve">ervices and </w:t>
      </w:r>
      <w:r w:rsidR="00706F48">
        <w:t>d</w:t>
      </w:r>
      <w:r w:rsidRPr="008E59BC">
        <w:t xml:space="preserve">eliverables </w:t>
      </w:r>
      <w:r w:rsidR="00413C81">
        <w:t>for Cal</w:t>
      </w:r>
      <w:r w:rsidR="002941D3">
        <w:t xml:space="preserve">SAWS planning and will provide oversight </w:t>
      </w:r>
      <w:r w:rsidR="000E7A1E">
        <w:t xml:space="preserve">and subject matter expertise </w:t>
      </w:r>
      <w:r w:rsidR="002941D3">
        <w:t xml:space="preserve">for the activities described within in this Change Order. </w:t>
      </w:r>
    </w:p>
    <w:p w:rsidR="00B93DE7" w:rsidRDefault="002941D3" w:rsidP="00F779CC">
      <w:pPr>
        <w:pStyle w:val="Heading2"/>
      </w:pPr>
      <w:r>
        <w:t>Tasks</w:t>
      </w:r>
    </w:p>
    <w:p w:rsidR="00B93DE7" w:rsidRDefault="002941D3" w:rsidP="00322087">
      <w:pPr>
        <w:ind w:left="720"/>
      </w:pPr>
      <w:r>
        <w:t xml:space="preserve">First Data and its subcontractor </w:t>
      </w:r>
      <w:r w:rsidR="00460CC6">
        <w:t xml:space="preserve">will have a working team with the appropriate mix of experience and expertise to </w:t>
      </w:r>
      <w:r w:rsidR="008564C4">
        <w:t>lead and complete the f</w:t>
      </w:r>
      <w:r w:rsidR="00460CC6">
        <w:t>ollowing tasks and deliverables</w:t>
      </w:r>
      <w:r w:rsidR="008A5321">
        <w:t>:</w:t>
      </w:r>
      <w:r w:rsidR="008564C4">
        <w:t xml:space="preserve"> </w:t>
      </w:r>
    </w:p>
    <w:p w:rsidR="00460CC6" w:rsidRDefault="00460CC6" w:rsidP="00477A35"/>
    <w:p w:rsidR="00460CC6" w:rsidRDefault="00460CC6" w:rsidP="00322087">
      <w:pPr>
        <w:ind w:left="720"/>
      </w:pPr>
    </w:p>
    <w:tbl>
      <w:tblPr>
        <w:tblStyle w:val="TableGrid"/>
        <w:tblW w:w="4645" w:type="pct"/>
        <w:tblInd w:w="715" w:type="dxa"/>
        <w:tblLook w:val="04A0" w:firstRow="1" w:lastRow="0" w:firstColumn="1" w:lastColumn="0" w:noHBand="0" w:noVBand="1"/>
      </w:tblPr>
      <w:tblGrid>
        <w:gridCol w:w="990"/>
        <w:gridCol w:w="8365"/>
      </w:tblGrid>
      <w:tr w:rsidR="008564C4" w:rsidRPr="00E243FC" w:rsidTr="00322087">
        <w:trPr>
          <w:tblHeader/>
        </w:trPr>
        <w:tc>
          <w:tcPr>
            <w:tcW w:w="529" w:type="pct"/>
            <w:shd w:val="clear" w:color="auto" w:fill="F2F2F2"/>
            <w:vAlign w:val="center"/>
          </w:tcPr>
          <w:p w:rsidR="008564C4" w:rsidRPr="00E243FC" w:rsidRDefault="008564C4" w:rsidP="003B01EA">
            <w:pPr>
              <w:rPr>
                <w:rFonts w:eastAsia="Calibri"/>
                <w:spacing w:val="-2"/>
              </w:rPr>
            </w:pPr>
            <w:bookmarkStart w:id="2" w:name="_Hlk503102512"/>
            <w:r w:rsidRPr="00E243FC">
              <w:rPr>
                <w:rFonts w:eastAsia="Calibri"/>
                <w:spacing w:val="-2"/>
              </w:rPr>
              <w:t>Task No.</w:t>
            </w:r>
          </w:p>
        </w:tc>
        <w:tc>
          <w:tcPr>
            <w:tcW w:w="4471" w:type="pct"/>
            <w:shd w:val="clear" w:color="auto" w:fill="F2F2F2"/>
            <w:vAlign w:val="center"/>
          </w:tcPr>
          <w:p w:rsidR="008564C4" w:rsidRPr="00E243FC" w:rsidRDefault="008564C4" w:rsidP="003B01EA">
            <w:pPr>
              <w:rPr>
                <w:rFonts w:eastAsia="Calibri"/>
                <w:spacing w:val="-2"/>
              </w:rPr>
            </w:pPr>
            <w:r w:rsidRPr="00E243FC">
              <w:rPr>
                <w:rFonts w:eastAsia="Calibri"/>
                <w:spacing w:val="-2"/>
              </w:rPr>
              <w:t>Task Description</w:t>
            </w:r>
          </w:p>
        </w:tc>
      </w:tr>
      <w:tr w:rsidR="008564C4" w:rsidRPr="00E243FC" w:rsidTr="00477A35">
        <w:trPr>
          <w:trHeight w:val="291"/>
        </w:trPr>
        <w:tc>
          <w:tcPr>
            <w:tcW w:w="529" w:type="pct"/>
            <w:vAlign w:val="center"/>
          </w:tcPr>
          <w:p w:rsidR="008564C4" w:rsidRPr="00E243FC" w:rsidRDefault="008564C4" w:rsidP="003B01EA">
            <w:pPr>
              <w:rPr>
                <w:rFonts w:eastAsia="Calibri"/>
                <w:spacing w:val="-2"/>
              </w:rPr>
            </w:pPr>
            <w:r w:rsidRPr="00E243FC">
              <w:rPr>
                <w:rFonts w:eastAsia="Calibri"/>
                <w:spacing w:val="-2"/>
              </w:rPr>
              <w:t>1</w:t>
            </w:r>
          </w:p>
        </w:tc>
        <w:tc>
          <w:tcPr>
            <w:tcW w:w="4471" w:type="pct"/>
            <w:vAlign w:val="center"/>
          </w:tcPr>
          <w:p w:rsidR="00DA7A77" w:rsidRPr="00DA7A77" w:rsidRDefault="00DA7A77" w:rsidP="00DA7A77">
            <w:pPr>
              <w:rPr>
                <w:rFonts w:eastAsia="Calibri"/>
                <w:spacing w:val="-2"/>
              </w:rPr>
            </w:pPr>
            <w:r w:rsidRPr="00DA7A77">
              <w:rPr>
                <w:rFonts w:eastAsia="Calibri"/>
                <w:spacing w:val="-2"/>
              </w:rPr>
              <w:t>Setup and Prep:</w:t>
            </w:r>
          </w:p>
          <w:p w:rsidR="00DA7A77" w:rsidRPr="00DA7A77" w:rsidRDefault="00DA7A77" w:rsidP="00DA7A77">
            <w:pPr>
              <w:rPr>
                <w:rFonts w:eastAsia="Calibri"/>
                <w:spacing w:val="-2"/>
              </w:rPr>
            </w:pPr>
            <w:r w:rsidRPr="00DA7A77">
              <w:rPr>
                <w:rFonts w:eastAsia="Calibri"/>
                <w:spacing w:val="-2"/>
              </w:rPr>
              <w:t>- Communicate confidentiality guidelines</w:t>
            </w:r>
          </w:p>
          <w:p w:rsidR="00DA7A77" w:rsidRPr="00DA7A77" w:rsidRDefault="00DA7A77" w:rsidP="00DA7A77">
            <w:pPr>
              <w:rPr>
                <w:rFonts w:eastAsia="Calibri"/>
                <w:spacing w:val="-2"/>
              </w:rPr>
            </w:pPr>
            <w:r w:rsidRPr="00DA7A77">
              <w:rPr>
                <w:rFonts w:eastAsia="Calibri"/>
                <w:spacing w:val="-2"/>
              </w:rPr>
              <w:t>- Define context for effort</w:t>
            </w:r>
          </w:p>
          <w:p w:rsidR="00DA7A77" w:rsidRPr="00DA7A77" w:rsidRDefault="00DA7A77" w:rsidP="00DA7A77">
            <w:pPr>
              <w:rPr>
                <w:rFonts w:eastAsia="Calibri"/>
                <w:spacing w:val="-2"/>
              </w:rPr>
            </w:pPr>
            <w:r w:rsidRPr="00DA7A77">
              <w:rPr>
                <w:rFonts w:eastAsia="Calibri"/>
                <w:spacing w:val="-2"/>
              </w:rPr>
              <w:t>- Describe methodology and approach</w:t>
            </w:r>
          </w:p>
          <w:p w:rsidR="00DA7A77" w:rsidRPr="00DA7A77" w:rsidRDefault="00DA7A77" w:rsidP="00DA7A77">
            <w:pPr>
              <w:rPr>
                <w:rFonts w:eastAsia="Calibri"/>
                <w:spacing w:val="-2"/>
              </w:rPr>
            </w:pPr>
            <w:r w:rsidRPr="00DA7A77">
              <w:rPr>
                <w:rFonts w:eastAsia="Calibri"/>
                <w:spacing w:val="-2"/>
              </w:rPr>
              <w:t>- Define scope and objectives</w:t>
            </w:r>
          </w:p>
          <w:p w:rsidR="00DA7A77" w:rsidRPr="00DA7A77" w:rsidRDefault="00DA7A77" w:rsidP="00DA7A77">
            <w:pPr>
              <w:rPr>
                <w:rFonts w:eastAsia="Calibri"/>
                <w:spacing w:val="-2"/>
              </w:rPr>
            </w:pPr>
            <w:r w:rsidRPr="00DA7A77">
              <w:rPr>
                <w:rFonts w:eastAsia="Calibri"/>
                <w:spacing w:val="-2"/>
              </w:rPr>
              <w:t>- Establish key deliverables for each workstream</w:t>
            </w:r>
          </w:p>
          <w:p w:rsidR="00DA7A77" w:rsidRPr="00DA7A77" w:rsidRDefault="00DA7A77" w:rsidP="00DA7A77">
            <w:pPr>
              <w:rPr>
                <w:rFonts w:eastAsia="Calibri"/>
                <w:spacing w:val="-2"/>
              </w:rPr>
            </w:pPr>
            <w:r w:rsidRPr="00DA7A77">
              <w:rPr>
                <w:rFonts w:eastAsia="Calibri"/>
                <w:spacing w:val="-2"/>
              </w:rPr>
              <w:t>- Define project team and configuration</w:t>
            </w:r>
          </w:p>
          <w:p w:rsidR="00DA7A77" w:rsidRPr="00DA7A77" w:rsidRDefault="00DA7A77" w:rsidP="00DA7A77">
            <w:pPr>
              <w:rPr>
                <w:rFonts w:eastAsia="Calibri"/>
                <w:spacing w:val="-2"/>
              </w:rPr>
            </w:pPr>
            <w:r w:rsidRPr="00DA7A77">
              <w:rPr>
                <w:rFonts w:eastAsia="Calibri"/>
                <w:spacing w:val="-2"/>
              </w:rPr>
              <w:lastRenderedPageBreak/>
              <w:t>- Understand and establish governance cadence and decision/escalation framework</w:t>
            </w:r>
          </w:p>
          <w:p w:rsidR="00DA7A77" w:rsidRPr="00DA7A77" w:rsidRDefault="00DA7A77" w:rsidP="00DA7A77">
            <w:pPr>
              <w:rPr>
                <w:rFonts w:eastAsia="Calibri"/>
                <w:spacing w:val="-2"/>
              </w:rPr>
            </w:pPr>
            <w:r w:rsidRPr="00DA7A77">
              <w:rPr>
                <w:rFonts w:eastAsia="Calibri"/>
                <w:spacing w:val="-2"/>
              </w:rPr>
              <w:t>- Send out communication to major stakeholders (e.g. counties)</w:t>
            </w:r>
          </w:p>
          <w:p w:rsidR="00DA7A77" w:rsidRPr="00DA7A77" w:rsidRDefault="00DA7A77" w:rsidP="00DA7A77">
            <w:pPr>
              <w:rPr>
                <w:rFonts w:eastAsia="Calibri"/>
                <w:spacing w:val="-2"/>
              </w:rPr>
            </w:pPr>
            <w:r w:rsidRPr="00DA7A77">
              <w:rPr>
                <w:rFonts w:eastAsia="Calibri"/>
                <w:spacing w:val="-2"/>
              </w:rPr>
              <w:t>- Draft Deliverable Expectation Documents (DEDs)</w:t>
            </w:r>
          </w:p>
          <w:p w:rsidR="008564C4" w:rsidRPr="00E243FC" w:rsidRDefault="00DA7A77" w:rsidP="00DA7A77">
            <w:pPr>
              <w:rPr>
                <w:rFonts w:eastAsia="Calibri"/>
                <w:spacing w:val="-2"/>
              </w:rPr>
            </w:pPr>
            <w:r w:rsidRPr="00DA7A77">
              <w:rPr>
                <w:rFonts w:eastAsia="Calibri"/>
                <w:spacing w:val="-2"/>
              </w:rPr>
              <w:t>- Review and finalize DEDs</w:t>
            </w:r>
          </w:p>
        </w:tc>
      </w:tr>
      <w:tr w:rsidR="008564C4" w:rsidRPr="00E243FC" w:rsidTr="00322087">
        <w:tc>
          <w:tcPr>
            <w:tcW w:w="529" w:type="pct"/>
            <w:vAlign w:val="center"/>
          </w:tcPr>
          <w:p w:rsidR="008564C4" w:rsidRPr="00E243FC" w:rsidRDefault="008564C4" w:rsidP="003B01EA">
            <w:pPr>
              <w:rPr>
                <w:rFonts w:eastAsia="Calibri"/>
                <w:spacing w:val="-2"/>
              </w:rPr>
            </w:pPr>
            <w:r w:rsidRPr="00E243FC">
              <w:rPr>
                <w:rFonts w:eastAsia="Calibri"/>
                <w:spacing w:val="-2"/>
              </w:rPr>
              <w:lastRenderedPageBreak/>
              <w:t>2</w:t>
            </w:r>
          </w:p>
        </w:tc>
        <w:tc>
          <w:tcPr>
            <w:tcW w:w="4471" w:type="pct"/>
            <w:vAlign w:val="center"/>
          </w:tcPr>
          <w:p w:rsidR="00DA7A77" w:rsidRPr="00DA7A77" w:rsidRDefault="00DA7A77" w:rsidP="00DA7A77">
            <w:pPr>
              <w:rPr>
                <w:rFonts w:eastAsia="Calibri"/>
                <w:spacing w:val="-2"/>
              </w:rPr>
            </w:pPr>
            <w:r>
              <w:rPr>
                <w:rFonts w:eastAsia="Calibri"/>
                <w:spacing w:val="-2"/>
              </w:rPr>
              <w:t>Review of CalACES requirements:</w:t>
            </w:r>
          </w:p>
          <w:p w:rsidR="00DA7A77" w:rsidRPr="00DA7A77" w:rsidRDefault="00DA7A77" w:rsidP="00DA7A77">
            <w:pPr>
              <w:rPr>
                <w:rFonts w:eastAsia="Calibri"/>
                <w:spacing w:val="-2"/>
              </w:rPr>
            </w:pPr>
            <w:r w:rsidRPr="00DA7A77">
              <w:rPr>
                <w:rFonts w:eastAsia="Calibri"/>
                <w:spacing w:val="-2"/>
              </w:rPr>
              <w:t>- Conduct onboarding and data gathering sessions to understand the base LRS system, gaps between C-IV and LRS, requirements identified for CalACES</w:t>
            </w:r>
          </w:p>
          <w:p w:rsidR="00DA7A77" w:rsidRPr="00DA7A77" w:rsidRDefault="00DA7A77" w:rsidP="00DA7A77">
            <w:pPr>
              <w:rPr>
                <w:rFonts w:eastAsia="Calibri"/>
                <w:spacing w:val="-2"/>
              </w:rPr>
            </w:pPr>
            <w:r w:rsidRPr="00DA7A77">
              <w:rPr>
                <w:rFonts w:eastAsia="Calibri"/>
                <w:spacing w:val="-2"/>
              </w:rPr>
              <w:t>- Obtain details on cost estimation and methodology for delivering on existing set of (560) requirements</w:t>
            </w:r>
          </w:p>
          <w:p w:rsidR="00DA7A77" w:rsidRPr="00DA7A77" w:rsidRDefault="00DA7A77" w:rsidP="00DA7A77">
            <w:pPr>
              <w:rPr>
                <w:rFonts w:eastAsia="Calibri"/>
                <w:spacing w:val="-2"/>
              </w:rPr>
            </w:pPr>
            <w:r w:rsidRPr="00DA7A77">
              <w:rPr>
                <w:rFonts w:eastAsia="Calibri"/>
                <w:spacing w:val="-2"/>
              </w:rPr>
              <w:t>- Leverage inputs to create fact-base outlining the need/value of the requirements, as well as the cost associated with the requirement</w:t>
            </w:r>
          </w:p>
          <w:p w:rsidR="00DA7A77" w:rsidRPr="00DA7A77" w:rsidRDefault="00DA7A77" w:rsidP="00DA7A77">
            <w:pPr>
              <w:rPr>
                <w:rFonts w:eastAsia="Calibri"/>
                <w:spacing w:val="-2"/>
              </w:rPr>
            </w:pPr>
            <w:r w:rsidRPr="00DA7A77">
              <w:rPr>
                <w:rFonts w:eastAsia="Calibri"/>
                <w:spacing w:val="-2"/>
              </w:rPr>
              <w:t>- Use appropriate cost estimation methodology to triangulate and pressure test prior cost estimates independently</w:t>
            </w:r>
          </w:p>
          <w:p w:rsidR="008564C4" w:rsidRPr="00E243FC" w:rsidRDefault="00DA7A77" w:rsidP="00DA7A77">
            <w:pPr>
              <w:rPr>
                <w:rFonts w:eastAsia="Calibri"/>
                <w:spacing w:val="-2"/>
              </w:rPr>
            </w:pPr>
            <w:r w:rsidRPr="00DA7A77">
              <w:rPr>
                <w:rFonts w:eastAsia="Calibri"/>
                <w:spacing w:val="-2"/>
              </w:rPr>
              <w:t>- Ensure validity of requirements by capturing clear rationale (e.g., worker need, efficiency need, efficiency effect)</w:t>
            </w:r>
          </w:p>
        </w:tc>
      </w:tr>
      <w:tr w:rsidR="00DA7A77" w:rsidRPr="00E243FC" w:rsidTr="00322087">
        <w:tc>
          <w:tcPr>
            <w:tcW w:w="529" w:type="pct"/>
            <w:vAlign w:val="center"/>
          </w:tcPr>
          <w:p w:rsidR="00DA7A77" w:rsidRPr="00E243FC" w:rsidRDefault="00DA7A77" w:rsidP="00DA7A77">
            <w:pPr>
              <w:rPr>
                <w:rFonts w:eastAsia="Calibri"/>
                <w:spacing w:val="-2"/>
              </w:rPr>
            </w:pPr>
            <w:r w:rsidRPr="00E243FC">
              <w:rPr>
                <w:rFonts w:eastAsia="Calibri"/>
                <w:spacing w:val="-2"/>
              </w:rPr>
              <w:t>3</w:t>
            </w:r>
          </w:p>
        </w:tc>
        <w:tc>
          <w:tcPr>
            <w:tcW w:w="4471" w:type="pct"/>
            <w:vAlign w:val="center"/>
          </w:tcPr>
          <w:p w:rsidR="00DA7A77" w:rsidRDefault="00DA7A77" w:rsidP="00DA7A77">
            <w:pPr>
              <w:rPr>
                <w:rFonts w:eastAsia="Calibri"/>
                <w:spacing w:val="-2"/>
              </w:rPr>
            </w:pPr>
            <w:r>
              <w:rPr>
                <w:rFonts w:eastAsia="Calibri"/>
                <w:spacing w:val="-2"/>
              </w:rPr>
              <w:t>Requirements Consolidation:</w:t>
            </w:r>
          </w:p>
          <w:p w:rsidR="00DA7A77" w:rsidRDefault="00DA7A77" w:rsidP="00DA7A77">
            <w:pPr>
              <w:rPr>
                <w:rFonts w:eastAsia="Calibri"/>
                <w:spacing w:val="-2"/>
              </w:rPr>
            </w:pPr>
            <w:r>
              <w:rPr>
                <w:rFonts w:eastAsia="Calibri"/>
                <w:spacing w:val="-2"/>
              </w:rPr>
              <w:t>- Conduct high-level review, and provide guidance and feedback on the user labs and facilitated requirements gathering process through a series of interviews and targeted data requests; Monitor to ensure that the guidance &amp; feedback on the process are incorporated</w:t>
            </w:r>
          </w:p>
          <w:p w:rsidR="00DA7A77" w:rsidRDefault="00DA7A77" w:rsidP="00DA7A77">
            <w:pPr>
              <w:rPr>
                <w:rFonts w:eastAsia="Calibri"/>
                <w:spacing w:val="-2"/>
              </w:rPr>
            </w:pPr>
            <w:r>
              <w:rPr>
                <w:rFonts w:eastAsia="Calibri"/>
                <w:spacing w:val="-2"/>
              </w:rPr>
              <w:t>- Collate requirements from all sources (e.g. client managed outputs from user labs / facilitated requirements gathering, business process assessment and ancillary systems assessment)</w:t>
            </w:r>
          </w:p>
          <w:p w:rsidR="00DA7A77" w:rsidRDefault="00DA7A77" w:rsidP="00DA7A77">
            <w:pPr>
              <w:rPr>
                <w:rFonts w:eastAsia="Calibri"/>
                <w:spacing w:val="-2"/>
              </w:rPr>
            </w:pPr>
            <w:r>
              <w:rPr>
                <w:rFonts w:eastAsia="Calibri"/>
                <w:spacing w:val="-2"/>
              </w:rPr>
              <w:t>- Check for overlaps, and create a de-duplicated list</w:t>
            </w:r>
          </w:p>
          <w:p w:rsidR="00DA7A77" w:rsidRDefault="00DA7A77" w:rsidP="00DA7A77">
            <w:pPr>
              <w:rPr>
                <w:rFonts w:eastAsia="Calibri"/>
                <w:spacing w:val="-2"/>
              </w:rPr>
            </w:pPr>
            <w:r>
              <w:rPr>
                <w:rFonts w:eastAsia="Calibri"/>
                <w:spacing w:val="-2"/>
              </w:rPr>
              <w:t>- Present consolidated list of requirements as well as value associated with requirements</w:t>
            </w:r>
          </w:p>
          <w:p w:rsidR="00DA7A77" w:rsidRDefault="00DA7A77" w:rsidP="00DA7A77">
            <w:pPr>
              <w:rPr>
                <w:rFonts w:eastAsia="Calibri"/>
                <w:spacing w:val="-2"/>
              </w:rPr>
            </w:pPr>
            <w:r>
              <w:rPr>
                <w:rFonts w:eastAsia="Calibri"/>
                <w:spacing w:val="-2"/>
              </w:rPr>
              <w:t>- Categorize requirements in standard (CalSAWS) and deviations</w:t>
            </w:r>
          </w:p>
          <w:p w:rsidR="00DA7A77" w:rsidRDefault="00DA7A77" w:rsidP="00DA7A77">
            <w:pPr>
              <w:rPr>
                <w:rFonts w:eastAsia="Calibri"/>
                <w:spacing w:val="-2"/>
              </w:rPr>
            </w:pPr>
            <w:r>
              <w:rPr>
                <w:rFonts w:eastAsia="Calibri"/>
                <w:spacing w:val="-2"/>
              </w:rPr>
              <w:t>- Categorize deviations into various types (e.g. customer needs, efficiency, effectiveness), by counties</w:t>
            </w:r>
          </w:p>
          <w:p w:rsidR="00DA7A77" w:rsidRDefault="00DA7A77" w:rsidP="00DA7A77">
            <w:pPr>
              <w:rPr>
                <w:rFonts w:eastAsia="Calibri"/>
                <w:spacing w:val="-2"/>
              </w:rPr>
            </w:pPr>
            <w:r>
              <w:rPr>
                <w:rFonts w:eastAsia="Calibri"/>
                <w:spacing w:val="-2"/>
              </w:rPr>
              <w:t>- Create a prioritized list by type and cost/impact</w:t>
            </w:r>
          </w:p>
          <w:p w:rsidR="00DA7A77" w:rsidRDefault="00DA7A77" w:rsidP="00DA7A77">
            <w:pPr>
              <w:rPr>
                <w:rFonts w:eastAsia="Calibri"/>
                <w:spacing w:val="-2"/>
              </w:rPr>
            </w:pPr>
            <w:r>
              <w:rPr>
                <w:rFonts w:eastAsia="Calibri"/>
                <w:spacing w:val="-2"/>
              </w:rPr>
              <w:t>- Conduct workshops with counties/key stakeholders to align on the requirements, prioritized and ranked by impact/need</w:t>
            </w:r>
          </w:p>
          <w:p w:rsidR="00DA7A77" w:rsidRPr="00E243FC" w:rsidRDefault="00DA7A77" w:rsidP="00DA7A77">
            <w:pPr>
              <w:spacing w:line="276" w:lineRule="auto"/>
              <w:rPr>
                <w:rFonts w:eastAsia="Calibri"/>
                <w:spacing w:val="-2"/>
              </w:rPr>
            </w:pPr>
            <w:r>
              <w:rPr>
                <w:rFonts w:eastAsia="Calibri"/>
                <w:spacing w:val="-2"/>
              </w:rPr>
              <w:t>- Ensure validity of requirements by capturing clear rationale (e.g., worker need, efficiency need, efficiency effect)</w:t>
            </w:r>
          </w:p>
        </w:tc>
      </w:tr>
      <w:tr w:rsidR="00DA7A77" w:rsidRPr="00E243FC" w:rsidTr="00322087">
        <w:tc>
          <w:tcPr>
            <w:tcW w:w="529" w:type="pct"/>
            <w:vAlign w:val="center"/>
          </w:tcPr>
          <w:p w:rsidR="00DA7A77" w:rsidRPr="00E243FC" w:rsidRDefault="00DA7A77" w:rsidP="00DA7A77">
            <w:pPr>
              <w:rPr>
                <w:rFonts w:eastAsia="Calibri"/>
                <w:spacing w:val="-2"/>
              </w:rPr>
            </w:pPr>
            <w:r w:rsidRPr="00E243FC">
              <w:rPr>
                <w:rFonts w:eastAsia="Calibri"/>
                <w:spacing w:val="-2"/>
              </w:rPr>
              <w:t>4</w:t>
            </w:r>
          </w:p>
        </w:tc>
        <w:tc>
          <w:tcPr>
            <w:tcW w:w="4471" w:type="pct"/>
            <w:vAlign w:val="center"/>
          </w:tcPr>
          <w:p w:rsidR="00DA7A77" w:rsidRPr="00DA7A77" w:rsidRDefault="00DA7A77" w:rsidP="00DA7A77">
            <w:pPr>
              <w:rPr>
                <w:rFonts w:eastAsia="Calibri"/>
                <w:spacing w:val="-2"/>
              </w:rPr>
            </w:pPr>
            <w:r>
              <w:rPr>
                <w:rFonts w:eastAsia="Calibri"/>
                <w:spacing w:val="-2"/>
              </w:rPr>
              <w:t>Data Conversion Strategy:</w:t>
            </w:r>
          </w:p>
          <w:p w:rsidR="00DA7A77" w:rsidRPr="00DA7A77" w:rsidRDefault="00DA7A77" w:rsidP="00DA7A77">
            <w:pPr>
              <w:rPr>
                <w:rFonts w:eastAsia="Calibri"/>
                <w:spacing w:val="-2"/>
              </w:rPr>
            </w:pPr>
            <w:r w:rsidRPr="00DA7A77">
              <w:rPr>
                <w:rFonts w:eastAsia="Calibri"/>
                <w:spacing w:val="-2"/>
              </w:rPr>
              <w:t>- Prepare &amp; launch data requests to collect off-the-shelf materials on current data model / structure</w:t>
            </w:r>
          </w:p>
          <w:p w:rsidR="00DA7A77" w:rsidRPr="00DA7A77" w:rsidRDefault="00DA7A77" w:rsidP="00DA7A77">
            <w:pPr>
              <w:rPr>
                <w:rFonts w:eastAsia="Calibri"/>
                <w:spacing w:val="-2"/>
              </w:rPr>
            </w:pPr>
            <w:r w:rsidRPr="00DA7A77">
              <w:rPr>
                <w:rFonts w:eastAsia="Calibri"/>
                <w:spacing w:val="-2"/>
              </w:rPr>
              <w:t>- Identify core team for data conversion workstream</w:t>
            </w:r>
          </w:p>
          <w:p w:rsidR="00DA7A77" w:rsidRPr="00DA7A77" w:rsidRDefault="00DA7A77" w:rsidP="00DA7A77">
            <w:pPr>
              <w:rPr>
                <w:rFonts w:eastAsia="Calibri"/>
                <w:spacing w:val="-2"/>
              </w:rPr>
            </w:pPr>
            <w:r w:rsidRPr="00DA7A77">
              <w:rPr>
                <w:rFonts w:eastAsia="Calibri"/>
                <w:spacing w:val="-2"/>
              </w:rPr>
              <w:t>- Receive overview of LRS and CalACES data model</w:t>
            </w:r>
          </w:p>
          <w:p w:rsidR="00DA7A77" w:rsidRPr="00DA7A77" w:rsidRDefault="00DA7A77" w:rsidP="00DA7A77">
            <w:pPr>
              <w:rPr>
                <w:rFonts w:eastAsia="Calibri"/>
                <w:spacing w:val="-2"/>
              </w:rPr>
            </w:pPr>
            <w:r w:rsidRPr="00DA7A77">
              <w:rPr>
                <w:rFonts w:eastAsia="Calibri"/>
                <w:spacing w:val="-2"/>
              </w:rPr>
              <w:t>- Review documents &amp; response to data request; prepare initial hypothesis on target data model</w:t>
            </w:r>
          </w:p>
          <w:p w:rsidR="00DA7A77" w:rsidRPr="00DA7A77" w:rsidRDefault="00DA7A77" w:rsidP="00DA7A77">
            <w:pPr>
              <w:rPr>
                <w:rFonts w:eastAsia="Calibri"/>
                <w:spacing w:val="-2"/>
              </w:rPr>
            </w:pPr>
            <w:r w:rsidRPr="00DA7A77">
              <w:rPr>
                <w:rFonts w:eastAsia="Calibri"/>
                <w:spacing w:val="-2"/>
              </w:rPr>
              <w:t>- Conduct working sessions to understand current usage &amp; context of the key data elements (e.g., reporting, decisions)</w:t>
            </w:r>
          </w:p>
          <w:p w:rsidR="00DA7A77" w:rsidRPr="00DA7A77" w:rsidRDefault="00DA7A77" w:rsidP="00DA7A77">
            <w:pPr>
              <w:rPr>
                <w:rFonts w:eastAsia="Calibri"/>
                <w:spacing w:val="-2"/>
              </w:rPr>
            </w:pPr>
            <w:r w:rsidRPr="00DA7A77">
              <w:rPr>
                <w:rFonts w:eastAsia="Calibri"/>
                <w:spacing w:val="-2"/>
              </w:rPr>
              <w:t>- Determine data interface / data service needs that arise as a result of maintaining county specific ancillary systems / business processes</w:t>
            </w:r>
          </w:p>
          <w:p w:rsidR="00DA7A77" w:rsidRPr="00DA7A77" w:rsidRDefault="00DA7A77" w:rsidP="00DA7A77">
            <w:pPr>
              <w:rPr>
                <w:rFonts w:eastAsia="Calibri"/>
                <w:spacing w:val="-2"/>
              </w:rPr>
            </w:pPr>
            <w:r w:rsidRPr="00DA7A77">
              <w:rPr>
                <w:rFonts w:eastAsia="Calibri"/>
                <w:spacing w:val="-2"/>
              </w:rPr>
              <w:lastRenderedPageBreak/>
              <w:t>- Map major data elements to CalSAWS destination, if any exists, and/or documenting elements where no corresponding functionality is found</w:t>
            </w:r>
          </w:p>
          <w:p w:rsidR="00DA7A77" w:rsidRPr="00DA7A77" w:rsidRDefault="00DA7A77" w:rsidP="00DA7A77">
            <w:pPr>
              <w:rPr>
                <w:rFonts w:eastAsia="Calibri"/>
                <w:spacing w:val="-2"/>
              </w:rPr>
            </w:pPr>
            <w:r w:rsidRPr="00DA7A77">
              <w:rPr>
                <w:rFonts w:eastAsia="Calibri"/>
                <w:spacing w:val="-2"/>
              </w:rPr>
              <w:t>- Determine likely impact / modifications on base target model (e.g., determine data elements to be added / modified)</w:t>
            </w:r>
          </w:p>
          <w:p w:rsidR="00DA7A77" w:rsidRPr="00E243FC" w:rsidRDefault="00DA7A77" w:rsidP="00DA7A77">
            <w:pPr>
              <w:rPr>
                <w:rFonts w:eastAsia="Calibri"/>
                <w:spacing w:val="-2"/>
              </w:rPr>
            </w:pPr>
            <w:r w:rsidRPr="00DA7A77">
              <w:rPr>
                <w:rFonts w:eastAsia="Calibri"/>
                <w:spacing w:val="-2"/>
              </w:rPr>
              <w:t>- Assess impacts of new data model</w:t>
            </w:r>
          </w:p>
        </w:tc>
      </w:tr>
      <w:tr w:rsidR="00DA7A77" w:rsidRPr="00E243FC" w:rsidTr="00322087">
        <w:tc>
          <w:tcPr>
            <w:tcW w:w="529" w:type="pct"/>
            <w:vAlign w:val="center"/>
          </w:tcPr>
          <w:p w:rsidR="00DA7A77" w:rsidRPr="00E243FC" w:rsidRDefault="00DA7A77" w:rsidP="00DA7A77">
            <w:pPr>
              <w:rPr>
                <w:rFonts w:eastAsia="Calibri"/>
                <w:spacing w:val="-2"/>
              </w:rPr>
            </w:pPr>
            <w:r w:rsidRPr="00E243FC">
              <w:rPr>
                <w:rFonts w:eastAsia="Calibri"/>
                <w:spacing w:val="-2"/>
              </w:rPr>
              <w:lastRenderedPageBreak/>
              <w:t>5</w:t>
            </w:r>
          </w:p>
        </w:tc>
        <w:tc>
          <w:tcPr>
            <w:tcW w:w="4471" w:type="pct"/>
            <w:vAlign w:val="center"/>
          </w:tcPr>
          <w:p w:rsidR="00DA7A77" w:rsidRPr="00DA7A77" w:rsidRDefault="00DA7A77" w:rsidP="00DA7A77">
            <w:pPr>
              <w:rPr>
                <w:rFonts w:eastAsia="Calibri"/>
                <w:spacing w:val="-2"/>
              </w:rPr>
            </w:pPr>
            <w:r w:rsidRPr="00DA7A77">
              <w:rPr>
                <w:rFonts w:eastAsia="Calibri"/>
                <w:spacing w:val="-2"/>
              </w:rPr>
              <w:t>Cost Estimation:</w:t>
            </w:r>
          </w:p>
          <w:p w:rsidR="00DA7A77" w:rsidRPr="00DA7A77" w:rsidRDefault="00DA7A77" w:rsidP="00DA7A77">
            <w:pPr>
              <w:rPr>
                <w:rFonts w:eastAsia="Calibri"/>
                <w:spacing w:val="-2"/>
              </w:rPr>
            </w:pPr>
            <w:r w:rsidRPr="00DA7A77">
              <w:rPr>
                <w:rFonts w:eastAsia="Calibri"/>
                <w:spacing w:val="-2"/>
              </w:rPr>
              <w:t>- Develop framework for categorizing requirements (e.g. into “small”, “medium”, “large”, “very large”)</w:t>
            </w:r>
          </w:p>
          <w:p w:rsidR="00DA7A77" w:rsidRPr="00DA7A77" w:rsidRDefault="00DA7A77" w:rsidP="00DA7A77">
            <w:pPr>
              <w:rPr>
                <w:rFonts w:eastAsia="Calibri"/>
                <w:spacing w:val="-2"/>
              </w:rPr>
            </w:pPr>
            <w:r w:rsidRPr="00DA7A77">
              <w:rPr>
                <w:rFonts w:eastAsia="Calibri"/>
                <w:spacing w:val="-2"/>
              </w:rPr>
              <w:t>- Develop estimation methodology for each category of requirements (e.g. parametric, historical, bottoms-up etc.)</w:t>
            </w:r>
          </w:p>
          <w:p w:rsidR="00DA7A77" w:rsidRPr="00DA7A77" w:rsidRDefault="00DA7A77" w:rsidP="00DA7A77">
            <w:pPr>
              <w:rPr>
                <w:rFonts w:eastAsia="Calibri"/>
                <w:spacing w:val="-2"/>
              </w:rPr>
            </w:pPr>
            <w:r w:rsidRPr="00DA7A77">
              <w:rPr>
                <w:rFonts w:eastAsia="Calibri"/>
                <w:spacing w:val="-2"/>
              </w:rPr>
              <w:t xml:space="preserve">- Apply estimation methodology to develop high-level cost envelope </w:t>
            </w:r>
          </w:p>
          <w:p w:rsidR="00DA7A77" w:rsidRPr="00E243FC" w:rsidRDefault="00DA7A77" w:rsidP="00DA7A77">
            <w:pPr>
              <w:rPr>
                <w:rFonts w:eastAsia="Calibri"/>
                <w:spacing w:val="-2"/>
              </w:rPr>
            </w:pPr>
            <w:r w:rsidRPr="00DA7A77">
              <w:rPr>
                <w:rFonts w:eastAsia="Calibri"/>
                <w:spacing w:val="-2"/>
              </w:rPr>
              <w:t>- Pressure test estimation through triangulation (e.g. comparing with migrations of similar scale within California and outside California)</w:t>
            </w:r>
          </w:p>
        </w:tc>
      </w:tr>
      <w:tr w:rsidR="00DA7A77" w:rsidRPr="00E243FC" w:rsidTr="00322087">
        <w:tc>
          <w:tcPr>
            <w:tcW w:w="529" w:type="pct"/>
            <w:vAlign w:val="center"/>
          </w:tcPr>
          <w:p w:rsidR="00DA7A77" w:rsidRPr="00E243FC" w:rsidRDefault="00DA7A77" w:rsidP="00DA7A77">
            <w:pPr>
              <w:rPr>
                <w:rFonts w:eastAsia="Calibri"/>
                <w:spacing w:val="-2"/>
              </w:rPr>
            </w:pPr>
            <w:r w:rsidRPr="00E243FC">
              <w:rPr>
                <w:rFonts w:eastAsia="Calibri"/>
                <w:spacing w:val="-2"/>
              </w:rPr>
              <w:t>6</w:t>
            </w:r>
          </w:p>
        </w:tc>
        <w:tc>
          <w:tcPr>
            <w:tcW w:w="4471" w:type="pct"/>
            <w:vAlign w:val="center"/>
          </w:tcPr>
          <w:p w:rsidR="00DA7A77" w:rsidRDefault="00DA7A77" w:rsidP="00DA7A77">
            <w:pPr>
              <w:rPr>
                <w:rFonts w:eastAsia="Calibri"/>
                <w:spacing w:val="-2"/>
              </w:rPr>
            </w:pPr>
            <w:r>
              <w:rPr>
                <w:rFonts w:eastAsia="Calibri"/>
                <w:spacing w:val="-2"/>
              </w:rPr>
              <w:t>Implementation Planning:</w:t>
            </w:r>
          </w:p>
          <w:p w:rsidR="00DA7A77" w:rsidRDefault="00DA7A77" w:rsidP="00DA7A77">
            <w:pPr>
              <w:rPr>
                <w:rFonts w:eastAsia="Calibri"/>
                <w:spacing w:val="-2"/>
              </w:rPr>
            </w:pPr>
            <w:r>
              <w:rPr>
                <w:rFonts w:eastAsia="Calibri"/>
                <w:spacing w:val="-2"/>
              </w:rPr>
              <w:t>- Identify technical and non-technical activities to get to CalSAWS</w:t>
            </w:r>
          </w:p>
          <w:p w:rsidR="00DA7A77" w:rsidRDefault="00DA7A77" w:rsidP="00DA7A77">
            <w:pPr>
              <w:rPr>
                <w:rFonts w:eastAsia="Calibri"/>
                <w:spacing w:val="-2"/>
              </w:rPr>
            </w:pPr>
            <w:r>
              <w:rPr>
                <w:rFonts w:eastAsia="Calibri"/>
                <w:spacing w:val="-2"/>
              </w:rPr>
              <w:t>- Frame potential sequencing options and tradeoffs</w:t>
            </w:r>
          </w:p>
          <w:p w:rsidR="00DA7A77" w:rsidRDefault="00DA7A77" w:rsidP="00DA7A77">
            <w:pPr>
              <w:rPr>
                <w:rFonts w:eastAsia="Calibri"/>
                <w:spacing w:val="-2"/>
              </w:rPr>
            </w:pPr>
            <w:r>
              <w:rPr>
                <w:rFonts w:eastAsia="Calibri"/>
                <w:spacing w:val="-2"/>
              </w:rPr>
              <w:t>- Identify leading option</w:t>
            </w:r>
          </w:p>
          <w:p w:rsidR="00DA7A77" w:rsidRDefault="00DA7A77" w:rsidP="00DA7A77">
            <w:pPr>
              <w:rPr>
                <w:rFonts w:eastAsia="Calibri"/>
                <w:spacing w:val="-2"/>
              </w:rPr>
            </w:pPr>
            <w:r>
              <w:rPr>
                <w:rFonts w:eastAsia="Calibri"/>
                <w:spacing w:val="-2"/>
              </w:rPr>
              <w:t>- Estimate potential timelines for activities based on known internal and external benchmark</w:t>
            </w:r>
          </w:p>
          <w:p w:rsidR="00DA7A77" w:rsidRDefault="00DA7A77" w:rsidP="00DA7A77">
            <w:pPr>
              <w:rPr>
                <w:rFonts w:eastAsia="Calibri"/>
                <w:spacing w:val="-2"/>
              </w:rPr>
            </w:pPr>
            <w:r>
              <w:rPr>
                <w:rFonts w:eastAsia="Calibri"/>
                <w:spacing w:val="-2"/>
              </w:rPr>
              <w:t>- Identify all potential procurement / acquisition “blocks”</w:t>
            </w:r>
          </w:p>
          <w:p w:rsidR="00DA7A77" w:rsidRDefault="00DA7A77" w:rsidP="00DA7A77">
            <w:pPr>
              <w:rPr>
                <w:rFonts w:eastAsia="Calibri"/>
                <w:spacing w:val="-2"/>
              </w:rPr>
            </w:pPr>
            <w:r>
              <w:rPr>
                <w:rFonts w:eastAsia="Calibri"/>
                <w:spacing w:val="-2"/>
              </w:rPr>
              <w:t>- Identify options for procuring these blocks e.g., sole source vs. competitive</w:t>
            </w:r>
          </w:p>
          <w:p w:rsidR="00DA7A77" w:rsidRDefault="00DA7A77" w:rsidP="00DA7A77">
            <w:pPr>
              <w:rPr>
                <w:rFonts w:eastAsia="Calibri"/>
                <w:spacing w:val="-2"/>
              </w:rPr>
            </w:pPr>
            <w:r>
              <w:rPr>
                <w:rFonts w:eastAsia="Calibri"/>
                <w:spacing w:val="-2"/>
              </w:rPr>
              <w:t>- Identify leading option for each block</w:t>
            </w:r>
          </w:p>
          <w:p w:rsidR="00DA7A77" w:rsidRDefault="00DA7A77" w:rsidP="00DA7A77">
            <w:pPr>
              <w:rPr>
                <w:rFonts w:eastAsia="Calibri"/>
                <w:spacing w:val="-2"/>
              </w:rPr>
            </w:pPr>
            <w:r>
              <w:rPr>
                <w:rFonts w:eastAsia="Calibri"/>
                <w:spacing w:val="-2"/>
              </w:rPr>
              <w:t>- Identify key risks, and articulate the mitigation plans that should be deployed to minimize impact and probability of occurrence</w:t>
            </w:r>
          </w:p>
          <w:p w:rsidR="00DA7A77" w:rsidRDefault="00DA7A77" w:rsidP="00DA7A77">
            <w:pPr>
              <w:rPr>
                <w:rFonts w:eastAsia="Calibri"/>
                <w:spacing w:val="-2"/>
              </w:rPr>
            </w:pPr>
            <w:r>
              <w:rPr>
                <w:rFonts w:eastAsia="Calibri"/>
                <w:spacing w:val="-2"/>
              </w:rPr>
              <w:t>- Develop a view of milestones as well cost per milestone</w:t>
            </w:r>
          </w:p>
          <w:p w:rsidR="00DA7A77" w:rsidRDefault="00DA7A77" w:rsidP="00DA7A77">
            <w:pPr>
              <w:rPr>
                <w:rFonts w:eastAsia="Calibri"/>
                <w:spacing w:val="-2"/>
              </w:rPr>
            </w:pPr>
            <w:r>
              <w:rPr>
                <w:rFonts w:eastAsia="Calibri"/>
                <w:spacing w:val="-2"/>
              </w:rPr>
              <w:t>- Identify near term action plan (i.e. what should happen immediately to stay on course for CalSAWS timeline)</w:t>
            </w:r>
          </w:p>
          <w:p w:rsidR="00DA7A77" w:rsidRDefault="00DA7A77" w:rsidP="00DA7A77">
            <w:pPr>
              <w:rPr>
                <w:rFonts w:eastAsia="Calibri"/>
                <w:spacing w:val="-2"/>
              </w:rPr>
            </w:pPr>
            <w:r>
              <w:rPr>
                <w:rFonts w:eastAsia="Calibri"/>
                <w:spacing w:val="-2"/>
              </w:rPr>
              <w:t>- Identify potential accelerants, and associated tradeoffs</w:t>
            </w:r>
          </w:p>
          <w:p w:rsidR="00DA7A77" w:rsidRPr="00E243FC" w:rsidRDefault="00DA7A77" w:rsidP="00DA7A77">
            <w:pPr>
              <w:rPr>
                <w:rFonts w:eastAsia="Calibri"/>
                <w:spacing w:val="-2"/>
              </w:rPr>
            </w:pPr>
            <w:r>
              <w:rPr>
                <w:rFonts w:eastAsia="Calibri"/>
                <w:spacing w:val="-2"/>
              </w:rPr>
              <w:t>- Provide key learnings/best practices on end state operating model vendor management, and project oversight</w:t>
            </w:r>
          </w:p>
        </w:tc>
      </w:tr>
      <w:tr w:rsidR="009C15E6" w:rsidRPr="00E243FC" w:rsidTr="000C408E">
        <w:trPr>
          <w:trHeight w:val="3900"/>
        </w:trPr>
        <w:tc>
          <w:tcPr>
            <w:tcW w:w="529" w:type="pct"/>
            <w:vAlign w:val="center"/>
          </w:tcPr>
          <w:p w:rsidR="009C15E6" w:rsidRPr="00E243FC" w:rsidRDefault="009C15E6" w:rsidP="00DA7A77">
            <w:pPr>
              <w:rPr>
                <w:rFonts w:eastAsia="Calibri"/>
                <w:spacing w:val="-2"/>
              </w:rPr>
            </w:pPr>
            <w:r>
              <w:rPr>
                <w:rFonts w:eastAsia="Calibri"/>
                <w:spacing w:val="-2"/>
              </w:rPr>
              <w:t>7</w:t>
            </w:r>
          </w:p>
        </w:tc>
        <w:tc>
          <w:tcPr>
            <w:tcW w:w="4471" w:type="pct"/>
            <w:vAlign w:val="center"/>
          </w:tcPr>
          <w:p w:rsidR="009C15E6" w:rsidRDefault="009C15E6" w:rsidP="00DA7A77">
            <w:pPr>
              <w:rPr>
                <w:rFonts w:eastAsia="Calibri"/>
                <w:spacing w:val="-2"/>
              </w:rPr>
            </w:pPr>
            <w:r>
              <w:rPr>
                <w:rFonts w:eastAsia="Calibri"/>
                <w:spacing w:val="-2"/>
              </w:rPr>
              <w:t>Project Oversight and Subject Matter Expertise</w:t>
            </w:r>
            <w:r w:rsidR="00A61B60">
              <w:rPr>
                <w:rFonts w:eastAsia="Calibri"/>
                <w:spacing w:val="-2"/>
              </w:rPr>
              <w:t>:</w:t>
            </w:r>
          </w:p>
          <w:p w:rsidR="00861297" w:rsidRPr="000C408E" w:rsidRDefault="000C408E" w:rsidP="000C408E">
            <w:pPr>
              <w:rPr>
                <w:rFonts w:eastAsia="Calibri"/>
                <w:spacing w:val="-2"/>
              </w:rPr>
            </w:pPr>
            <w:r>
              <w:rPr>
                <w:rFonts w:eastAsia="Calibri"/>
                <w:spacing w:val="-2"/>
              </w:rPr>
              <w:t xml:space="preserve">- </w:t>
            </w:r>
            <w:r w:rsidR="00861297" w:rsidRPr="000C408E">
              <w:rPr>
                <w:rFonts w:eastAsia="Calibri"/>
                <w:spacing w:val="-2"/>
              </w:rPr>
              <w:t>Participate in project planning and status meetings</w:t>
            </w:r>
          </w:p>
          <w:p w:rsidR="00861297" w:rsidRPr="000C408E" w:rsidRDefault="000C408E" w:rsidP="000C408E">
            <w:pPr>
              <w:rPr>
                <w:rFonts w:eastAsia="Calibri"/>
                <w:spacing w:val="-2"/>
              </w:rPr>
            </w:pPr>
            <w:r>
              <w:rPr>
                <w:rFonts w:eastAsia="Calibri"/>
                <w:spacing w:val="-2"/>
              </w:rPr>
              <w:t xml:space="preserve">- </w:t>
            </w:r>
            <w:r w:rsidR="00861297" w:rsidRPr="000C408E">
              <w:rPr>
                <w:rFonts w:eastAsia="Calibri"/>
                <w:spacing w:val="-2"/>
              </w:rPr>
              <w:t>Manage client relationship and performance to expectations</w:t>
            </w:r>
          </w:p>
          <w:p w:rsidR="00861297" w:rsidRPr="000C408E" w:rsidRDefault="000C408E" w:rsidP="000C408E">
            <w:pPr>
              <w:rPr>
                <w:rFonts w:eastAsia="Calibri"/>
                <w:spacing w:val="-2"/>
              </w:rPr>
            </w:pPr>
            <w:r>
              <w:rPr>
                <w:rFonts w:eastAsia="Calibri"/>
                <w:spacing w:val="-2"/>
              </w:rPr>
              <w:t xml:space="preserve">- </w:t>
            </w:r>
            <w:r w:rsidR="00861297" w:rsidRPr="000C408E">
              <w:rPr>
                <w:rFonts w:eastAsia="Calibri"/>
                <w:spacing w:val="-2"/>
              </w:rPr>
              <w:t>Ensure adequate resource coverage to meet deliverable expectations</w:t>
            </w:r>
          </w:p>
          <w:p w:rsidR="00861297" w:rsidRPr="000C408E" w:rsidRDefault="000C408E" w:rsidP="000C408E">
            <w:pPr>
              <w:rPr>
                <w:rFonts w:eastAsia="Calibri"/>
                <w:spacing w:val="-2"/>
              </w:rPr>
            </w:pPr>
            <w:r>
              <w:rPr>
                <w:rFonts w:eastAsia="Calibri"/>
                <w:spacing w:val="-2"/>
              </w:rPr>
              <w:t xml:space="preserve">- </w:t>
            </w:r>
            <w:r w:rsidR="00861297" w:rsidRPr="000C408E">
              <w:rPr>
                <w:rFonts w:eastAsia="Calibri"/>
                <w:spacing w:val="-2"/>
              </w:rPr>
              <w:t>Conduct periodic performance reviews with subcontractor for adjustments in approach as necessary</w:t>
            </w:r>
          </w:p>
          <w:p w:rsidR="00861297" w:rsidRPr="000C408E" w:rsidRDefault="000C408E" w:rsidP="000C408E">
            <w:pPr>
              <w:rPr>
                <w:rFonts w:eastAsia="Calibri"/>
                <w:spacing w:val="-2"/>
              </w:rPr>
            </w:pPr>
            <w:r>
              <w:rPr>
                <w:rFonts w:eastAsia="Calibri"/>
                <w:spacing w:val="-2"/>
              </w:rPr>
              <w:t xml:space="preserve">- </w:t>
            </w:r>
            <w:r w:rsidR="00861297" w:rsidRPr="000C408E">
              <w:rPr>
                <w:rFonts w:eastAsia="Calibri"/>
                <w:spacing w:val="-2"/>
              </w:rPr>
              <w:t>Ensure timely completion of all tasks and deliverables as defined in the scope of work and that the deliverables meet overall standards for acceptance</w:t>
            </w:r>
          </w:p>
          <w:p w:rsidR="00861297" w:rsidRPr="000C408E" w:rsidRDefault="000C408E" w:rsidP="000C408E">
            <w:pPr>
              <w:rPr>
                <w:rFonts w:eastAsia="Calibri"/>
                <w:spacing w:val="-2"/>
              </w:rPr>
            </w:pPr>
            <w:r>
              <w:rPr>
                <w:rFonts w:eastAsia="Calibri"/>
                <w:spacing w:val="-2"/>
              </w:rPr>
              <w:t xml:space="preserve">- </w:t>
            </w:r>
            <w:r w:rsidR="00861297" w:rsidRPr="000C408E">
              <w:rPr>
                <w:rFonts w:eastAsia="Calibri"/>
                <w:spacing w:val="-2"/>
              </w:rPr>
              <w:t>Provide ongoing advice and support regarding direction related to this scope of work, including identifying issues and risks with recommendations to minimize impacts to timeline</w:t>
            </w:r>
          </w:p>
          <w:p w:rsidR="009C15E6" w:rsidRPr="000C408E" w:rsidRDefault="000C408E" w:rsidP="000C408E">
            <w:pPr>
              <w:rPr>
                <w:rFonts w:eastAsia="Calibri"/>
                <w:spacing w:val="-2"/>
              </w:rPr>
            </w:pPr>
            <w:r>
              <w:rPr>
                <w:rFonts w:eastAsia="Calibri"/>
                <w:spacing w:val="-2"/>
              </w:rPr>
              <w:t xml:space="preserve">- </w:t>
            </w:r>
            <w:r w:rsidR="00861297" w:rsidRPr="000C408E">
              <w:rPr>
                <w:rFonts w:eastAsia="Calibri"/>
                <w:spacing w:val="-2"/>
              </w:rPr>
              <w:t>Provide subject matter expertise when necessary to assist with the analysis activities contained within each deliverable.  This includes support such as aiding in the interpretation and translation of information related to requirements, assistance in understanding the counties’ unique business needs, and providing clarification on the various federal, state, and county specific programs</w:t>
            </w:r>
          </w:p>
        </w:tc>
      </w:tr>
      <w:bookmarkEnd w:id="2"/>
    </w:tbl>
    <w:p w:rsidR="008564C4" w:rsidRDefault="008564C4" w:rsidP="00322087">
      <w:pPr>
        <w:ind w:left="720"/>
      </w:pPr>
    </w:p>
    <w:p w:rsidR="005F2459" w:rsidRPr="00B50A47" w:rsidRDefault="005F2459" w:rsidP="005F2459">
      <w:pPr>
        <w:jc w:val="both"/>
        <w:rPr>
          <w:highlight w:val="yellow"/>
        </w:rPr>
      </w:pPr>
      <w:r w:rsidRPr="005F2459">
        <w:t xml:space="preserve">The assessment will be </w:t>
      </w:r>
      <w:r w:rsidR="009909A8">
        <w:t>staged</w:t>
      </w:r>
      <w:r w:rsidR="009909A8" w:rsidRPr="005F2459">
        <w:t xml:space="preserve"> </w:t>
      </w:r>
      <w:r w:rsidRPr="005F2459">
        <w:t>over a</w:t>
      </w:r>
      <w:r w:rsidR="00DA7A77">
        <w:t>n 18</w:t>
      </w:r>
      <w:r w:rsidRPr="005F2459">
        <w:t xml:space="preserve">-week period, </w:t>
      </w:r>
      <w:r w:rsidR="00DA7A77">
        <w:t>March 26</w:t>
      </w:r>
      <w:r w:rsidRPr="005F2459">
        <w:t xml:space="preserve">, 2018 to </w:t>
      </w:r>
      <w:r w:rsidR="00DA7A77">
        <w:t>July 27</w:t>
      </w:r>
      <w:r w:rsidR="00B50A47">
        <w:t>, 2018, during which ten</w:t>
      </w:r>
      <w:r w:rsidRPr="005F2459">
        <w:t xml:space="preserve"> deliverables will be generated. To facilitate this, there will be a short period of </w:t>
      </w:r>
      <w:r w:rsidR="00B50A47">
        <w:t>setup and preparation work</w:t>
      </w:r>
      <w:r w:rsidRPr="005F2459">
        <w:t xml:space="preserve"> from </w:t>
      </w:r>
      <w:r w:rsidR="00B50A47">
        <w:t>March 26</w:t>
      </w:r>
      <w:r w:rsidRPr="005F2459">
        <w:t xml:space="preserve">, 2018 to </w:t>
      </w:r>
      <w:r w:rsidR="00B50A47">
        <w:t>March 30</w:t>
      </w:r>
      <w:r w:rsidRPr="005F2459">
        <w:t>, 2018</w:t>
      </w:r>
      <w:r w:rsidR="00B50A47">
        <w:t>,</w:t>
      </w:r>
      <w:r w:rsidRPr="005F2459">
        <w:t xml:space="preserve"> for the project team to align on deliverables, approach, timelines, stakeholders and to prepare for the kickoff. </w:t>
      </w:r>
    </w:p>
    <w:p w:rsidR="005F2459" w:rsidRPr="00B50A47" w:rsidRDefault="005F2459" w:rsidP="005F2459">
      <w:pPr>
        <w:jc w:val="both"/>
        <w:rPr>
          <w:highlight w:val="yellow"/>
        </w:rPr>
      </w:pPr>
    </w:p>
    <w:p w:rsidR="008A5321" w:rsidRDefault="0055178A" w:rsidP="00322087">
      <w:pPr>
        <w:ind w:left="720"/>
      </w:pPr>
      <w:r w:rsidRPr="00CE0735">
        <w:t>First Data</w:t>
      </w:r>
      <w:r w:rsidR="008A5321">
        <w:t xml:space="preserve"> </w:t>
      </w:r>
      <w:r w:rsidR="002941D3">
        <w:t xml:space="preserve">and its subcontractor </w:t>
      </w:r>
      <w:r w:rsidR="008A5321">
        <w:t>will produce the following deliverables:</w:t>
      </w:r>
    </w:p>
    <w:p w:rsidR="00B5722D" w:rsidRPr="00B50A47" w:rsidRDefault="00B5722D" w:rsidP="00B50A47">
      <w:pPr>
        <w:pStyle w:val="ListParagraph"/>
        <w:numPr>
          <w:ilvl w:val="0"/>
          <w:numId w:val="31"/>
        </w:numPr>
        <w:jc w:val="both"/>
      </w:pPr>
      <w:r w:rsidRPr="00B5722D">
        <w:rPr>
          <w:b/>
        </w:rPr>
        <w:t xml:space="preserve">Deliverable 01 </w:t>
      </w:r>
      <w:r w:rsidR="00B50A47">
        <w:rPr>
          <w:b/>
        </w:rPr>
        <w:t>–</w:t>
      </w:r>
      <w:r w:rsidRPr="00B5722D">
        <w:rPr>
          <w:b/>
        </w:rPr>
        <w:t xml:space="preserve"> </w:t>
      </w:r>
      <w:r w:rsidR="009C42EC">
        <w:rPr>
          <w:b/>
        </w:rPr>
        <w:t>Draft f</w:t>
      </w:r>
      <w:r w:rsidRPr="00B5722D">
        <w:rPr>
          <w:b/>
        </w:rPr>
        <w:t xml:space="preserve">act-base </w:t>
      </w:r>
      <w:r w:rsidR="00B50A47">
        <w:rPr>
          <w:b/>
        </w:rPr>
        <w:t>for assessment of CalACES requirements</w:t>
      </w:r>
      <w:r w:rsidRPr="00B5722D">
        <w:rPr>
          <w:b/>
        </w:rPr>
        <w:t xml:space="preserve">: </w:t>
      </w:r>
      <w:r w:rsidR="00B50A47" w:rsidRPr="00B50A47">
        <w:t>This deliverable will contain the as</w:t>
      </w:r>
      <w:r w:rsidR="00B50A47">
        <w:t xml:space="preserve">sessment of already identified </w:t>
      </w:r>
      <w:r w:rsidR="00B50A47" w:rsidRPr="00B50A47">
        <w:t>560 CalACES requirements against the future state CalSAWS requirements, and develop a priority order of requirements (based on an agreed upon criteria such as customer needs, cost estimates, worker efficiency and effectiveness)</w:t>
      </w:r>
      <w:r w:rsidR="00B50A47">
        <w:t>.</w:t>
      </w:r>
    </w:p>
    <w:p w:rsidR="008A5321" w:rsidRDefault="008A5321" w:rsidP="00322087">
      <w:pPr>
        <w:ind w:left="720"/>
        <w:rPr>
          <w:b/>
        </w:rPr>
      </w:pPr>
    </w:p>
    <w:p w:rsidR="00B5722D" w:rsidRDefault="00B5722D" w:rsidP="00B50A47">
      <w:pPr>
        <w:pStyle w:val="ListParagraph"/>
        <w:numPr>
          <w:ilvl w:val="0"/>
          <w:numId w:val="31"/>
        </w:numPr>
      </w:pPr>
      <w:r w:rsidRPr="00B5722D">
        <w:rPr>
          <w:b/>
        </w:rPr>
        <w:t xml:space="preserve">Deliverable 02 </w:t>
      </w:r>
      <w:r w:rsidR="00B50A47">
        <w:rPr>
          <w:b/>
        </w:rPr>
        <w:t>–</w:t>
      </w:r>
      <w:r w:rsidRPr="00B5722D">
        <w:rPr>
          <w:b/>
        </w:rPr>
        <w:t xml:space="preserve"> </w:t>
      </w:r>
      <w:r w:rsidR="009C42EC">
        <w:rPr>
          <w:b/>
        </w:rPr>
        <w:t>Draft f</w:t>
      </w:r>
      <w:r w:rsidR="00B50A47">
        <w:rPr>
          <w:b/>
        </w:rPr>
        <w:t>act-base on data conversion strategy for CalSAWS</w:t>
      </w:r>
      <w:r w:rsidRPr="00B5722D">
        <w:rPr>
          <w:b/>
        </w:rPr>
        <w:t>:</w:t>
      </w:r>
      <w:r w:rsidRPr="00522777">
        <w:t xml:space="preserve"> </w:t>
      </w:r>
      <w:r w:rsidR="00B50A47" w:rsidRPr="00B50A47">
        <w:t>This deliverable will include a draft view of future state CalSAWS data models, usage profiles, and major interfaces. Additionally, it will also include a view of current state data models, and a gap analysis between current and future state models across all counties</w:t>
      </w:r>
      <w:r w:rsidRPr="00B50A47">
        <w:t>.</w:t>
      </w:r>
      <w:r>
        <w:t xml:space="preserve"> </w:t>
      </w:r>
    </w:p>
    <w:p w:rsidR="00B5722D" w:rsidRPr="00B5722D" w:rsidRDefault="00B5722D" w:rsidP="00B5722D">
      <w:pPr>
        <w:ind w:left="720"/>
        <w:rPr>
          <w:b/>
        </w:rPr>
      </w:pPr>
    </w:p>
    <w:p w:rsidR="008A5321" w:rsidRDefault="00A628B0" w:rsidP="00B50A47">
      <w:pPr>
        <w:pStyle w:val="ListParagraph"/>
        <w:numPr>
          <w:ilvl w:val="0"/>
          <w:numId w:val="31"/>
        </w:numPr>
      </w:pPr>
      <w:r w:rsidRPr="00A628B0">
        <w:rPr>
          <w:b/>
        </w:rPr>
        <w:t xml:space="preserve">Deliverable 03 </w:t>
      </w:r>
      <w:r w:rsidR="00B50A47">
        <w:rPr>
          <w:b/>
        </w:rPr>
        <w:t>–</w:t>
      </w:r>
      <w:r w:rsidRPr="00A628B0">
        <w:rPr>
          <w:b/>
        </w:rPr>
        <w:t xml:space="preserve"> </w:t>
      </w:r>
      <w:r w:rsidR="009C42EC">
        <w:rPr>
          <w:b/>
        </w:rPr>
        <w:t>Draft f</w:t>
      </w:r>
      <w:r w:rsidR="00B50A47">
        <w:rPr>
          <w:b/>
        </w:rPr>
        <w:t xml:space="preserve">act-base for CalSAWS requirements consolidation &amp; </w:t>
      </w:r>
      <w:proofErr w:type="spellStart"/>
      <w:r w:rsidR="00B50A47">
        <w:rPr>
          <w:b/>
        </w:rPr>
        <w:t>priorization</w:t>
      </w:r>
      <w:proofErr w:type="spellEnd"/>
      <w:r w:rsidRPr="00A628B0">
        <w:rPr>
          <w:b/>
        </w:rPr>
        <w:t>:</w:t>
      </w:r>
      <w:r w:rsidRPr="00522777">
        <w:t xml:space="preserve"> </w:t>
      </w:r>
      <w:r w:rsidR="00B50A47" w:rsidRPr="00B50A47">
        <w:t>This deliverable will contain a consolidated view of requirements across business processes, ancillary systems and tools, and data models for CalSAWS (across CalWIN and CalACES), along with a view on standardized requirements, and deviations. Additionally, this deliverable will also contain a priority list of requirements</w:t>
      </w:r>
      <w:r w:rsidRPr="00522777">
        <w:t xml:space="preserve">. </w:t>
      </w:r>
    </w:p>
    <w:p w:rsidR="00B50A47" w:rsidRDefault="00B50A47" w:rsidP="00B50A47">
      <w:pPr>
        <w:pStyle w:val="ListParagraph"/>
      </w:pPr>
    </w:p>
    <w:p w:rsidR="00B50A47" w:rsidRDefault="00B50A47" w:rsidP="00B50A47">
      <w:pPr>
        <w:pStyle w:val="ListParagraph"/>
        <w:numPr>
          <w:ilvl w:val="0"/>
          <w:numId w:val="31"/>
        </w:numPr>
      </w:pPr>
      <w:r w:rsidRPr="00B50A47">
        <w:rPr>
          <w:b/>
        </w:rPr>
        <w:t>Deliverable 04 –</w:t>
      </w:r>
      <w:r w:rsidR="009C42EC">
        <w:rPr>
          <w:b/>
        </w:rPr>
        <w:t xml:space="preserve"> Draft f</w:t>
      </w:r>
      <w:r w:rsidRPr="00B50A47">
        <w:rPr>
          <w:b/>
        </w:rPr>
        <w:t>act-base for high-</w:t>
      </w:r>
      <w:r w:rsidR="002632DB">
        <w:rPr>
          <w:b/>
        </w:rPr>
        <w:t>level estimation of one</w:t>
      </w:r>
      <w:r w:rsidRPr="00B50A47">
        <w:rPr>
          <w:b/>
        </w:rPr>
        <w:t>-time migration costs for CalSAWS:</w:t>
      </w:r>
      <w:r>
        <w:t xml:space="preserve"> </w:t>
      </w:r>
      <w:r w:rsidRPr="00B50A47">
        <w:t>This deliverable will contain a holistic view of one-time migration cost estimation to achieve the target state across all requirements (business process, ancillary systems and tools, and data conversion) This will also include the cost of transferring the consolidated system onto the cloud environment</w:t>
      </w:r>
      <w:r>
        <w:t>.</w:t>
      </w:r>
    </w:p>
    <w:p w:rsidR="00B50A47" w:rsidRDefault="00B50A47" w:rsidP="00B50A47">
      <w:pPr>
        <w:pStyle w:val="ListParagraph"/>
      </w:pPr>
    </w:p>
    <w:p w:rsidR="00B50A47" w:rsidRDefault="00B50A47" w:rsidP="00B50A47">
      <w:pPr>
        <w:pStyle w:val="ListParagraph"/>
        <w:numPr>
          <w:ilvl w:val="0"/>
          <w:numId w:val="31"/>
        </w:numPr>
      </w:pPr>
      <w:r w:rsidRPr="00B50A47">
        <w:rPr>
          <w:b/>
        </w:rPr>
        <w:t>Deliverable 05 –</w:t>
      </w:r>
      <w:r w:rsidR="009C42EC">
        <w:rPr>
          <w:b/>
        </w:rPr>
        <w:t xml:space="preserve"> Draft f</w:t>
      </w:r>
      <w:r w:rsidRPr="00B50A47">
        <w:rPr>
          <w:b/>
        </w:rPr>
        <w:t>act-base for high-level estimation of ongoing migration costs for CalSAWS:</w:t>
      </w:r>
      <w:r w:rsidRPr="00B50A47">
        <w:t xml:space="preserve"> This deliverable will contain an agreed-upon view of steady state costs for the whole CalSAWS systems across core system, ancillary systems and tools (including the cost of managing in the cloud environment</w:t>
      </w:r>
      <w:r>
        <w:t>.</w:t>
      </w:r>
    </w:p>
    <w:p w:rsidR="00B50A47" w:rsidRDefault="00B50A47" w:rsidP="00B50A47">
      <w:pPr>
        <w:pStyle w:val="ListParagraph"/>
      </w:pPr>
    </w:p>
    <w:p w:rsidR="00B50A47" w:rsidRDefault="00B50A47" w:rsidP="00B50A47">
      <w:pPr>
        <w:pStyle w:val="ListParagraph"/>
        <w:numPr>
          <w:ilvl w:val="0"/>
          <w:numId w:val="31"/>
        </w:numPr>
      </w:pPr>
      <w:r w:rsidRPr="00B50A47">
        <w:rPr>
          <w:b/>
        </w:rPr>
        <w:t xml:space="preserve">Deliverable 06 – </w:t>
      </w:r>
      <w:r w:rsidR="009C42EC">
        <w:rPr>
          <w:b/>
        </w:rPr>
        <w:t>Draft f</w:t>
      </w:r>
      <w:r w:rsidRPr="00B50A47">
        <w:rPr>
          <w:b/>
        </w:rPr>
        <w:t>act-base for assessment on sequencing/timeline, procurement options, risk planning / mitigation and other considerations for CalSAWS:</w:t>
      </w:r>
      <w:r w:rsidRPr="00B50A47">
        <w:t xml:space="preserve"> This deliverable will contain a holistic implementation plan, including identification of major activities, key milestones, timelines, dependencies, required capabilities, and identification of risk and mitigating actions</w:t>
      </w:r>
      <w:r>
        <w:t>.</w:t>
      </w:r>
    </w:p>
    <w:p w:rsidR="00B50A47" w:rsidRDefault="00B50A47" w:rsidP="00B50A47">
      <w:pPr>
        <w:pStyle w:val="ListParagraph"/>
      </w:pPr>
    </w:p>
    <w:p w:rsidR="00B50A47" w:rsidRDefault="00B50A47" w:rsidP="00B50A47">
      <w:pPr>
        <w:pStyle w:val="ListParagraph"/>
        <w:numPr>
          <w:ilvl w:val="0"/>
          <w:numId w:val="31"/>
        </w:numPr>
      </w:pPr>
      <w:r w:rsidRPr="0067785C">
        <w:rPr>
          <w:b/>
        </w:rPr>
        <w:t>Deliverable 07 – Interim CalSAWS Report (</w:t>
      </w:r>
      <w:r w:rsidR="00275F0D">
        <w:rPr>
          <w:b/>
        </w:rPr>
        <w:t>May</w:t>
      </w:r>
      <w:r w:rsidRPr="0067785C">
        <w:rPr>
          <w:b/>
        </w:rPr>
        <w:t>):</w:t>
      </w:r>
      <w:r w:rsidRPr="00B50A47">
        <w:t xml:space="preserve"> Draft report on emerging view of consolidated CalSAWS requirements, and assessment of requirements collection process: This deliverable will contain a draft report, summarizing an early view of consolidated CalSAWS requirements (across business processes, ancillary systems, data models), and the assessment of the requirements gathering process (e.g., methodology, evaluation criteria, templates)</w:t>
      </w:r>
      <w:r w:rsidR="0067785C">
        <w:t>.</w:t>
      </w:r>
    </w:p>
    <w:p w:rsidR="0067785C" w:rsidRDefault="0067785C" w:rsidP="0067785C">
      <w:pPr>
        <w:pStyle w:val="ListParagraph"/>
      </w:pPr>
    </w:p>
    <w:p w:rsidR="0067785C" w:rsidRDefault="0067785C" w:rsidP="0067785C">
      <w:pPr>
        <w:pStyle w:val="ListParagraph"/>
        <w:numPr>
          <w:ilvl w:val="0"/>
          <w:numId w:val="31"/>
        </w:numPr>
      </w:pPr>
      <w:r w:rsidRPr="0067785C">
        <w:rPr>
          <w:b/>
        </w:rPr>
        <w:lastRenderedPageBreak/>
        <w:t>Deliverable 08</w:t>
      </w:r>
      <w:r w:rsidR="009C42EC">
        <w:rPr>
          <w:b/>
        </w:rPr>
        <w:t xml:space="preserve"> – </w:t>
      </w:r>
      <w:r w:rsidRPr="0067785C">
        <w:rPr>
          <w:b/>
        </w:rPr>
        <w:t>Interim CalSAWS Report (May):</w:t>
      </w:r>
      <w:r>
        <w:t xml:space="preserve"> Draft report on emerging view of consolidated CalSAWS requirements, and assessment of requirements collection process: This deliverable will contain an updated view of consolidated CalSAWS requirements (across business processes, ancillary systems, data models), along with an emerging view of standardized and non-standardized requirements, a priority order of requirements, and the assessment of the requirements gathering process (e.g., methodology, evaluation criteria, templates).</w:t>
      </w:r>
    </w:p>
    <w:p w:rsidR="0067785C" w:rsidRDefault="0067785C" w:rsidP="0067785C">
      <w:pPr>
        <w:pStyle w:val="ListParagraph"/>
        <w:ind w:left="1440"/>
      </w:pPr>
    </w:p>
    <w:p w:rsidR="0067785C" w:rsidRDefault="0067785C" w:rsidP="0067785C">
      <w:pPr>
        <w:pStyle w:val="ListParagraph"/>
        <w:numPr>
          <w:ilvl w:val="0"/>
          <w:numId w:val="31"/>
        </w:numPr>
      </w:pPr>
      <w:r w:rsidRPr="0067785C">
        <w:rPr>
          <w:b/>
        </w:rPr>
        <w:t>Deliverable 09</w:t>
      </w:r>
      <w:r w:rsidR="009C42EC">
        <w:rPr>
          <w:b/>
        </w:rPr>
        <w:t xml:space="preserve"> – </w:t>
      </w:r>
      <w:r w:rsidRPr="0067785C">
        <w:rPr>
          <w:b/>
        </w:rPr>
        <w:t>Interim CalSAWS Report (June):</w:t>
      </w:r>
      <w:r>
        <w:t xml:space="preserve"> Draft report on CalSAWS requirements: This deliverable will contain a draft view (near-final) of consolidated CalSAWS requirements (across business processes, ancillary systems, data models), along with a draft of standardized and non-standardized requirements, and a priority order of requirements.</w:t>
      </w:r>
    </w:p>
    <w:p w:rsidR="0067785C" w:rsidRDefault="0067785C" w:rsidP="0067785C">
      <w:pPr>
        <w:pStyle w:val="ListParagraph"/>
        <w:ind w:left="1440"/>
      </w:pPr>
    </w:p>
    <w:p w:rsidR="0067785C" w:rsidRPr="004D538A" w:rsidRDefault="0067785C" w:rsidP="0067785C">
      <w:pPr>
        <w:pStyle w:val="ListParagraph"/>
        <w:numPr>
          <w:ilvl w:val="0"/>
          <w:numId w:val="31"/>
        </w:numPr>
      </w:pPr>
      <w:r w:rsidRPr="0067785C">
        <w:rPr>
          <w:b/>
        </w:rPr>
        <w:t xml:space="preserve">Deliverable 10 </w:t>
      </w:r>
      <w:r w:rsidR="009C42EC">
        <w:rPr>
          <w:b/>
        </w:rPr>
        <w:t xml:space="preserve">– </w:t>
      </w:r>
      <w:r w:rsidRPr="0067785C">
        <w:rPr>
          <w:b/>
        </w:rPr>
        <w:t>Final CalSAWS Report (July):</w:t>
      </w:r>
      <w:r>
        <w:t xml:space="preserve"> Final report on CalSAWS requirements, with high-level cost and impacts assessment: This deliverable will be the final report of the assessment, summarizing the all the CalSAWS requirements categorized into standardized and deviations, along with a stated rationale (across business processes, ancillary systems and data models). The report will also include a cost analysis and associate impact of requirements in order to determine the priority order of implementation.</w:t>
      </w:r>
    </w:p>
    <w:p w:rsidR="004A09A8" w:rsidRPr="009C42EC" w:rsidRDefault="004A09A8" w:rsidP="00FF16D1">
      <w:pPr>
        <w:pStyle w:val="Heading1"/>
        <w:keepNext/>
      </w:pPr>
      <w:r w:rsidRPr="009C42EC">
        <w:t>Assumptions</w:t>
      </w:r>
    </w:p>
    <w:p w:rsidR="00C30B8A" w:rsidRPr="009C42EC" w:rsidRDefault="00C30B8A" w:rsidP="00C30B8A">
      <w:pPr>
        <w:ind w:left="720"/>
        <w:rPr>
          <w:rFonts w:cs="Arial"/>
          <w:szCs w:val="22"/>
        </w:rPr>
      </w:pPr>
      <w:r w:rsidRPr="009C42EC">
        <w:rPr>
          <w:rFonts w:cs="Arial"/>
          <w:szCs w:val="22"/>
        </w:rPr>
        <w:t>In addition to any other responsibilities or duties described in this Change Order or in the Agreement, the conditions on First Data's performance and assumptions upon which First Data has relied in agreeing to perform the services described in this Change Order on the terms set out herein (collectively "Assumptions")</w:t>
      </w:r>
      <w:r w:rsidR="00753293" w:rsidRPr="009C42EC">
        <w:rPr>
          <w:rFonts w:cs="Arial"/>
          <w:szCs w:val="22"/>
        </w:rPr>
        <w:t xml:space="preserve"> are listed below</w:t>
      </w:r>
      <w:r w:rsidRPr="009C42EC">
        <w:rPr>
          <w:rFonts w:cs="Arial"/>
          <w:szCs w:val="22"/>
        </w:rPr>
        <w:t>. If any of the Assumptions are not performed or prove to be incorrect, it may cause changes to the Schedule, costs, Deliverables, or level of effort required, or otherwise impact First Data’s performance of the services described in this Change Order.</w:t>
      </w:r>
    </w:p>
    <w:p w:rsidR="005505E7" w:rsidRPr="009C42EC" w:rsidRDefault="005505E7" w:rsidP="005505E7">
      <w:pPr>
        <w:spacing w:before="120" w:after="120"/>
        <w:ind w:left="720"/>
      </w:pPr>
      <w:r w:rsidRPr="009C42EC">
        <w:t xml:space="preserve">The </w:t>
      </w:r>
      <w:r w:rsidR="00753293" w:rsidRPr="009C42EC">
        <w:t>A</w:t>
      </w:r>
      <w:r w:rsidRPr="009C42EC">
        <w:t>ssumption</w:t>
      </w:r>
      <w:r w:rsidR="009449F4" w:rsidRPr="009C42EC">
        <w:t>s</w:t>
      </w:r>
      <w:r w:rsidR="00AD44BE" w:rsidRPr="009C42EC">
        <w:t xml:space="preserve"> of this Change Order</w:t>
      </w:r>
      <w:r w:rsidR="00753293" w:rsidRPr="009C42EC">
        <w:t xml:space="preserve"> are set forth below</w:t>
      </w:r>
      <w:r w:rsidRPr="009C42EC">
        <w:t>:</w:t>
      </w:r>
    </w:p>
    <w:p w:rsidR="009C42EC" w:rsidRPr="009C42EC" w:rsidRDefault="009C42EC" w:rsidP="009C42EC">
      <w:pPr>
        <w:pStyle w:val="ListParagraph"/>
        <w:numPr>
          <w:ilvl w:val="0"/>
          <w:numId w:val="4"/>
        </w:numPr>
      </w:pPr>
      <w:r w:rsidRPr="009C42EC">
        <w:t xml:space="preserve">Regular check-ins with the project team, and project review meetings with the core project team and broad set of stakeholders to provide verbal updates and align on tasks, review progress, escalate any roadblocks, and resolve outstanding issues. </w:t>
      </w:r>
    </w:p>
    <w:p w:rsidR="009C42EC" w:rsidRPr="009C42EC" w:rsidRDefault="009C42EC" w:rsidP="009C42EC">
      <w:pPr>
        <w:pStyle w:val="ListParagraph"/>
        <w:numPr>
          <w:ilvl w:val="0"/>
          <w:numId w:val="4"/>
        </w:numPr>
      </w:pPr>
      <w:r w:rsidRPr="009C42EC">
        <w:t xml:space="preserve">Leverage existing meetings that occur at least monthly (or more as needed) for syndication of progress and emerging findings with critical stakeholders across the consortia, state, counties, and other partners that will be identified during the kickoff </w:t>
      </w:r>
    </w:p>
    <w:p w:rsidR="009C42EC" w:rsidRPr="009C42EC" w:rsidRDefault="009C42EC" w:rsidP="009C42EC">
      <w:pPr>
        <w:pStyle w:val="ListParagraph"/>
        <w:numPr>
          <w:ilvl w:val="0"/>
          <w:numId w:val="4"/>
        </w:numPr>
      </w:pPr>
      <w:r w:rsidRPr="009C42EC">
        <w:t>Decisions shall be made in a timely fashion such that key milestones and timelines are agreed upon upfront and met</w:t>
      </w:r>
    </w:p>
    <w:p w:rsidR="009C42EC" w:rsidRPr="009C42EC" w:rsidRDefault="009C42EC" w:rsidP="009C42EC">
      <w:pPr>
        <w:pStyle w:val="ListParagraph"/>
        <w:numPr>
          <w:ilvl w:val="0"/>
          <w:numId w:val="4"/>
        </w:numPr>
      </w:pPr>
      <w:r w:rsidRPr="009C42EC">
        <w:t>Access to institutional data and subject matter experts as well as time from the right data ‘leads’ to help interpret and translate the information. This includes access to off-the-shelf reports, systems and databases for pulls of raw data, any available reports and/or documents, as well as time to meet and have conversations and/or conduct interviews with relevant resources across the C-IV, LRS, CalACES and CalSAWS project teams. A data scorecard will be utilized as a tracking mechanism and to communicate outstanding data requests in a timely manner and to provide transparency into the data collection process.</w:t>
      </w:r>
    </w:p>
    <w:p w:rsidR="009C42EC" w:rsidRPr="009C42EC" w:rsidRDefault="009C42EC" w:rsidP="009C42EC">
      <w:pPr>
        <w:pStyle w:val="ListParagraph"/>
        <w:numPr>
          <w:ilvl w:val="0"/>
          <w:numId w:val="4"/>
        </w:numPr>
      </w:pPr>
      <w:r w:rsidRPr="009C42EC">
        <w:t>Dedicated project team with appropriate representation from the Client, inclusive of State and Consortia stakeholders</w:t>
      </w:r>
    </w:p>
    <w:p w:rsidR="009C42EC" w:rsidRPr="009C42EC" w:rsidRDefault="009C42EC" w:rsidP="009C42EC">
      <w:pPr>
        <w:pStyle w:val="ListParagraph"/>
        <w:numPr>
          <w:ilvl w:val="0"/>
          <w:numId w:val="4"/>
        </w:numPr>
      </w:pPr>
      <w:r w:rsidRPr="009C42EC">
        <w:lastRenderedPageBreak/>
        <w:t xml:space="preserve">Collaborative approach to problem solving with active involvement of the Client team members through frequent working sessions </w:t>
      </w:r>
    </w:p>
    <w:p w:rsidR="00306D9C" w:rsidRPr="009C42EC" w:rsidRDefault="007E694C" w:rsidP="0090357A">
      <w:pPr>
        <w:pStyle w:val="ListParagraph"/>
        <w:numPr>
          <w:ilvl w:val="0"/>
          <w:numId w:val="4"/>
        </w:numPr>
        <w:rPr>
          <w:rFonts w:cs="Arial"/>
          <w:szCs w:val="22"/>
        </w:rPr>
      </w:pPr>
      <w:r w:rsidRPr="009C42EC">
        <w:rPr>
          <w:rFonts w:cs="Arial"/>
          <w:szCs w:val="22"/>
        </w:rPr>
        <w:t xml:space="preserve">Consortium </w:t>
      </w:r>
      <w:r w:rsidR="00306D9C" w:rsidRPr="009C42EC">
        <w:rPr>
          <w:rFonts w:cs="Arial"/>
          <w:szCs w:val="22"/>
        </w:rPr>
        <w:t xml:space="preserve">shall give Acceptance </w:t>
      </w:r>
      <w:r w:rsidR="00542743" w:rsidRPr="009C42EC">
        <w:rPr>
          <w:rFonts w:cs="Arial"/>
          <w:szCs w:val="22"/>
        </w:rPr>
        <w:t xml:space="preserve">within a reasonable timeframe </w:t>
      </w:r>
      <w:r w:rsidR="00306D9C" w:rsidRPr="009C42EC">
        <w:rPr>
          <w:rFonts w:cs="Arial"/>
          <w:szCs w:val="22"/>
        </w:rPr>
        <w:t xml:space="preserve">when it determines that each Deliverable conforms to its applicable Specifications, and has no Deficiencies (other than Cosmetic Deficiencies). </w:t>
      </w:r>
    </w:p>
    <w:p w:rsidR="00621CD4" w:rsidRPr="009C42EC" w:rsidRDefault="00A14B96" w:rsidP="00621CD4">
      <w:pPr>
        <w:numPr>
          <w:ilvl w:val="0"/>
          <w:numId w:val="4"/>
        </w:numPr>
      </w:pPr>
      <w:r w:rsidRPr="009C42EC">
        <w:rPr>
          <w:rFonts w:cs="Arial"/>
          <w:szCs w:val="22"/>
        </w:rPr>
        <w:t xml:space="preserve">The Consortium will provide, or cause to be provided, </w:t>
      </w:r>
      <w:r w:rsidR="005F2459" w:rsidRPr="009C42EC">
        <w:rPr>
          <w:rFonts w:cs="Arial"/>
          <w:szCs w:val="22"/>
        </w:rPr>
        <w:t xml:space="preserve">office space </w:t>
      </w:r>
      <w:r w:rsidRPr="009C42EC">
        <w:rPr>
          <w:rFonts w:cs="Arial"/>
          <w:szCs w:val="22"/>
        </w:rPr>
        <w:t>at no cost to First Data</w:t>
      </w:r>
      <w:r w:rsidR="002971EE" w:rsidRPr="009C42EC">
        <w:rPr>
          <w:rFonts w:cs="Arial"/>
          <w:szCs w:val="22"/>
        </w:rPr>
        <w:t>.</w:t>
      </w:r>
    </w:p>
    <w:p w:rsidR="00621CD4" w:rsidRPr="009C42EC" w:rsidRDefault="00621CD4" w:rsidP="00621CD4">
      <w:pPr>
        <w:pStyle w:val="Heading1"/>
        <w:keepNext/>
      </w:pPr>
      <w:r w:rsidRPr="009C42EC">
        <w:t>Confidentiality</w:t>
      </w:r>
    </w:p>
    <w:p w:rsidR="00621CD4" w:rsidRPr="00D965AD" w:rsidRDefault="00621CD4" w:rsidP="00621CD4">
      <w:pPr>
        <w:pStyle w:val="BodyTextIndent2"/>
        <w:rPr>
          <w:bCs/>
        </w:rPr>
      </w:pPr>
      <w:r w:rsidRPr="009C42EC">
        <w:rPr>
          <w:bCs/>
        </w:rPr>
        <w:t>For the Services associated with this Change Order, First Data</w:t>
      </w:r>
      <w:r w:rsidR="0055178A" w:rsidRPr="009C42EC">
        <w:rPr>
          <w:bCs/>
        </w:rPr>
        <w:t xml:space="preserve"> and its subcontractors’</w:t>
      </w:r>
      <w:r w:rsidRPr="009C42EC">
        <w:rPr>
          <w:bCs/>
        </w:rPr>
        <w:t xml:space="preserve"> work </w:t>
      </w:r>
      <w:r w:rsidR="00182C65" w:rsidRPr="009C42EC">
        <w:rPr>
          <w:bCs/>
        </w:rPr>
        <w:t xml:space="preserve">to be provided as </w:t>
      </w:r>
      <w:r w:rsidRPr="009C42EC">
        <w:rPr>
          <w:bCs/>
        </w:rPr>
        <w:t>described within this Change Order is confidential and intended for the Consortium’s internal use</w:t>
      </w:r>
      <w:r w:rsidR="00E90CF6" w:rsidRPr="009C42EC">
        <w:rPr>
          <w:bCs/>
        </w:rPr>
        <w:t>, and for the Consortium to share as required with State</w:t>
      </w:r>
      <w:r w:rsidR="00314E08" w:rsidRPr="009C42EC">
        <w:rPr>
          <w:bCs/>
        </w:rPr>
        <w:t>, County,</w:t>
      </w:r>
      <w:r w:rsidR="00E90CF6" w:rsidRPr="009C42EC">
        <w:rPr>
          <w:bCs/>
        </w:rPr>
        <w:t xml:space="preserve"> and Federal </w:t>
      </w:r>
      <w:r w:rsidR="00E75F39" w:rsidRPr="009C42EC">
        <w:rPr>
          <w:bCs/>
        </w:rPr>
        <w:t>partners</w:t>
      </w:r>
      <w:r w:rsidRPr="009C42EC">
        <w:rPr>
          <w:bCs/>
        </w:rPr>
        <w:t xml:space="preserve"> only. In order to promote true neutrality on issues, provide an environment for uncensored guidance for its clients, ensure compliance with its contract confidentiality requirements, and better empower its clients, </w:t>
      </w:r>
      <w:r w:rsidR="0055178A" w:rsidRPr="009C42EC">
        <w:rPr>
          <w:bCs/>
        </w:rPr>
        <w:t>First Data and its subcont</w:t>
      </w:r>
      <w:r w:rsidR="00182C65" w:rsidRPr="009C42EC">
        <w:rPr>
          <w:bCs/>
        </w:rPr>
        <w:t>ract</w:t>
      </w:r>
      <w:r w:rsidR="0055178A" w:rsidRPr="009C42EC">
        <w:rPr>
          <w:bCs/>
        </w:rPr>
        <w:t>ors</w:t>
      </w:r>
      <w:r w:rsidRPr="009C42EC">
        <w:rPr>
          <w:bCs/>
        </w:rPr>
        <w:t xml:space="preserve"> do not advocate, present findings, or consent to public references in any public meeting, writing, or other public forum</w:t>
      </w:r>
      <w:r w:rsidR="004F2078" w:rsidRPr="009C42EC">
        <w:rPr>
          <w:bCs/>
        </w:rPr>
        <w:t xml:space="preserve">. </w:t>
      </w:r>
      <w:r w:rsidR="00650648" w:rsidRPr="009C42EC">
        <w:rPr>
          <w:bCs/>
        </w:rPr>
        <w:t>T</w:t>
      </w:r>
      <w:r w:rsidRPr="009C42EC">
        <w:rPr>
          <w:bCs/>
        </w:rPr>
        <w:t>he Consortium</w:t>
      </w:r>
      <w:r w:rsidR="00650648" w:rsidRPr="009C42EC">
        <w:rPr>
          <w:bCs/>
        </w:rPr>
        <w:t xml:space="preserve"> and its State</w:t>
      </w:r>
      <w:r w:rsidR="00AB65E7" w:rsidRPr="009C42EC">
        <w:rPr>
          <w:bCs/>
        </w:rPr>
        <w:t>, County,</w:t>
      </w:r>
      <w:r w:rsidR="00650648" w:rsidRPr="009C42EC">
        <w:rPr>
          <w:bCs/>
        </w:rPr>
        <w:t xml:space="preserve"> and Federal partners</w:t>
      </w:r>
      <w:r w:rsidRPr="009C42EC">
        <w:rPr>
          <w:bCs/>
        </w:rPr>
        <w:t xml:space="preserve"> may, on an as-needed basis for the sole purpose of supporting the Consortium, disclose the fact of </w:t>
      </w:r>
      <w:r w:rsidR="0055178A" w:rsidRPr="009C42EC">
        <w:rPr>
          <w:bCs/>
        </w:rPr>
        <w:t>First Data and its subcontractors’</w:t>
      </w:r>
      <w:r w:rsidRPr="009C42EC">
        <w:rPr>
          <w:bCs/>
        </w:rPr>
        <w:t xml:space="preserve"> involvement verbally, and if necessary, in writing. The Consortium understands that </w:t>
      </w:r>
      <w:r w:rsidR="00A85204" w:rsidRPr="009C42EC">
        <w:rPr>
          <w:bCs/>
        </w:rPr>
        <w:t>First Data and its subcontractors</w:t>
      </w:r>
      <w:r w:rsidRPr="009C42EC">
        <w:rPr>
          <w:bCs/>
        </w:rPr>
        <w:t xml:space="preserve"> will not advocate, present findings, or speak on the Consortium’s behalf in any public forum without specific written authorization and agreement</w:t>
      </w:r>
      <w:r w:rsidR="00EA1CBF" w:rsidRPr="009C42EC">
        <w:rPr>
          <w:bCs/>
        </w:rPr>
        <w:t>,</w:t>
      </w:r>
      <w:r w:rsidRPr="009C42EC">
        <w:rPr>
          <w:bCs/>
        </w:rPr>
        <w:t xml:space="preserve"> </w:t>
      </w:r>
      <w:r w:rsidR="00EA1CBF" w:rsidRPr="009C42EC">
        <w:rPr>
          <w:bCs/>
        </w:rPr>
        <w:t>although</w:t>
      </w:r>
      <w:r w:rsidR="00A85204" w:rsidRPr="009C42EC">
        <w:rPr>
          <w:bCs/>
        </w:rPr>
        <w:t xml:space="preserve"> First Data and/or </w:t>
      </w:r>
      <w:r w:rsidR="0082556F" w:rsidRPr="009C42EC">
        <w:rPr>
          <w:bCs/>
        </w:rPr>
        <w:t xml:space="preserve">a single </w:t>
      </w:r>
      <w:r w:rsidR="00A85204" w:rsidRPr="009C42EC">
        <w:rPr>
          <w:bCs/>
        </w:rPr>
        <w:t>subcontractor</w:t>
      </w:r>
      <w:r w:rsidR="00EA1CBF" w:rsidRPr="009C42EC">
        <w:rPr>
          <w:bCs/>
        </w:rPr>
        <w:t xml:space="preserve"> </w:t>
      </w:r>
      <w:r w:rsidR="00A85204" w:rsidRPr="009C42EC">
        <w:rPr>
          <w:bCs/>
        </w:rPr>
        <w:t>will</w:t>
      </w:r>
      <w:r w:rsidRPr="009C42EC">
        <w:rPr>
          <w:bCs/>
        </w:rPr>
        <w:t xml:space="preserve"> join the Consortium </w:t>
      </w:r>
      <w:r w:rsidR="0082556F" w:rsidRPr="009C42EC">
        <w:rPr>
          <w:bCs/>
        </w:rPr>
        <w:t xml:space="preserve">routine </w:t>
      </w:r>
      <w:r w:rsidR="00EA1CBF" w:rsidRPr="009C42EC">
        <w:rPr>
          <w:bCs/>
        </w:rPr>
        <w:t>meetings</w:t>
      </w:r>
      <w:r w:rsidR="0082556F" w:rsidRPr="009C42EC">
        <w:rPr>
          <w:bCs/>
        </w:rPr>
        <w:t xml:space="preserve">, specifically the </w:t>
      </w:r>
      <w:r w:rsidR="0082556F" w:rsidRPr="009C42EC">
        <w:t>CalACES Joint Powers of Authority Board Meeting and the CalACES Project Steering Committee Meeting,</w:t>
      </w:r>
      <w:r w:rsidR="00EA1CBF" w:rsidRPr="009C42EC">
        <w:rPr>
          <w:bCs/>
        </w:rPr>
        <w:t xml:space="preserve"> with State</w:t>
      </w:r>
      <w:r w:rsidR="0082556F" w:rsidRPr="009C42EC">
        <w:rPr>
          <w:bCs/>
        </w:rPr>
        <w:t>, County,</w:t>
      </w:r>
      <w:r w:rsidR="00EA1CBF" w:rsidRPr="009C42EC">
        <w:rPr>
          <w:bCs/>
        </w:rPr>
        <w:t xml:space="preserve"> and Federal partners that may be open to the public</w:t>
      </w:r>
      <w:r w:rsidRPr="009C42EC">
        <w:rPr>
          <w:bCs/>
        </w:rPr>
        <w:t xml:space="preserve"> to be available to answer questions directly related to </w:t>
      </w:r>
      <w:r w:rsidR="00A85204" w:rsidRPr="009C42EC">
        <w:rPr>
          <w:bCs/>
        </w:rPr>
        <w:t xml:space="preserve">First Data and/or its </w:t>
      </w:r>
      <w:r w:rsidR="004F2078" w:rsidRPr="009C42EC">
        <w:rPr>
          <w:bCs/>
        </w:rPr>
        <w:t>subcontractor</w:t>
      </w:r>
      <w:r w:rsidR="00667F29" w:rsidRPr="009C42EC">
        <w:rPr>
          <w:bCs/>
        </w:rPr>
        <w:t>s’</w:t>
      </w:r>
      <w:r w:rsidR="00A85204" w:rsidRPr="009C42EC">
        <w:rPr>
          <w:bCs/>
        </w:rPr>
        <w:t xml:space="preserve"> services</w:t>
      </w:r>
      <w:r w:rsidRPr="009C42EC">
        <w:rPr>
          <w:bCs/>
        </w:rPr>
        <w:t xml:space="preserve"> that the Consortium may not otherwise be able to answer.</w:t>
      </w:r>
    </w:p>
    <w:p w:rsidR="004A09A8" w:rsidRDefault="004A09A8" w:rsidP="00F779CC">
      <w:pPr>
        <w:pStyle w:val="Heading1"/>
        <w:keepNext/>
      </w:pPr>
      <w:r w:rsidRPr="00F779CC">
        <w:t>Schedule</w:t>
      </w:r>
    </w:p>
    <w:p w:rsidR="004A09A8" w:rsidRDefault="004A09A8" w:rsidP="00F30209">
      <w:pPr>
        <w:pStyle w:val="BodyTextIndent2"/>
        <w:rPr>
          <w:bCs/>
        </w:rPr>
      </w:pPr>
      <w:r w:rsidRPr="00F06948">
        <w:rPr>
          <w:bCs/>
        </w:rPr>
        <w:t xml:space="preserve">The Services associated with this Change Order </w:t>
      </w:r>
      <w:r w:rsidR="00E63879" w:rsidRPr="00E63879">
        <w:rPr>
          <w:bCs/>
        </w:rPr>
        <w:t xml:space="preserve">shall commence </w:t>
      </w:r>
      <w:r w:rsidR="00AE43A1">
        <w:rPr>
          <w:bCs/>
        </w:rPr>
        <w:t xml:space="preserve">in State Fiscal Year (“SFY”) 2017/18 </w:t>
      </w:r>
      <w:r w:rsidR="0007477A" w:rsidRPr="0007477A">
        <w:rPr>
          <w:bCs/>
        </w:rPr>
        <w:t xml:space="preserve">and be completed </w:t>
      </w:r>
      <w:r w:rsidR="00AA05BF">
        <w:rPr>
          <w:bCs/>
        </w:rPr>
        <w:t>in</w:t>
      </w:r>
      <w:r w:rsidR="00AA05BF" w:rsidRPr="0007477A">
        <w:rPr>
          <w:bCs/>
        </w:rPr>
        <w:t xml:space="preserve"> </w:t>
      </w:r>
      <w:r w:rsidR="00AE43A1">
        <w:rPr>
          <w:bCs/>
        </w:rPr>
        <w:t>SFY</w:t>
      </w:r>
      <w:r w:rsidR="00CC1D91">
        <w:rPr>
          <w:bCs/>
        </w:rPr>
        <w:t xml:space="preserve"> </w:t>
      </w:r>
      <w:r w:rsidR="00EA4FB7">
        <w:rPr>
          <w:bCs/>
        </w:rPr>
        <w:t>2018/19</w:t>
      </w:r>
      <w:r w:rsidR="0090760A">
        <w:rPr>
          <w:bCs/>
        </w:rPr>
        <w:t>.</w:t>
      </w:r>
    </w:p>
    <w:p w:rsidR="004A09A8" w:rsidRPr="00E92E19" w:rsidRDefault="00E3574B" w:rsidP="00F779CC">
      <w:pPr>
        <w:pStyle w:val="Heading1"/>
      </w:pPr>
      <w:r>
        <w:t>Total Change Order Cost</w:t>
      </w:r>
    </w:p>
    <w:p w:rsidR="005D1A9C" w:rsidRDefault="004A09A8" w:rsidP="00A11ED3">
      <w:pPr>
        <w:pStyle w:val="BodyTextIndent2"/>
        <w:keepLines/>
        <w:spacing w:after="120"/>
      </w:pPr>
      <w:r>
        <w:rPr>
          <w:bCs/>
        </w:rPr>
        <w:t>The costs associated with this Change Order are summarized in the table below</w:t>
      </w:r>
      <w:r w:rsidR="00CC1D91">
        <w:rPr>
          <w:bCs/>
        </w:rPr>
        <w:t xml:space="preserve">.  </w:t>
      </w:r>
      <w:r>
        <w:t xml:space="preserve">The costs will be </w:t>
      </w:r>
      <w:r w:rsidRPr="00163DD4">
        <w:t xml:space="preserve">billed in accordance with </w:t>
      </w:r>
      <w:r w:rsidR="0067785C">
        <w:t>Section 6.6 of the Agreement</w:t>
      </w:r>
      <w:r w:rsidRPr="00163DD4">
        <w:t xml:space="preserve"> as reflected in Section V</w:t>
      </w:r>
      <w:r w:rsidR="00477A35">
        <w:t>II</w:t>
      </w:r>
      <w:r w:rsidRPr="00163DD4">
        <w:t xml:space="preserve"> below and Exhibit A.</w:t>
      </w:r>
    </w:p>
    <w:tbl>
      <w:tblPr>
        <w:tblW w:w="5564" w:type="dxa"/>
        <w:tblInd w:w="1728" w:type="dxa"/>
        <w:tblLook w:val="04A0" w:firstRow="1" w:lastRow="0" w:firstColumn="1" w:lastColumn="0" w:noHBand="0" w:noVBand="1"/>
      </w:tblPr>
      <w:tblGrid>
        <w:gridCol w:w="1726"/>
        <w:gridCol w:w="1350"/>
        <w:gridCol w:w="1260"/>
        <w:gridCol w:w="1228"/>
      </w:tblGrid>
      <w:tr w:rsidR="00DE04F3" w:rsidRPr="00570E76" w:rsidTr="00342F69">
        <w:trPr>
          <w:trHeight w:val="300"/>
        </w:trPr>
        <w:tc>
          <w:tcPr>
            <w:tcW w:w="1726" w:type="dxa"/>
            <w:tcBorders>
              <w:top w:val="single" w:sz="4" w:space="0" w:color="auto"/>
              <w:left w:val="single" w:sz="4" w:space="0" w:color="auto"/>
              <w:bottom w:val="nil"/>
              <w:right w:val="single" w:sz="4" w:space="0" w:color="auto"/>
            </w:tcBorders>
            <w:shd w:val="clear" w:color="auto" w:fill="1F497D"/>
            <w:noWrap/>
            <w:vAlign w:val="center"/>
            <w:hideMark/>
          </w:tcPr>
          <w:p w:rsidR="00DE04F3" w:rsidRPr="00342F69" w:rsidRDefault="00342F69" w:rsidP="00756F09">
            <w:pPr>
              <w:rPr>
                <w:rFonts w:cstheme="minorHAnsi"/>
                <w:b/>
                <w:bCs/>
                <w:color w:val="FFFFFF"/>
              </w:rPr>
            </w:pPr>
            <w:r w:rsidRPr="00342F69">
              <w:rPr>
                <w:rFonts w:cstheme="minorHAnsi"/>
                <w:b/>
                <w:bCs/>
                <w:color w:val="FFFFFF"/>
              </w:rPr>
              <w:t>SFY Summary</w:t>
            </w:r>
          </w:p>
        </w:tc>
        <w:tc>
          <w:tcPr>
            <w:tcW w:w="1350" w:type="dxa"/>
            <w:tcBorders>
              <w:top w:val="single" w:sz="4" w:space="0" w:color="auto"/>
              <w:left w:val="nil"/>
              <w:bottom w:val="single" w:sz="4" w:space="0" w:color="auto"/>
              <w:right w:val="nil"/>
            </w:tcBorders>
            <w:shd w:val="clear" w:color="auto" w:fill="1F497D"/>
            <w:vAlign w:val="center"/>
            <w:hideMark/>
          </w:tcPr>
          <w:p w:rsidR="00DE04F3" w:rsidRPr="00342F69" w:rsidRDefault="00DE04F3" w:rsidP="00DE04F3">
            <w:pPr>
              <w:jc w:val="center"/>
              <w:rPr>
                <w:rFonts w:cstheme="minorHAnsi"/>
                <w:b/>
                <w:bCs/>
                <w:color w:val="FFFFFF"/>
              </w:rPr>
            </w:pPr>
            <w:r w:rsidRPr="00342F69">
              <w:rPr>
                <w:rFonts w:cstheme="minorHAnsi"/>
                <w:b/>
                <w:bCs/>
                <w:color w:val="FFFFFF"/>
              </w:rPr>
              <w:t>SFY 17/18</w:t>
            </w:r>
          </w:p>
        </w:tc>
        <w:tc>
          <w:tcPr>
            <w:tcW w:w="1260" w:type="dxa"/>
            <w:tcBorders>
              <w:top w:val="single" w:sz="4" w:space="0" w:color="auto"/>
              <w:left w:val="single" w:sz="4" w:space="0" w:color="auto"/>
              <w:bottom w:val="single" w:sz="4" w:space="0" w:color="auto"/>
              <w:right w:val="nil"/>
            </w:tcBorders>
            <w:shd w:val="clear" w:color="auto" w:fill="1F497D"/>
            <w:vAlign w:val="center"/>
            <w:hideMark/>
          </w:tcPr>
          <w:p w:rsidR="001D16F4" w:rsidRPr="00342F69" w:rsidRDefault="00DE04F3" w:rsidP="009C42EC">
            <w:pPr>
              <w:jc w:val="center"/>
              <w:rPr>
                <w:rFonts w:cstheme="minorHAnsi"/>
                <w:b/>
                <w:bCs/>
                <w:color w:val="FFFFFF"/>
              </w:rPr>
            </w:pPr>
            <w:r w:rsidRPr="00342F69">
              <w:rPr>
                <w:rFonts w:cstheme="minorHAnsi"/>
                <w:b/>
                <w:bCs/>
                <w:color w:val="FFFFFF"/>
              </w:rPr>
              <w:t>SFY 18/19</w:t>
            </w:r>
          </w:p>
        </w:tc>
        <w:tc>
          <w:tcPr>
            <w:tcW w:w="1228" w:type="dxa"/>
            <w:tcBorders>
              <w:top w:val="single" w:sz="4" w:space="0" w:color="auto"/>
              <w:left w:val="single" w:sz="4" w:space="0" w:color="auto"/>
              <w:bottom w:val="single" w:sz="4" w:space="0" w:color="auto"/>
              <w:right w:val="nil"/>
            </w:tcBorders>
            <w:shd w:val="clear" w:color="auto" w:fill="1F497D"/>
            <w:vAlign w:val="center"/>
            <w:hideMark/>
          </w:tcPr>
          <w:p w:rsidR="00DE04F3" w:rsidRPr="00342F69" w:rsidRDefault="00DE04F3" w:rsidP="00DE04F3">
            <w:pPr>
              <w:jc w:val="center"/>
              <w:rPr>
                <w:rFonts w:cstheme="minorHAnsi"/>
                <w:b/>
                <w:bCs/>
                <w:color w:val="FFFFFF"/>
              </w:rPr>
            </w:pPr>
            <w:r w:rsidRPr="00342F69">
              <w:rPr>
                <w:rFonts w:cstheme="minorHAnsi"/>
                <w:b/>
                <w:bCs/>
                <w:color w:val="FFFFFF"/>
              </w:rPr>
              <w:t xml:space="preserve">Total Cost </w:t>
            </w:r>
          </w:p>
        </w:tc>
      </w:tr>
      <w:tr w:rsidR="00DE04F3" w:rsidRPr="00570E76" w:rsidTr="00342F69">
        <w:trPr>
          <w:trHeight w:val="300"/>
        </w:trPr>
        <w:tc>
          <w:tcPr>
            <w:tcW w:w="17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04F3" w:rsidRPr="00342F69" w:rsidRDefault="00342F69" w:rsidP="00DE04F3">
            <w:pPr>
              <w:rPr>
                <w:rFonts w:cstheme="minorHAnsi"/>
                <w:color w:val="000000"/>
              </w:rPr>
            </w:pPr>
            <w:r w:rsidRPr="00342F69">
              <w:rPr>
                <w:rFonts w:cstheme="minorHAnsi"/>
                <w:color w:val="000000"/>
              </w:rPr>
              <w:t>Deliverables</w:t>
            </w:r>
          </w:p>
        </w:tc>
        <w:tc>
          <w:tcPr>
            <w:tcW w:w="1350" w:type="dxa"/>
            <w:tcBorders>
              <w:top w:val="nil"/>
              <w:left w:val="nil"/>
              <w:bottom w:val="single" w:sz="4" w:space="0" w:color="auto"/>
              <w:right w:val="single" w:sz="4" w:space="0" w:color="auto"/>
            </w:tcBorders>
            <w:shd w:val="clear" w:color="auto" w:fill="auto"/>
            <w:noWrap/>
            <w:vAlign w:val="bottom"/>
          </w:tcPr>
          <w:p w:rsidR="00DE04F3" w:rsidRPr="00342F69" w:rsidRDefault="002941D3" w:rsidP="00DE04F3">
            <w:pPr>
              <w:jc w:val="right"/>
              <w:rPr>
                <w:rFonts w:cstheme="minorHAnsi"/>
              </w:rPr>
            </w:pPr>
            <w:r w:rsidRPr="00342F69">
              <w:rPr>
                <w:rFonts w:cstheme="minorHAnsi"/>
              </w:rPr>
              <w:t>$1,041,350</w:t>
            </w:r>
          </w:p>
        </w:tc>
        <w:tc>
          <w:tcPr>
            <w:tcW w:w="1260" w:type="dxa"/>
            <w:tcBorders>
              <w:top w:val="nil"/>
              <w:left w:val="nil"/>
              <w:bottom w:val="single" w:sz="4" w:space="0" w:color="auto"/>
              <w:right w:val="single" w:sz="4" w:space="0" w:color="auto"/>
            </w:tcBorders>
            <w:shd w:val="clear" w:color="auto" w:fill="auto"/>
            <w:noWrap/>
            <w:vAlign w:val="bottom"/>
          </w:tcPr>
          <w:p w:rsidR="00DE04F3" w:rsidRPr="00342F69" w:rsidRDefault="002941D3" w:rsidP="00456BF1">
            <w:pPr>
              <w:jc w:val="right"/>
              <w:rPr>
                <w:rFonts w:cstheme="minorHAnsi"/>
              </w:rPr>
            </w:pPr>
            <w:r w:rsidRPr="00342F69">
              <w:rPr>
                <w:rFonts w:cstheme="minorHAnsi"/>
              </w:rPr>
              <w:t>$</w:t>
            </w:r>
            <w:r w:rsidR="00456BF1">
              <w:rPr>
                <w:rFonts w:cstheme="minorHAnsi"/>
              </w:rPr>
              <w:t>4,345,350</w:t>
            </w:r>
          </w:p>
        </w:tc>
        <w:tc>
          <w:tcPr>
            <w:tcW w:w="1228" w:type="dxa"/>
            <w:tcBorders>
              <w:top w:val="nil"/>
              <w:left w:val="nil"/>
              <w:bottom w:val="single" w:sz="4" w:space="0" w:color="auto"/>
              <w:right w:val="single" w:sz="4" w:space="0" w:color="auto"/>
            </w:tcBorders>
            <w:shd w:val="clear" w:color="auto" w:fill="auto"/>
            <w:noWrap/>
            <w:vAlign w:val="center"/>
          </w:tcPr>
          <w:p w:rsidR="00DE04F3" w:rsidRPr="00342F69" w:rsidRDefault="00BC0F05" w:rsidP="00DE04F3">
            <w:pPr>
              <w:jc w:val="right"/>
              <w:rPr>
                <w:rFonts w:cstheme="minorHAnsi"/>
                <w:b/>
                <w:bCs/>
                <w:color w:val="000000"/>
              </w:rPr>
            </w:pPr>
            <w:r>
              <w:rPr>
                <w:rFonts w:cstheme="minorHAnsi"/>
                <w:b/>
                <w:bCs/>
                <w:color w:val="000000"/>
              </w:rPr>
              <w:t>$5,386,</w:t>
            </w:r>
            <w:r w:rsidR="002941D3" w:rsidRPr="00342F69">
              <w:rPr>
                <w:rFonts w:cstheme="minorHAnsi"/>
                <w:b/>
                <w:bCs/>
                <w:color w:val="000000"/>
              </w:rPr>
              <w:t>700</w:t>
            </w:r>
          </w:p>
        </w:tc>
      </w:tr>
    </w:tbl>
    <w:p w:rsidR="00342F69" w:rsidRDefault="00342F69" w:rsidP="00342F69"/>
    <w:p w:rsidR="00342F69" w:rsidRDefault="00342F69">
      <w:pPr>
        <w:rPr>
          <w:b/>
          <w:bCs/>
        </w:rPr>
      </w:pPr>
      <w:r>
        <w:br w:type="page"/>
      </w:r>
    </w:p>
    <w:p w:rsidR="006237C7" w:rsidRPr="00163DD4" w:rsidRDefault="00E3574B" w:rsidP="00F779CC">
      <w:pPr>
        <w:pStyle w:val="Heading1"/>
      </w:pPr>
      <w:r>
        <w:lastRenderedPageBreak/>
        <w:t>Payment Schedule</w:t>
      </w:r>
    </w:p>
    <w:p w:rsidR="006237C7" w:rsidRDefault="006237C7" w:rsidP="00F93AA8">
      <w:pPr>
        <w:tabs>
          <w:tab w:val="left" w:pos="1878"/>
        </w:tabs>
        <w:spacing w:after="120"/>
        <w:ind w:left="720"/>
        <w:rPr>
          <w:bCs/>
        </w:rPr>
      </w:pPr>
      <w:r w:rsidRPr="00163DD4">
        <w:rPr>
          <w:bCs/>
        </w:rPr>
        <w:t xml:space="preserve">The following table outlines the charges and invoicing timelines for Payment Milestones associated with the </w:t>
      </w:r>
      <w:r w:rsidR="00477A35">
        <w:rPr>
          <w:bCs/>
        </w:rPr>
        <w:t xml:space="preserve">Technical Analysis </w:t>
      </w:r>
      <w:r w:rsidR="00EF2DAA">
        <w:rPr>
          <w:bCs/>
        </w:rPr>
        <w:t>and deliverables</w:t>
      </w:r>
      <w:r w:rsidR="00F76A96">
        <w:rPr>
          <w:bCs/>
        </w:rPr>
        <w:t>.</w:t>
      </w:r>
    </w:p>
    <w:tbl>
      <w:tblPr>
        <w:tblW w:w="10480" w:type="dxa"/>
        <w:tblInd w:w="-5" w:type="dxa"/>
        <w:tblLook w:val="04A0" w:firstRow="1" w:lastRow="0" w:firstColumn="1" w:lastColumn="0" w:noHBand="0" w:noVBand="1"/>
      </w:tblPr>
      <w:tblGrid>
        <w:gridCol w:w="480"/>
        <w:gridCol w:w="6440"/>
        <w:gridCol w:w="1258"/>
        <w:gridCol w:w="1180"/>
        <w:gridCol w:w="1222"/>
      </w:tblGrid>
      <w:tr w:rsidR="00607268" w:rsidRPr="00607268" w:rsidTr="00607268">
        <w:trPr>
          <w:trHeight w:val="900"/>
        </w:trPr>
        <w:tc>
          <w:tcPr>
            <w:tcW w:w="480" w:type="dxa"/>
            <w:tcBorders>
              <w:top w:val="single" w:sz="4" w:space="0" w:color="auto"/>
              <w:left w:val="single" w:sz="4" w:space="0" w:color="auto"/>
              <w:bottom w:val="nil"/>
              <w:right w:val="single" w:sz="4" w:space="0" w:color="auto"/>
            </w:tcBorders>
            <w:shd w:val="clear" w:color="000000" w:fill="1F497D"/>
            <w:noWrap/>
            <w:vAlign w:val="center"/>
            <w:hideMark/>
          </w:tcPr>
          <w:p w:rsidR="00607268" w:rsidRPr="00607268" w:rsidRDefault="00607268" w:rsidP="00607268">
            <w:pPr>
              <w:jc w:val="center"/>
              <w:rPr>
                <w:rFonts w:ascii="Calibri" w:hAnsi="Calibri" w:cs="Calibri"/>
                <w:b/>
                <w:bCs/>
                <w:color w:val="FFFFFF"/>
                <w:szCs w:val="22"/>
              </w:rPr>
            </w:pPr>
            <w:r w:rsidRPr="00607268">
              <w:rPr>
                <w:rFonts w:ascii="Calibri" w:hAnsi="Calibri" w:cs="Calibri"/>
                <w:b/>
                <w:bCs/>
                <w:color w:val="FFFFFF"/>
                <w:szCs w:val="22"/>
              </w:rPr>
              <w:t>#</w:t>
            </w:r>
          </w:p>
        </w:tc>
        <w:tc>
          <w:tcPr>
            <w:tcW w:w="6440" w:type="dxa"/>
            <w:tcBorders>
              <w:top w:val="single" w:sz="4" w:space="0" w:color="auto"/>
              <w:left w:val="nil"/>
              <w:bottom w:val="single" w:sz="4" w:space="0" w:color="auto"/>
              <w:right w:val="nil"/>
            </w:tcBorders>
            <w:shd w:val="clear" w:color="000000" w:fill="1F497D"/>
            <w:vAlign w:val="center"/>
            <w:hideMark/>
          </w:tcPr>
          <w:p w:rsidR="00607268" w:rsidRPr="00607268" w:rsidRDefault="00607268" w:rsidP="00607268">
            <w:pPr>
              <w:rPr>
                <w:rFonts w:ascii="Calibri" w:hAnsi="Calibri" w:cs="Calibri"/>
                <w:b/>
                <w:bCs/>
                <w:color w:val="FFFFFF"/>
                <w:szCs w:val="22"/>
              </w:rPr>
            </w:pPr>
            <w:r w:rsidRPr="00607268">
              <w:rPr>
                <w:rFonts w:ascii="Calibri" w:hAnsi="Calibri" w:cs="Calibri"/>
                <w:b/>
                <w:bCs/>
                <w:color w:val="FFFFFF"/>
                <w:szCs w:val="22"/>
              </w:rPr>
              <w:t>Deliverable</w:t>
            </w:r>
          </w:p>
        </w:tc>
        <w:tc>
          <w:tcPr>
            <w:tcW w:w="1240" w:type="dxa"/>
            <w:tcBorders>
              <w:top w:val="single" w:sz="4" w:space="0" w:color="auto"/>
              <w:left w:val="single" w:sz="4" w:space="0" w:color="auto"/>
              <w:bottom w:val="single" w:sz="4" w:space="0" w:color="auto"/>
              <w:right w:val="nil"/>
            </w:tcBorders>
            <w:shd w:val="clear" w:color="000000" w:fill="1F497D"/>
            <w:vAlign w:val="center"/>
            <w:hideMark/>
          </w:tcPr>
          <w:p w:rsidR="00607268" w:rsidRPr="00607268" w:rsidRDefault="00607268" w:rsidP="00607268">
            <w:pPr>
              <w:jc w:val="center"/>
              <w:rPr>
                <w:rFonts w:ascii="Calibri" w:hAnsi="Calibri" w:cs="Calibri"/>
                <w:b/>
                <w:bCs/>
                <w:color w:val="FFFFFF"/>
                <w:szCs w:val="22"/>
              </w:rPr>
            </w:pPr>
            <w:r w:rsidRPr="00607268">
              <w:rPr>
                <w:rFonts w:ascii="Calibri" w:hAnsi="Calibri" w:cs="Calibri"/>
                <w:b/>
                <w:bCs/>
                <w:color w:val="FFFFFF"/>
                <w:szCs w:val="22"/>
              </w:rPr>
              <w:t>Target Deliverable Due Date</w:t>
            </w:r>
          </w:p>
        </w:tc>
        <w:tc>
          <w:tcPr>
            <w:tcW w:w="1180" w:type="dxa"/>
            <w:tcBorders>
              <w:top w:val="single" w:sz="4" w:space="0" w:color="auto"/>
              <w:left w:val="single" w:sz="4" w:space="0" w:color="auto"/>
              <w:bottom w:val="single" w:sz="4" w:space="0" w:color="auto"/>
              <w:right w:val="nil"/>
            </w:tcBorders>
            <w:shd w:val="clear" w:color="000000" w:fill="1F497D"/>
            <w:vAlign w:val="center"/>
            <w:hideMark/>
          </w:tcPr>
          <w:p w:rsidR="00607268" w:rsidRPr="00607268" w:rsidRDefault="00607268" w:rsidP="00607268">
            <w:pPr>
              <w:jc w:val="center"/>
              <w:rPr>
                <w:rFonts w:ascii="Calibri" w:hAnsi="Calibri" w:cs="Calibri"/>
                <w:b/>
                <w:bCs/>
                <w:color w:val="FFFFFF"/>
                <w:szCs w:val="22"/>
              </w:rPr>
            </w:pPr>
            <w:r w:rsidRPr="00607268">
              <w:rPr>
                <w:rFonts w:ascii="Calibri" w:hAnsi="Calibri" w:cs="Calibri"/>
                <w:b/>
                <w:bCs/>
                <w:color w:val="FFFFFF"/>
                <w:szCs w:val="22"/>
              </w:rPr>
              <w:t>Target Invoice Date</w:t>
            </w:r>
          </w:p>
        </w:tc>
        <w:tc>
          <w:tcPr>
            <w:tcW w:w="1140" w:type="dxa"/>
            <w:tcBorders>
              <w:top w:val="single" w:sz="4" w:space="0" w:color="auto"/>
              <w:left w:val="single" w:sz="4" w:space="0" w:color="auto"/>
              <w:bottom w:val="single" w:sz="4" w:space="0" w:color="auto"/>
              <w:right w:val="nil"/>
            </w:tcBorders>
            <w:shd w:val="clear" w:color="000000" w:fill="1F497D"/>
            <w:vAlign w:val="center"/>
            <w:hideMark/>
          </w:tcPr>
          <w:p w:rsidR="00607268" w:rsidRPr="00607268" w:rsidRDefault="00607268" w:rsidP="00607268">
            <w:pPr>
              <w:jc w:val="center"/>
              <w:rPr>
                <w:rFonts w:ascii="Calibri" w:hAnsi="Calibri" w:cs="Calibri"/>
                <w:b/>
                <w:bCs/>
                <w:color w:val="FFFFFF"/>
                <w:szCs w:val="22"/>
              </w:rPr>
            </w:pPr>
            <w:r w:rsidRPr="00607268">
              <w:rPr>
                <w:rFonts w:ascii="Calibri" w:hAnsi="Calibri" w:cs="Calibri"/>
                <w:b/>
                <w:bCs/>
                <w:color w:val="FFFFFF"/>
                <w:szCs w:val="22"/>
              </w:rPr>
              <w:t xml:space="preserve">Price </w:t>
            </w:r>
          </w:p>
        </w:tc>
      </w:tr>
      <w:tr w:rsidR="00607268" w:rsidRPr="00607268" w:rsidTr="00607268">
        <w:trPr>
          <w:trHeight w:val="363"/>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1</w:t>
            </w:r>
          </w:p>
        </w:tc>
        <w:tc>
          <w:tcPr>
            <w:tcW w:w="6440" w:type="dxa"/>
            <w:tcBorders>
              <w:top w:val="nil"/>
              <w:left w:val="nil"/>
              <w:bottom w:val="single" w:sz="4" w:space="0" w:color="auto"/>
              <w:right w:val="nil"/>
            </w:tcBorders>
            <w:shd w:val="clear" w:color="auto" w:fill="auto"/>
            <w:vAlign w:val="bottom"/>
            <w:hideMark/>
          </w:tcPr>
          <w:p w:rsidR="00607268" w:rsidRPr="00607268" w:rsidRDefault="009C42EC" w:rsidP="009C42EC">
            <w:pPr>
              <w:rPr>
                <w:rFonts w:ascii="Calibri" w:hAnsi="Calibri" w:cs="Calibri"/>
                <w:szCs w:val="22"/>
              </w:rPr>
            </w:pPr>
            <w:r>
              <w:rPr>
                <w:rFonts w:ascii="Calibri" w:hAnsi="Calibri" w:cs="Calibri"/>
                <w:szCs w:val="22"/>
              </w:rPr>
              <w:t>Draft f</w:t>
            </w:r>
            <w:r w:rsidR="00607268" w:rsidRPr="00607268">
              <w:rPr>
                <w:rFonts w:ascii="Calibri" w:hAnsi="Calibri" w:cs="Calibri"/>
                <w:szCs w:val="22"/>
              </w:rPr>
              <w:t>act-base for assessment of CalACES requirements</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5/</w:t>
            </w:r>
            <w:r w:rsidR="00C609BC">
              <w:rPr>
                <w:rFonts w:ascii="Calibri" w:hAnsi="Calibri" w:cs="Calibri"/>
                <w:szCs w:val="22"/>
              </w:rPr>
              <w:t>25</w:t>
            </w:r>
            <w:r w:rsidRPr="00607268">
              <w:rPr>
                <w:rFonts w:ascii="Calibri" w:hAnsi="Calibri" w:cs="Calibri"/>
                <w:szCs w:val="22"/>
              </w:rPr>
              <w:t>/2018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C609BC" w:rsidP="00607268">
            <w:pPr>
              <w:jc w:val="center"/>
              <w:rPr>
                <w:rFonts w:ascii="Calibri" w:hAnsi="Calibri" w:cs="Calibri"/>
                <w:szCs w:val="22"/>
              </w:rPr>
            </w:pPr>
            <w:r>
              <w:rPr>
                <w:rFonts w:ascii="Calibri" w:hAnsi="Calibri" w:cs="Calibri"/>
                <w:szCs w:val="22"/>
              </w:rPr>
              <w:t>6/6</w:t>
            </w:r>
            <w:r w:rsidR="00607268" w:rsidRPr="00607268">
              <w:rPr>
                <w:rFonts w:ascii="Calibri" w:hAnsi="Calibri" w:cs="Calibri"/>
                <w:szCs w:val="22"/>
              </w:rPr>
              <w:t>/2018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$295,000 </w:t>
            </w:r>
          </w:p>
        </w:tc>
      </w:tr>
      <w:tr w:rsidR="00607268" w:rsidRPr="00607268" w:rsidTr="00607268">
        <w:trPr>
          <w:trHeight w:val="345"/>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2</w:t>
            </w:r>
          </w:p>
        </w:tc>
        <w:tc>
          <w:tcPr>
            <w:tcW w:w="6440" w:type="dxa"/>
            <w:tcBorders>
              <w:top w:val="nil"/>
              <w:left w:val="nil"/>
              <w:bottom w:val="single" w:sz="4" w:space="0" w:color="auto"/>
              <w:right w:val="nil"/>
            </w:tcBorders>
            <w:shd w:val="clear" w:color="auto" w:fill="auto"/>
            <w:vAlign w:val="bottom"/>
            <w:hideMark/>
          </w:tcPr>
          <w:p w:rsidR="00607268" w:rsidRPr="00607268" w:rsidRDefault="009C42EC" w:rsidP="009C42EC">
            <w:pPr>
              <w:rPr>
                <w:rFonts w:ascii="Calibri" w:hAnsi="Calibri" w:cs="Calibri"/>
                <w:szCs w:val="22"/>
              </w:rPr>
            </w:pPr>
            <w:r>
              <w:rPr>
                <w:rFonts w:ascii="Calibri" w:hAnsi="Calibri" w:cs="Calibri"/>
                <w:szCs w:val="22"/>
              </w:rPr>
              <w:t>Draft f</w:t>
            </w:r>
            <w:r w:rsidR="00607268" w:rsidRPr="00607268">
              <w:rPr>
                <w:rFonts w:ascii="Calibri" w:hAnsi="Calibri" w:cs="Calibri"/>
                <w:szCs w:val="22"/>
              </w:rPr>
              <w:t>act-base on data conversion strategy for CalSAWS</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C609BC" w:rsidP="00607268">
            <w:pPr>
              <w:jc w:val="center"/>
              <w:rPr>
                <w:rFonts w:ascii="Calibri" w:hAnsi="Calibri" w:cs="Calibri"/>
                <w:szCs w:val="22"/>
              </w:rPr>
            </w:pPr>
            <w:r>
              <w:rPr>
                <w:rFonts w:ascii="Calibri" w:hAnsi="Calibri" w:cs="Calibri"/>
                <w:szCs w:val="22"/>
              </w:rPr>
              <w:t>6/8</w:t>
            </w:r>
            <w:r w:rsidR="00607268" w:rsidRPr="00607268">
              <w:rPr>
                <w:rFonts w:ascii="Calibri" w:hAnsi="Calibri" w:cs="Calibri"/>
                <w:szCs w:val="22"/>
              </w:rPr>
              <w:t>/2018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6/</w:t>
            </w:r>
            <w:r w:rsidR="00C609BC">
              <w:rPr>
                <w:rFonts w:ascii="Calibri" w:hAnsi="Calibri" w:cs="Calibri"/>
                <w:szCs w:val="22"/>
              </w:rPr>
              <w:t>20</w:t>
            </w:r>
            <w:r w:rsidRPr="00607268">
              <w:rPr>
                <w:rFonts w:ascii="Calibri" w:hAnsi="Calibri" w:cs="Calibri"/>
                <w:szCs w:val="22"/>
              </w:rPr>
              <w:t>/2018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$413,000 </w:t>
            </w:r>
          </w:p>
        </w:tc>
      </w:tr>
      <w:tr w:rsidR="00607268" w:rsidRPr="00607268" w:rsidTr="00607268">
        <w:trPr>
          <w:trHeight w:val="363"/>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3</w:t>
            </w:r>
          </w:p>
        </w:tc>
        <w:tc>
          <w:tcPr>
            <w:tcW w:w="6440" w:type="dxa"/>
            <w:tcBorders>
              <w:top w:val="nil"/>
              <w:left w:val="nil"/>
              <w:bottom w:val="single" w:sz="4" w:space="0" w:color="auto"/>
              <w:right w:val="nil"/>
            </w:tcBorders>
            <w:shd w:val="clear" w:color="auto" w:fill="auto"/>
            <w:vAlign w:val="bottom"/>
            <w:hideMark/>
          </w:tcPr>
          <w:p w:rsidR="00607268" w:rsidRPr="00607268" w:rsidRDefault="009C42EC" w:rsidP="009C42EC">
            <w:pPr>
              <w:rPr>
                <w:rFonts w:ascii="Calibri" w:hAnsi="Calibri" w:cs="Calibri"/>
                <w:szCs w:val="22"/>
              </w:rPr>
            </w:pPr>
            <w:r>
              <w:rPr>
                <w:rFonts w:ascii="Calibri" w:hAnsi="Calibri" w:cs="Calibri"/>
                <w:szCs w:val="22"/>
              </w:rPr>
              <w:t>Draft f</w:t>
            </w:r>
            <w:r w:rsidR="00607268" w:rsidRPr="00607268">
              <w:rPr>
                <w:rFonts w:ascii="Calibri" w:hAnsi="Calibri" w:cs="Calibri"/>
                <w:szCs w:val="22"/>
              </w:rPr>
              <w:t>act-base for CalSAWS requirements consolidation &amp; prioritization</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6/29/2018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7/11/2018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$413,000 </w:t>
            </w:r>
          </w:p>
        </w:tc>
      </w:tr>
      <w:tr w:rsidR="00607268" w:rsidRPr="00607268" w:rsidTr="00607268">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4</w:t>
            </w:r>
          </w:p>
        </w:tc>
        <w:tc>
          <w:tcPr>
            <w:tcW w:w="6440" w:type="dxa"/>
            <w:tcBorders>
              <w:top w:val="nil"/>
              <w:left w:val="nil"/>
              <w:bottom w:val="single" w:sz="4" w:space="0" w:color="auto"/>
              <w:right w:val="nil"/>
            </w:tcBorders>
            <w:shd w:val="clear" w:color="auto" w:fill="auto"/>
            <w:vAlign w:val="bottom"/>
            <w:hideMark/>
          </w:tcPr>
          <w:p w:rsidR="00607268" w:rsidRPr="00607268" w:rsidRDefault="009C42EC" w:rsidP="00607268">
            <w:pPr>
              <w:rPr>
                <w:rFonts w:ascii="Calibri" w:hAnsi="Calibri" w:cs="Calibri"/>
                <w:szCs w:val="22"/>
              </w:rPr>
            </w:pPr>
            <w:r>
              <w:rPr>
                <w:rFonts w:ascii="Calibri" w:hAnsi="Calibri" w:cs="Calibri"/>
                <w:szCs w:val="22"/>
              </w:rPr>
              <w:t>Draft f</w:t>
            </w:r>
            <w:r w:rsidR="00607268" w:rsidRPr="00607268">
              <w:rPr>
                <w:rFonts w:ascii="Calibri" w:hAnsi="Calibri" w:cs="Calibri"/>
                <w:szCs w:val="22"/>
              </w:rPr>
              <w:t>act-base for high-level estimation of one-time migration costs for CalSAWS</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7/20/2018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8/1/2018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$413,000 </w:t>
            </w:r>
          </w:p>
        </w:tc>
      </w:tr>
      <w:tr w:rsidR="00607268" w:rsidRPr="00607268" w:rsidTr="00607268">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5</w:t>
            </w:r>
          </w:p>
        </w:tc>
        <w:tc>
          <w:tcPr>
            <w:tcW w:w="6440" w:type="dxa"/>
            <w:tcBorders>
              <w:top w:val="nil"/>
              <w:left w:val="nil"/>
              <w:bottom w:val="single" w:sz="4" w:space="0" w:color="auto"/>
              <w:right w:val="nil"/>
            </w:tcBorders>
            <w:shd w:val="clear" w:color="auto" w:fill="auto"/>
            <w:vAlign w:val="bottom"/>
            <w:hideMark/>
          </w:tcPr>
          <w:p w:rsidR="00607268" w:rsidRPr="00607268" w:rsidRDefault="009C42EC" w:rsidP="009C42EC">
            <w:pPr>
              <w:rPr>
                <w:rFonts w:ascii="Calibri" w:hAnsi="Calibri" w:cs="Calibri"/>
                <w:szCs w:val="22"/>
              </w:rPr>
            </w:pPr>
            <w:r>
              <w:rPr>
                <w:rFonts w:ascii="Calibri" w:hAnsi="Calibri" w:cs="Calibri"/>
                <w:szCs w:val="22"/>
              </w:rPr>
              <w:t>Draft f</w:t>
            </w:r>
            <w:r w:rsidR="00607268" w:rsidRPr="00607268">
              <w:rPr>
                <w:rFonts w:ascii="Calibri" w:hAnsi="Calibri" w:cs="Calibri"/>
                <w:szCs w:val="22"/>
              </w:rPr>
              <w:t>act-base for high-level estimation of ongoing migration costs for CalSAWS</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7/20/2018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8/1/2018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$413,000 </w:t>
            </w:r>
          </w:p>
        </w:tc>
      </w:tr>
      <w:tr w:rsidR="00607268" w:rsidRPr="00607268" w:rsidTr="00607268">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6</w:t>
            </w:r>
          </w:p>
        </w:tc>
        <w:tc>
          <w:tcPr>
            <w:tcW w:w="6440" w:type="dxa"/>
            <w:tcBorders>
              <w:top w:val="nil"/>
              <w:left w:val="nil"/>
              <w:bottom w:val="single" w:sz="4" w:space="0" w:color="auto"/>
              <w:right w:val="nil"/>
            </w:tcBorders>
            <w:shd w:val="clear" w:color="auto" w:fill="auto"/>
            <w:vAlign w:val="bottom"/>
            <w:hideMark/>
          </w:tcPr>
          <w:p w:rsidR="00607268" w:rsidRPr="00607268" w:rsidRDefault="009C42EC" w:rsidP="009C42EC">
            <w:pPr>
              <w:rPr>
                <w:rFonts w:ascii="Calibri" w:hAnsi="Calibri" w:cs="Calibri"/>
                <w:szCs w:val="22"/>
              </w:rPr>
            </w:pPr>
            <w:r>
              <w:rPr>
                <w:rFonts w:ascii="Calibri" w:hAnsi="Calibri" w:cs="Calibri"/>
                <w:szCs w:val="22"/>
              </w:rPr>
              <w:t>Draft f</w:t>
            </w:r>
            <w:r w:rsidR="00607268" w:rsidRPr="00607268">
              <w:rPr>
                <w:rFonts w:ascii="Calibri" w:hAnsi="Calibri" w:cs="Calibri"/>
                <w:szCs w:val="22"/>
              </w:rPr>
              <w:t>act-base for assessment on sequencing/timeline, procurement options, risk planning / mitigation and other considerations for CalSAWS</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7/27/2018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8/8/2018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$295,000 </w:t>
            </w:r>
          </w:p>
        </w:tc>
      </w:tr>
      <w:tr w:rsidR="00607268" w:rsidRPr="00607268" w:rsidTr="00607268">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7</w:t>
            </w:r>
          </w:p>
        </w:tc>
        <w:tc>
          <w:tcPr>
            <w:tcW w:w="6440" w:type="dxa"/>
            <w:tcBorders>
              <w:top w:val="nil"/>
              <w:left w:val="nil"/>
              <w:bottom w:val="single" w:sz="4" w:space="0" w:color="auto"/>
              <w:right w:val="nil"/>
            </w:tcBorders>
            <w:shd w:val="clear" w:color="auto" w:fill="auto"/>
            <w:vAlign w:val="bottom"/>
            <w:hideMark/>
          </w:tcPr>
          <w:p w:rsidR="00607268" w:rsidRPr="00607268" w:rsidRDefault="00607268" w:rsidP="00607268">
            <w:pPr>
              <w:rPr>
                <w:rFonts w:ascii="Calibri" w:hAnsi="Calibri" w:cs="Calibri"/>
                <w:szCs w:val="22"/>
              </w:rPr>
            </w:pPr>
            <w:r w:rsidRPr="00607268">
              <w:rPr>
                <w:rFonts w:ascii="Calibri" w:hAnsi="Calibri" w:cs="Calibri"/>
                <w:szCs w:val="22"/>
              </w:rPr>
              <w:t>Interim CalSAWS Report (</w:t>
            </w:r>
            <w:r w:rsidR="00275F0D">
              <w:rPr>
                <w:rFonts w:ascii="Calibri" w:hAnsi="Calibri" w:cs="Calibri"/>
                <w:szCs w:val="22"/>
              </w:rPr>
              <w:t>May</w:t>
            </w:r>
            <w:r w:rsidRPr="00607268">
              <w:rPr>
                <w:rFonts w:ascii="Calibri" w:hAnsi="Calibri" w:cs="Calibri"/>
                <w:szCs w:val="22"/>
              </w:rPr>
              <w:t xml:space="preserve">): Draft report on emerging view of consolidated CalSAWS requirements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C609BC" w:rsidP="00607268">
            <w:pPr>
              <w:jc w:val="center"/>
              <w:rPr>
                <w:rFonts w:ascii="Calibri" w:hAnsi="Calibri" w:cs="Calibri"/>
                <w:szCs w:val="22"/>
              </w:rPr>
            </w:pPr>
            <w:r>
              <w:rPr>
                <w:rFonts w:ascii="Calibri" w:hAnsi="Calibri" w:cs="Calibri"/>
                <w:szCs w:val="22"/>
              </w:rPr>
              <w:t>5/14</w:t>
            </w:r>
            <w:r w:rsidR="00607268" w:rsidRPr="00607268">
              <w:rPr>
                <w:rFonts w:ascii="Calibri" w:hAnsi="Calibri" w:cs="Calibri"/>
                <w:szCs w:val="22"/>
              </w:rPr>
              <w:t>/2018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5/</w:t>
            </w:r>
            <w:r w:rsidR="00704C4D">
              <w:rPr>
                <w:rFonts w:ascii="Calibri" w:hAnsi="Calibri" w:cs="Calibri"/>
                <w:szCs w:val="22"/>
              </w:rPr>
              <w:t>25</w:t>
            </w:r>
            <w:r w:rsidRPr="00607268">
              <w:rPr>
                <w:rFonts w:ascii="Calibri" w:hAnsi="Calibri" w:cs="Calibri"/>
                <w:szCs w:val="22"/>
              </w:rPr>
              <w:t>/2018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$746,350 </w:t>
            </w:r>
          </w:p>
        </w:tc>
      </w:tr>
      <w:tr w:rsidR="00607268" w:rsidRPr="00607268" w:rsidTr="00607268">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8</w:t>
            </w:r>
          </w:p>
        </w:tc>
        <w:tc>
          <w:tcPr>
            <w:tcW w:w="6440" w:type="dxa"/>
            <w:tcBorders>
              <w:top w:val="nil"/>
              <w:left w:val="nil"/>
              <w:bottom w:val="single" w:sz="4" w:space="0" w:color="auto"/>
              <w:right w:val="nil"/>
            </w:tcBorders>
            <w:shd w:val="clear" w:color="auto" w:fill="auto"/>
            <w:vAlign w:val="bottom"/>
            <w:hideMark/>
          </w:tcPr>
          <w:p w:rsidR="00607268" w:rsidRPr="00607268" w:rsidRDefault="00607268" w:rsidP="00607268">
            <w:pPr>
              <w:rPr>
                <w:rFonts w:ascii="Calibri" w:hAnsi="Calibri" w:cs="Calibri"/>
                <w:szCs w:val="22"/>
              </w:rPr>
            </w:pPr>
            <w:r w:rsidRPr="00607268">
              <w:rPr>
                <w:rFonts w:ascii="Calibri" w:hAnsi="Calibri" w:cs="Calibri"/>
                <w:szCs w:val="22"/>
              </w:rPr>
              <w:t>Interim CalSAWS Report (May): Draft report on emerging view of consolidated CalSAWS requirements</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5/30/2018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6/8/2018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$746,350 </w:t>
            </w:r>
          </w:p>
        </w:tc>
      </w:tr>
      <w:tr w:rsidR="00607268" w:rsidRPr="00607268" w:rsidTr="00607268">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9</w:t>
            </w:r>
          </w:p>
        </w:tc>
        <w:tc>
          <w:tcPr>
            <w:tcW w:w="6440" w:type="dxa"/>
            <w:tcBorders>
              <w:top w:val="nil"/>
              <w:left w:val="nil"/>
              <w:bottom w:val="single" w:sz="4" w:space="0" w:color="auto"/>
              <w:right w:val="nil"/>
            </w:tcBorders>
            <w:shd w:val="clear" w:color="auto" w:fill="auto"/>
            <w:vAlign w:val="bottom"/>
            <w:hideMark/>
          </w:tcPr>
          <w:p w:rsidR="00607268" w:rsidRPr="00607268" w:rsidRDefault="00607268" w:rsidP="00607268">
            <w:pPr>
              <w:rPr>
                <w:rFonts w:ascii="Calibri" w:hAnsi="Calibri" w:cs="Calibri"/>
                <w:szCs w:val="22"/>
              </w:rPr>
            </w:pPr>
            <w:r w:rsidRPr="00607268">
              <w:rPr>
                <w:rFonts w:ascii="Calibri" w:hAnsi="Calibri" w:cs="Calibri"/>
                <w:szCs w:val="22"/>
              </w:rPr>
              <w:t>Interim CalSAWS Report (June): Draft report on CalSAWS requirements</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6/29/2018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7/11/2018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$826,000 </w:t>
            </w:r>
          </w:p>
        </w:tc>
      </w:tr>
      <w:tr w:rsidR="00607268" w:rsidRPr="00607268" w:rsidTr="00607268">
        <w:trPr>
          <w:trHeight w:val="6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color w:val="000000"/>
                <w:sz w:val="20"/>
              </w:rPr>
            </w:pPr>
            <w:r w:rsidRPr="00607268">
              <w:rPr>
                <w:rFonts w:ascii="Calibri" w:hAnsi="Calibri" w:cs="Calibri"/>
                <w:color w:val="000000"/>
                <w:sz w:val="20"/>
              </w:rPr>
              <w:t>10</w:t>
            </w:r>
          </w:p>
        </w:tc>
        <w:tc>
          <w:tcPr>
            <w:tcW w:w="6440" w:type="dxa"/>
            <w:tcBorders>
              <w:top w:val="nil"/>
              <w:left w:val="nil"/>
              <w:bottom w:val="single" w:sz="4" w:space="0" w:color="auto"/>
              <w:right w:val="nil"/>
            </w:tcBorders>
            <w:shd w:val="clear" w:color="auto" w:fill="auto"/>
            <w:vAlign w:val="bottom"/>
            <w:hideMark/>
          </w:tcPr>
          <w:p w:rsidR="00607268" w:rsidRPr="00607268" w:rsidRDefault="00607268" w:rsidP="00607268">
            <w:pPr>
              <w:rPr>
                <w:rFonts w:ascii="Calibri" w:hAnsi="Calibri" w:cs="Calibri"/>
                <w:szCs w:val="22"/>
              </w:rPr>
            </w:pPr>
            <w:r w:rsidRPr="00607268">
              <w:rPr>
                <w:rFonts w:ascii="Calibri" w:hAnsi="Calibri" w:cs="Calibri"/>
                <w:szCs w:val="22"/>
              </w:rPr>
              <w:t>Final report on CalSAWS requirements, with high-level cost and impacts assessment</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7/27/2018</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center"/>
              <w:rPr>
                <w:rFonts w:ascii="Calibri" w:hAnsi="Calibri" w:cs="Calibri"/>
                <w:szCs w:val="22"/>
              </w:rPr>
            </w:pPr>
            <w:r w:rsidRPr="00607268">
              <w:rPr>
                <w:rFonts w:ascii="Calibri" w:hAnsi="Calibri" w:cs="Calibri"/>
                <w:szCs w:val="22"/>
              </w:rPr>
              <w:t>8/8/2018</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szCs w:val="22"/>
              </w:rPr>
            </w:pPr>
            <w:r w:rsidRPr="00607268">
              <w:rPr>
                <w:rFonts w:ascii="Calibri" w:hAnsi="Calibri" w:cs="Calibri"/>
                <w:szCs w:val="22"/>
              </w:rPr>
              <w:t xml:space="preserve">$826,000 </w:t>
            </w:r>
          </w:p>
        </w:tc>
      </w:tr>
      <w:tr w:rsidR="00607268" w:rsidRPr="00607268" w:rsidTr="00607268">
        <w:trPr>
          <w:trHeight w:val="192"/>
        </w:trPr>
        <w:tc>
          <w:tcPr>
            <w:tcW w:w="480" w:type="dxa"/>
            <w:tcBorders>
              <w:top w:val="nil"/>
              <w:left w:val="single" w:sz="4" w:space="0" w:color="auto"/>
              <w:bottom w:val="single" w:sz="4" w:space="0" w:color="auto"/>
              <w:right w:val="nil"/>
            </w:tcBorders>
            <w:shd w:val="clear" w:color="auto" w:fill="auto"/>
            <w:noWrap/>
            <w:vAlign w:val="center"/>
            <w:hideMark/>
          </w:tcPr>
          <w:p w:rsidR="00607268" w:rsidRPr="00607268" w:rsidRDefault="00607268" w:rsidP="00607268">
            <w:pPr>
              <w:jc w:val="center"/>
              <w:rPr>
                <w:rFonts w:ascii="Calibri" w:hAnsi="Calibri" w:cs="Calibri"/>
                <w:b/>
                <w:bCs/>
                <w:color w:val="000000"/>
                <w:sz w:val="20"/>
              </w:rPr>
            </w:pPr>
            <w:r w:rsidRPr="00607268">
              <w:rPr>
                <w:rFonts w:ascii="Calibri" w:hAnsi="Calibri" w:cs="Calibri"/>
                <w:b/>
                <w:bCs/>
                <w:color w:val="000000"/>
                <w:sz w:val="20"/>
              </w:rPr>
              <w:t> </w:t>
            </w:r>
          </w:p>
        </w:tc>
        <w:tc>
          <w:tcPr>
            <w:tcW w:w="6440" w:type="dxa"/>
            <w:tcBorders>
              <w:top w:val="nil"/>
              <w:left w:val="nil"/>
              <w:bottom w:val="single" w:sz="4" w:space="0" w:color="auto"/>
              <w:right w:val="nil"/>
            </w:tcBorders>
            <w:shd w:val="clear" w:color="auto" w:fill="auto"/>
            <w:noWrap/>
            <w:vAlign w:val="bottom"/>
            <w:hideMark/>
          </w:tcPr>
          <w:p w:rsidR="00607268" w:rsidRPr="00607268" w:rsidRDefault="00607268" w:rsidP="00607268">
            <w:pPr>
              <w:rPr>
                <w:rFonts w:ascii="Calibri" w:hAnsi="Calibri" w:cs="Calibri"/>
                <w:b/>
                <w:bCs/>
                <w:szCs w:val="22"/>
              </w:rPr>
            </w:pPr>
            <w:r w:rsidRPr="00607268">
              <w:rPr>
                <w:rFonts w:ascii="Calibri" w:hAnsi="Calibri" w:cs="Calibri"/>
                <w:b/>
                <w:bCs/>
                <w:szCs w:val="22"/>
              </w:rPr>
              <w:t> </w:t>
            </w:r>
          </w:p>
        </w:tc>
        <w:tc>
          <w:tcPr>
            <w:tcW w:w="1240" w:type="dxa"/>
            <w:tcBorders>
              <w:top w:val="nil"/>
              <w:left w:val="nil"/>
              <w:bottom w:val="single" w:sz="4" w:space="0" w:color="auto"/>
              <w:right w:val="nil"/>
            </w:tcBorders>
            <w:shd w:val="clear" w:color="auto" w:fill="auto"/>
            <w:noWrap/>
            <w:vAlign w:val="bottom"/>
            <w:hideMark/>
          </w:tcPr>
          <w:p w:rsidR="00607268" w:rsidRPr="00607268" w:rsidRDefault="00607268" w:rsidP="00607268">
            <w:pPr>
              <w:rPr>
                <w:rFonts w:ascii="Calibri" w:hAnsi="Calibri" w:cs="Calibri"/>
                <w:b/>
                <w:bCs/>
                <w:szCs w:val="22"/>
              </w:rPr>
            </w:pPr>
            <w:r w:rsidRPr="00607268">
              <w:rPr>
                <w:rFonts w:ascii="Calibri" w:hAnsi="Calibri" w:cs="Calibri"/>
                <w:b/>
                <w:bCs/>
                <w:szCs w:val="22"/>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b/>
                <w:bCs/>
                <w:szCs w:val="22"/>
              </w:rPr>
            </w:pPr>
            <w:r w:rsidRPr="00607268">
              <w:rPr>
                <w:rFonts w:ascii="Calibri" w:hAnsi="Calibri" w:cs="Calibri"/>
                <w:b/>
                <w:bCs/>
                <w:szCs w:val="22"/>
              </w:rPr>
              <w:t>TOTAL</w:t>
            </w:r>
          </w:p>
        </w:tc>
        <w:tc>
          <w:tcPr>
            <w:tcW w:w="1140" w:type="dxa"/>
            <w:tcBorders>
              <w:top w:val="nil"/>
              <w:left w:val="nil"/>
              <w:bottom w:val="single" w:sz="4" w:space="0" w:color="auto"/>
              <w:right w:val="single" w:sz="4" w:space="0" w:color="auto"/>
            </w:tcBorders>
            <w:shd w:val="clear" w:color="auto" w:fill="auto"/>
            <w:noWrap/>
            <w:vAlign w:val="bottom"/>
            <w:hideMark/>
          </w:tcPr>
          <w:p w:rsidR="00607268" w:rsidRPr="00607268" w:rsidRDefault="00607268" w:rsidP="00607268">
            <w:pPr>
              <w:jc w:val="right"/>
              <w:rPr>
                <w:rFonts w:ascii="Calibri" w:hAnsi="Calibri" w:cs="Calibri"/>
                <w:b/>
                <w:bCs/>
                <w:color w:val="000000"/>
                <w:szCs w:val="22"/>
              </w:rPr>
            </w:pPr>
            <w:r w:rsidRPr="00607268">
              <w:rPr>
                <w:rFonts w:ascii="Calibri" w:hAnsi="Calibri" w:cs="Calibri"/>
                <w:b/>
                <w:bCs/>
                <w:color w:val="000000"/>
                <w:szCs w:val="22"/>
              </w:rPr>
              <w:t xml:space="preserve">$5,386,700 </w:t>
            </w:r>
          </w:p>
        </w:tc>
      </w:tr>
    </w:tbl>
    <w:p w:rsidR="004A09A8" w:rsidRDefault="00187194" w:rsidP="00A831BA">
      <w:pPr>
        <w:pStyle w:val="Heading1"/>
        <w:keepNext/>
      </w:pPr>
      <w:r>
        <w:t>Impact on the Agreement</w:t>
      </w:r>
    </w:p>
    <w:p w:rsidR="004A09A8" w:rsidRDefault="004A09A8">
      <w:pPr>
        <w:pStyle w:val="BodyTextIndent2"/>
      </w:pPr>
      <w:r>
        <w:t xml:space="preserve">The changes outlined in this Change Order are incorporated into the Agreement dated October </w:t>
      </w:r>
      <w:r w:rsidR="00F0616B">
        <w:t>29, 2007</w:t>
      </w:r>
      <w:r w:rsidR="00CD05E0">
        <w:t>,</w:t>
      </w:r>
      <w:r>
        <w:t xml:space="preserve"> and Amendmen</w:t>
      </w:r>
      <w:r w:rsidRPr="005700D0">
        <w:t xml:space="preserve">t No. </w:t>
      </w:r>
      <w:r w:rsidR="00607268">
        <w:t>Sixty</w:t>
      </w:r>
      <w:r w:rsidR="00CC3746">
        <w:t xml:space="preserve"> </w:t>
      </w:r>
      <w:r w:rsidRPr="005700D0">
        <w:t xml:space="preserve">dated </w:t>
      </w:r>
      <w:r w:rsidR="00607268">
        <w:t>April 26</w:t>
      </w:r>
      <w:r w:rsidR="00EA4FB7" w:rsidRPr="00CE0735">
        <w:t xml:space="preserve"> 2018</w:t>
      </w:r>
      <w:r w:rsidR="00CD05E0" w:rsidRPr="005700D0">
        <w:t>,</w:t>
      </w:r>
      <w:r w:rsidRPr="005700D0">
        <w:t xml:space="preserve"> as follows:</w:t>
      </w:r>
    </w:p>
    <w:p w:rsidR="004A09A8" w:rsidRDefault="004A09A8">
      <w:pPr>
        <w:pStyle w:val="BodyTextIndent2"/>
        <w:ind w:left="1440"/>
      </w:pPr>
    </w:p>
    <w:p w:rsidR="00E46092" w:rsidRPr="00581E75" w:rsidRDefault="004A09A8" w:rsidP="00CC3746">
      <w:pPr>
        <w:pStyle w:val="BulletLevel1"/>
        <w:rPr>
          <w:b/>
          <w:caps/>
          <w:kern w:val="28"/>
          <w:u w:val="single"/>
        </w:rPr>
      </w:pPr>
      <w:r>
        <w:t>Exhibit A, Financial Matters – The total increase to the Prices and Charges under the Agreement is incorporated into Sections A, C and D.</w:t>
      </w:r>
      <w:r w:rsidR="00E46092" w:rsidRPr="00581E75">
        <w:rPr>
          <w:caps/>
          <w:u w:val="single"/>
        </w:rPr>
        <w:br w:type="page"/>
      </w:r>
    </w:p>
    <w:p w:rsidR="004A09A8" w:rsidRDefault="004A09A8" w:rsidP="00F779CC">
      <w:pPr>
        <w:pStyle w:val="Heading1"/>
      </w:pPr>
      <w:r>
        <w:lastRenderedPageBreak/>
        <w:t>Change Order Approval</w:t>
      </w:r>
    </w:p>
    <w:p w:rsidR="004A09A8" w:rsidRPr="00D234B0" w:rsidRDefault="004A09A8" w:rsidP="00B55344"/>
    <w:p w:rsidR="004A09A8" w:rsidRPr="00993C16" w:rsidRDefault="004A09A8" w:rsidP="00B55344">
      <w:pPr>
        <w:ind w:firstLine="720"/>
      </w:pPr>
      <w:r w:rsidRPr="00B55344">
        <w:rPr>
          <w:b/>
        </w:rPr>
        <w:t>Subject:</w:t>
      </w:r>
      <w:r w:rsidR="00FF28F4" w:rsidRPr="00B55344">
        <w:rPr>
          <w:b/>
        </w:rPr>
        <w:t xml:space="preserve">  </w:t>
      </w:r>
      <w:r w:rsidRPr="00B55344">
        <w:rPr>
          <w:b/>
          <w:u w:val="single"/>
        </w:rPr>
        <w:t>Change Order CO-</w:t>
      </w:r>
      <w:r w:rsidR="00E92E19" w:rsidRPr="00B55344">
        <w:rPr>
          <w:b/>
          <w:u w:val="single"/>
        </w:rPr>
        <w:t>0</w:t>
      </w:r>
      <w:r w:rsidR="00F0616B" w:rsidRPr="00B55344">
        <w:rPr>
          <w:b/>
          <w:u w:val="single"/>
        </w:rPr>
        <w:t>4</w:t>
      </w:r>
      <w:r w:rsidR="009C42EC">
        <w:rPr>
          <w:b/>
          <w:u w:val="single"/>
        </w:rPr>
        <w:t>9</w:t>
      </w:r>
      <w:r w:rsidR="00222443" w:rsidRPr="00B55344">
        <w:rPr>
          <w:b/>
          <w:u w:val="single"/>
        </w:rPr>
        <w:t xml:space="preserve">– </w:t>
      </w:r>
      <w:r w:rsidR="009C42EC">
        <w:rPr>
          <w:b/>
          <w:u w:val="single"/>
        </w:rPr>
        <w:t xml:space="preserve">CalSAWS </w:t>
      </w:r>
      <w:r w:rsidR="00342F69">
        <w:rPr>
          <w:b/>
          <w:u w:val="single"/>
        </w:rPr>
        <w:t>Migration Planning</w:t>
      </w:r>
    </w:p>
    <w:p w:rsidR="004A09A8" w:rsidRPr="00993C16" w:rsidRDefault="004A09A8"/>
    <w:p w:rsidR="004A09A8" w:rsidRDefault="004A09A8" w:rsidP="00B55344">
      <w:pPr>
        <w:ind w:left="720"/>
      </w:pPr>
      <w:r w:rsidRPr="00993C16">
        <w:t>The subject document is accepted as allowing First Data to proceed with Change Order CO-</w:t>
      </w:r>
      <w:r w:rsidR="00E92E19">
        <w:t>0</w:t>
      </w:r>
      <w:r w:rsidR="00F0616B">
        <w:t>4</w:t>
      </w:r>
      <w:r w:rsidR="009C42EC">
        <w:t>9</w:t>
      </w:r>
      <w:r w:rsidR="00094A5F">
        <w:t xml:space="preserve"> </w:t>
      </w:r>
      <w:r w:rsidR="00222443">
        <w:t xml:space="preserve">– </w:t>
      </w:r>
      <w:r w:rsidR="009C42EC">
        <w:t xml:space="preserve">CalSAWS </w:t>
      </w:r>
      <w:r w:rsidR="00342F69">
        <w:t>Migration Planning</w:t>
      </w:r>
      <w:r w:rsidRPr="00993C16">
        <w:t>.</w:t>
      </w:r>
    </w:p>
    <w:p w:rsidR="004A09A8" w:rsidRDefault="004A09A8">
      <w:pPr>
        <w:ind w:left="720"/>
      </w:pPr>
    </w:p>
    <w:p w:rsidR="004A09A8" w:rsidRDefault="004A09A8">
      <w:pPr>
        <w:ind w:left="720"/>
      </w:pPr>
    </w:p>
    <w:p w:rsidR="004A09A8" w:rsidRDefault="00BE0806">
      <w:pPr>
        <w:ind w:left="810"/>
        <w:rPr>
          <w:b/>
        </w:rPr>
      </w:pPr>
      <w:r>
        <w:rPr>
          <w:b/>
        </w:rPr>
        <w:t xml:space="preserve">CALIFORNIA </w:t>
      </w:r>
      <w:r w:rsidR="00797DCF" w:rsidRPr="00797DCF">
        <w:rPr>
          <w:b/>
        </w:rPr>
        <w:t>AUTOMATED CONSORTIUM ELIGIBLITY SYSTEM</w:t>
      </w:r>
    </w:p>
    <w:p w:rsidR="004A09A8" w:rsidRDefault="004A09A8">
      <w:pPr>
        <w:ind w:left="810"/>
        <w:rPr>
          <w:b/>
        </w:rPr>
      </w:pPr>
    </w:p>
    <w:p w:rsidR="00AE43A1" w:rsidRDefault="004A09A8">
      <w:pPr>
        <w:ind w:left="810"/>
        <w:rPr>
          <w:u w:val="single"/>
        </w:rPr>
      </w:pPr>
      <w:r>
        <w:t>By:</w:t>
      </w:r>
      <w:r>
        <w:rPr>
          <w:u w:val="single"/>
        </w:rPr>
        <w:tab/>
      </w:r>
      <w:r>
        <w:rPr>
          <w:u w:val="single"/>
        </w:rPr>
        <w:tab/>
      </w:r>
      <w:r>
        <w:rPr>
          <w:u w:val="single"/>
        </w:rPr>
        <w:tab/>
      </w:r>
      <w:r>
        <w:rPr>
          <w:u w:val="single"/>
        </w:rPr>
        <w:tab/>
      </w:r>
      <w:r>
        <w:rPr>
          <w:u w:val="single"/>
        </w:rPr>
        <w:tab/>
      </w:r>
      <w:r>
        <w:rPr>
          <w:u w:val="single"/>
        </w:rPr>
        <w:tab/>
      </w:r>
    </w:p>
    <w:p w:rsidR="00AE43A1" w:rsidRDefault="004A09A8">
      <w:pPr>
        <w:ind w:left="810"/>
        <w:rPr>
          <w:u w:val="single"/>
        </w:rPr>
      </w:pPr>
      <w:r>
        <w:br/>
        <w:t>Printed Name:</w:t>
      </w:r>
      <w:r>
        <w:rPr>
          <w:u w:val="single"/>
        </w:rPr>
        <w:tab/>
      </w:r>
      <w:r>
        <w:rPr>
          <w:u w:val="single"/>
        </w:rPr>
        <w:tab/>
      </w:r>
      <w:r>
        <w:rPr>
          <w:u w:val="single"/>
        </w:rPr>
        <w:tab/>
      </w:r>
      <w:r>
        <w:rPr>
          <w:u w:val="single"/>
        </w:rPr>
        <w:tab/>
      </w:r>
    </w:p>
    <w:p w:rsidR="004A09A8" w:rsidRDefault="004A09A8">
      <w:pPr>
        <w:ind w:left="810"/>
        <w:rPr>
          <w:u w:val="single"/>
        </w:rPr>
      </w:pPr>
      <w:r>
        <w:br/>
        <w:t>Title:</w:t>
      </w:r>
      <w:r>
        <w:rPr>
          <w:u w:val="single"/>
        </w:rPr>
        <w:tab/>
      </w:r>
      <w:r>
        <w:rPr>
          <w:u w:val="single"/>
        </w:rPr>
        <w:tab/>
      </w:r>
      <w:r>
        <w:rPr>
          <w:u w:val="single"/>
        </w:rPr>
        <w:tab/>
      </w:r>
      <w:r>
        <w:rPr>
          <w:u w:val="single"/>
        </w:rPr>
        <w:tab/>
      </w:r>
      <w:r>
        <w:rPr>
          <w:u w:val="single"/>
        </w:rPr>
        <w:tab/>
      </w:r>
      <w:r>
        <w:rPr>
          <w:u w:val="single"/>
        </w:rPr>
        <w:tab/>
      </w:r>
    </w:p>
    <w:p w:rsidR="00AE43A1" w:rsidRDefault="00AE43A1">
      <w:pPr>
        <w:ind w:left="810"/>
      </w:pPr>
    </w:p>
    <w:p w:rsidR="004A09A8" w:rsidRDefault="004A09A8">
      <w:pPr>
        <w:ind w:left="810"/>
      </w:pPr>
      <w:r>
        <w:t>Date:</w:t>
      </w:r>
      <w:r>
        <w:rPr>
          <w:u w:val="single"/>
        </w:rPr>
        <w:tab/>
      </w:r>
      <w:r>
        <w:rPr>
          <w:u w:val="single"/>
        </w:rPr>
        <w:tab/>
      </w:r>
      <w:r>
        <w:rPr>
          <w:u w:val="single"/>
        </w:rPr>
        <w:tab/>
      </w:r>
      <w:r>
        <w:rPr>
          <w:u w:val="single"/>
        </w:rPr>
        <w:tab/>
      </w:r>
      <w:r>
        <w:rPr>
          <w:u w:val="single"/>
        </w:rPr>
        <w:tab/>
      </w:r>
      <w:r>
        <w:rPr>
          <w:u w:val="single"/>
        </w:rPr>
        <w:tab/>
      </w:r>
    </w:p>
    <w:p w:rsidR="004A09A8" w:rsidRDefault="004A09A8">
      <w:pPr>
        <w:ind w:left="810"/>
      </w:pPr>
    </w:p>
    <w:p w:rsidR="006550C6" w:rsidRDefault="006550C6" w:rsidP="00AC0EF3">
      <w:pPr>
        <w:ind w:left="810"/>
      </w:pPr>
    </w:p>
    <w:p w:rsidR="006550C6" w:rsidRDefault="006550C6" w:rsidP="00AC0EF3">
      <w:pPr>
        <w:ind w:left="810"/>
      </w:pPr>
    </w:p>
    <w:p w:rsidR="00AE43A1" w:rsidRDefault="00AC0EF3" w:rsidP="00AC0EF3">
      <w:pPr>
        <w:ind w:left="810"/>
        <w:rPr>
          <w:u w:val="single"/>
        </w:rPr>
      </w:pPr>
      <w:r>
        <w:t>By:</w:t>
      </w:r>
      <w:r>
        <w:rPr>
          <w:u w:val="single"/>
        </w:rPr>
        <w:tab/>
      </w:r>
      <w:r>
        <w:rPr>
          <w:u w:val="single"/>
        </w:rPr>
        <w:tab/>
      </w:r>
      <w:r>
        <w:rPr>
          <w:u w:val="single"/>
        </w:rPr>
        <w:tab/>
      </w:r>
      <w:r>
        <w:rPr>
          <w:u w:val="single"/>
        </w:rPr>
        <w:tab/>
      </w:r>
      <w:r>
        <w:rPr>
          <w:u w:val="single"/>
        </w:rPr>
        <w:tab/>
      </w:r>
      <w:r>
        <w:rPr>
          <w:u w:val="single"/>
        </w:rPr>
        <w:tab/>
      </w:r>
    </w:p>
    <w:p w:rsidR="00AE43A1" w:rsidRDefault="00AC0EF3" w:rsidP="00AC0EF3">
      <w:pPr>
        <w:ind w:left="810"/>
        <w:rPr>
          <w:u w:val="single"/>
        </w:rPr>
      </w:pPr>
      <w:r>
        <w:br/>
        <w:t xml:space="preserve">Printed Name: </w:t>
      </w:r>
      <w:r w:rsidR="0090414A">
        <w:rPr>
          <w:u w:val="single"/>
        </w:rPr>
        <w:tab/>
      </w:r>
      <w:r w:rsidR="0090414A">
        <w:rPr>
          <w:u w:val="single"/>
        </w:rPr>
        <w:tab/>
      </w:r>
      <w:r w:rsidR="0090414A">
        <w:rPr>
          <w:u w:val="single"/>
        </w:rPr>
        <w:tab/>
      </w:r>
      <w:r w:rsidR="0090414A">
        <w:rPr>
          <w:u w:val="single"/>
        </w:rPr>
        <w:tab/>
      </w:r>
    </w:p>
    <w:p w:rsidR="00AC0EF3" w:rsidRDefault="00AC0EF3" w:rsidP="00AC0EF3">
      <w:pPr>
        <w:ind w:left="810"/>
        <w:rPr>
          <w:u w:val="single"/>
        </w:rPr>
      </w:pPr>
      <w:r>
        <w:br/>
        <w:t>Title:</w:t>
      </w:r>
      <w:r w:rsidR="0090414A" w:rsidRPr="0090414A">
        <w:rPr>
          <w:u w:val="single"/>
        </w:rPr>
        <w:t xml:space="preserve"> </w:t>
      </w:r>
      <w:r w:rsidR="0090414A">
        <w:rPr>
          <w:u w:val="single"/>
        </w:rPr>
        <w:tab/>
      </w:r>
      <w:r w:rsidR="0090414A">
        <w:rPr>
          <w:u w:val="single"/>
        </w:rPr>
        <w:tab/>
      </w:r>
      <w:r w:rsidR="0090414A">
        <w:rPr>
          <w:u w:val="single"/>
        </w:rPr>
        <w:tab/>
      </w:r>
      <w:r w:rsidR="0090414A">
        <w:rPr>
          <w:u w:val="single"/>
        </w:rPr>
        <w:tab/>
      </w:r>
      <w:r w:rsidR="0090414A">
        <w:rPr>
          <w:u w:val="single"/>
        </w:rPr>
        <w:tab/>
      </w:r>
      <w:r w:rsidR="0090414A">
        <w:rPr>
          <w:u w:val="single"/>
        </w:rPr>
        <w:tab/>
      </w:r>
    </w:p>
    <w:p w:rsidR="00AE43A1" w:rsidRDefault="00AE43A1" w:rsidP="00AC0EF3">
      <w:pPr>
        <w:ind w:left="810"/>
      </w:pPr>
    </w:p>
    <w:p w:rsidR="00AC0EF3" w:rsidRDefault="00AC0EF3" w:rsidP="00AC0EF3">
      <w:pPr>
        <w:ind w:left="810"/>
      </w:pPr>
      <w:r>
        <w:t>Date:</w:t>
      </w:r>
      <w:r>
        <w:rPr>
          <w:u w:val="single"/>
        </w:rPr>
        <w:tab/>
      </w:r>
      <w:r>
        <w:rPr>
          <w:u w:val="single"/>
        </w:rPr>
        <w:tab/>
      </w:r>
      <w:r>
        <w:rPr>
          <w:u w:val="single"/>
        </w:rPr>
        <w:tab/>
      </w:r>
      <w:r>
        <w:rPr>
          <w:u w:val="single"/>
        </w:rPr>
        <w:tab/>
      </w:r>
      <w:r>
        <w:rPr>
          <w:u w:val="single"/>
        </w:rPr>
        <w:tab/>
      </w:r>
      <w:r>
        <w:rPr>
          <w:u w:val="single"/>
        </w:rPr>
        <w:tab/>
      </w:r>
    </w:p>
    <w:p w:rsidR="00AC0EF3" w:rsidRDefault="00AC0EF3">
      <w:pPr>
        <w:ind w:left="810"/>
      </w:pPr>
    </w:p>
    <w:p w:rsidR="00AC0EF3" w:rsidRDefault="00AC0EF3">
      <w:pPr>
        <w:ind w:left="810"/>
      </w:pPr>
    </w:p>
    <w:p w:rsidR="004A09A8" w:rsidRDefault="004A09A8">
      <w:pPr>
        <w:ind w:left="810"/>
      </w:pPr>
      <w:r>
        <w:t>Notice Address:</w:t>
      </w:r>
    </w:p>
    <w:p w:rsidR="004A09A8" w:rsidRDefault="00BE0806">
      <w:pPr>
        <w:ind w:left="810"/>
        <w:rPr>
          <w:snapToGrid w:val="0"/>
        </w:rPr>
      </w:pPr>
      <w:r>
        <w:t xml:space="preserve">California </w:t>
      </w:r>
      <w:r w:rsidR="00CC3746">
        <w:t xml:space="preserve">Automated Consortium </w:t>
      </w:r>
      <w:r w:rsidR="00306D9C">
        <w:t>Eligibility</w:t>
      </w:r>
      <w:r w:rsidR="00CC3746">
        <w:t xml:space="preserve"> System</w:t>
      </w:r>
      <w:r w:rsidR="004A09A8">
        <w:br/>
        <w:t xml:space="preserve">Attention: </w:t>
      </w:r>
      <w:r w:rsidR="00AE43A1">
        <w:t>Executive Director</w:t>
      </w:r>
      <w:r w:rsidR="004A09A8">
        <w:br/>
        <w:t>11290</w:t>
      </w:r>
      <w:r w:rsidR="004A09A8">
        <w:rPr>
          <w:snapToGrid w:val="0"/>
        </w:rPr>
        <w:t xml:space="preserve"> Pyrites Way, Suite 150</w:t>
      </w:r>
    </w:p>
    <w:p w:rsidR="004A09A8" w:rsidRDefault="004A09A8">
      <w:pPr>
        <w:ind w:left="810"/>
        <w:jc w:val="both"/>
        <w:rPr>
          <w:snapToGrid w:val="0"/>
        </w:rPr>
      </w:pPr>
      <w:r>
        <w:rPr>
          <w:snapToGrid w:val="0"/>
        </w:rPr>
        <w:t>Rancho Cordova, CA  95670-4481</w:t>
      </w:r>
    </w:p>
    <w:p w:rsidR="00931DD4" w:rsidRDefault="00931DD4">
      <w:pPr>
        <w:ind w:left="810"/>
        <w:jc w:val="both"/>
        <w:rPr>
          <w:snapToGrid w:val="0"/>
        </w:rPr>
      </w:pPr>
    </w:p>
    <w:p w:rsidR="00931DD4" w:rsidRDefault="00931DD4" w:rsidP="00931DD4">
      <w:pPr>
        <w:ind w:left="810"/>
        <w:rPr>
          <w:b/>
        </w:rPr>
      </w:pPr>
    </w:p>
    <w:p w:rsidR="00931DD4" w:rsidRDefault="00931DD4" w:rsidP="00931DD4">
      <w:pPr>
        <w:ind w:left="810"/>
      </w:pPr>
    </w:p>
    <w:p w:rsidR="00931DD4" w:rsidRDefault="00931DD4">
      <w:pPr>
        <w:ind w:left="810"/>
        <w:jc w:val="both"/>
      </w:pPr>
    </w:p>
    <w:sectPr w:rsidR="00931DD4" w:rsidSect="006449C8">
      <w:headerReference w:type="even" r:id="rId8"/>
      <w:headerReference w:type="default" r:id="rId9"/>
      <w:footerReference w:type="even" r:id="rId10"/>
      <w:footerReference w:type="default" r:id="rId11"/>
      <w:headerReference w:type="first" r:id="rId12"/>
      <w:pgSz w:w="12240" w:h="15840" w:code="1"/>
      <w:pgMar w:top="1886" w:right="144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AE5" w:rsidRDefault="00EB1AE5">
      <w:r>
        <w:separator/>
      </w:r>
    </w:p>
    <w:p w:rsidR="00EB1AE5" w:rsidRDefault="00EB1AE5"/>
  </w:endnote>
  <w:endnote w:type="continuationSeparator" w:id="0">
    <w:p w:rsidR="00EB1AE5" w:rsidRDefault="00EB1AE5">
      <w:r>
        <w:continuationSeparator/>
      </w:r>
    </w:p>
    <w:p w:rsidR="00EB1AE5" w:rsidRDefault="00EB1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7A4" w:rsidRDefault="006F67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67A4" w:rsidRDefault="006F67A4">
    <w:pPr>
      <w:pStyle w:val="Footer"/>
    </w:pPr>
  </w:p>
  <w:p w:rsidR="006F67A4" w:rsidRDefault="006F67A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7A4" w:rsidRDefault="006F67A4" w:rsidP="00E37D47">
    <w:pPr>
      <w:pStyle w:val="Footer"/>
      <w:framePr w:wrap="around" w:vAnchor="text" w:hAnchor="page" w:x="5581" w:y="499"/>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7E1182">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7E1182">
      <w:rPr>
        <w:rStyle w:val="PageNumber"/>
        <w:noProof/>
      </w:rPr>
      <w:t>9</w:t>
    </w:r>
    <w:r>
      <w:rPr>
        <w:rStyle w:val="PageNumber"/>
      </w:rPr>
      <w:fldChar w:fldCharType="end"/>
    </w:r>
  </w:p>
  <w:p w:rsidR="006F67A4" w:rsidRDefault="00607268" w:rsidP="003B4831">
    <w:pPr>
      <w:pStyle w:val="Footer"/>
      <w:tabs>
        <w:tab w:val="clear" w:pos="8640"/>
        <w:tab w:val="right" w:pos="10080"/>
      </w:tabs>
      <w:spacing w:before="120"/>
      <w:ind w:left="86"/>
    </w:pPr>
    <w:r>
      <w:t>April</w:t>
    </w:r>
    <w:r w:rsidR="006F67A4">
      <w:t xml:space="preserve"> </w:t>
    </w:r>
    <w:r w:rsidR="006F490F">
      <w:t>26</w:t>
    </w:r>
    <w:r w:rsidR="006F67A4">
      <w:t>, 2018</w:t>
    </w:r>
    <w:r w:rsidR="006F67A4" w:rsidRPr="00802BD7">
      <w:tab/>
    </w:r>
    <w:r w:rsidR="006F67A4" w:rsidRPr="00802BD7">
      <w:tab/>
      <w:t>CO-</w:t>
    </w:r>
    <w:r>
      <w:t>049</w:t>
    </w:r>
  </w:p>
  <w:p w:rsidR="006F67A4" w:rsidRDefault="006F67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AE5" w:rsidRDefault="00EB1AE5">
      <w:r>
        <w:separator/>
      </w:r>
    </w:p>
    <w:p w:rsidR="00EB1AE5" w:rsidRDefault="00EB1AE5"/>
  </w:footnote>
  <w:footnote w:type="continuationSeparator" w:id="0">
    <w:p w:rsidR="00EB1AE5" w:rsidRDefault="00EB1AE5">
      <w:r>
        <w:continuationSeparator/>
      </w:r>
    </w:p>
    <w:p w:rsidR="00EB1AE5" w:rsidRDefault="00EB1A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7A4" w:rsidRDefault="006F67A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67A4" w:rsidRDefault="006F67A4">
    <w:pPr>
      <w:pStyle w:val="Header"/>
      <w:ind w:right="360"/>
    </w:pPr>
  </w:p>
  <w:p w:rsidR="006F67A4" w:rsidRDefault="006F67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7A4" w:rsidRDefault="006F67A4" w:rsidP="00BA56FC">
    <w:pPr>
      <w:pStyle w:val="Header"/>
      <w:pBdr>
        <w:top w:val="single" w:sz="4" w:space="1" w:color="auto"/>
        <w:left w:val="single" w:sz="4" w:space="4" w:color="auto"/>
        <w:bottom w:val="single" w:sz="4" w:space="4" w:color="auto"/>
        <w:right w:val="single" w:sz="4" w:space="4" w:color="auto"/>
      </w:pBdr>
      <w:rPr>
        <w:b/>
        <w:bCs/>
      </w:rPr>
    </w:pPr>
    <w:r>
      <w:rPr>
        <w:b/>
        <w:bCs/>
      </w:rPr>
      <w:t>C</w:t>
    </w:r>
    <w:r w:rsidR="00DF1651">
      <w:rPr>
        <w:b/>
        <w:bCs/>
      </w:rPr>
      <w:t>hange Order CO-049</w:t>
    </w:r>
  </w:p>
  <w:p w:rsidR="006F67A4" w:rsidRPr="00867515" w:rsidRDefault="00DF1651" w:rsidP="00F779CC">
    <w:pPr>
      <w:pStyle w:val="Header"/>
      <w:pBdr>
        <w:top w:val="single" w:sz="4" w:space="1" w:color="auto"/>
        <w:left w:val="single" w:sz="4" w:space="4" w:color="auto"/>
        <w:bottom w:val="single" w:sz="4" w:space="4" w:color="auto"/>
        <w:right w:val="single" w:sz="4" w:space="4" w:color="auto"/>
      </w:pBdr>
      <w:spacing w:after="200"/>
      <w:rPr>
        <w:b/>
      </w:rPr>
    </w:pPr>
    <w:r>
      <w:rPr>
        <w:b/>
        <w:bCs/>
      </w:rPr>
      <w:t xml:space="preserve">CalSAWS </w:t>
    </w:r>
    <w:r w:rsidR="00342F69">
      <w:rPr>
        <w:b/>
        <w:bCs/>
      </w:rPr>
      <w:t>Migration Planning</w:t>
    </w:r>
  </w:p>
  <w:p w:rsidR="006F67A4" w:rsidRDefault="006F67A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7A4" w:rsidRDefault="006F67A4">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C88302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2" w15:restartNumberingAfterBreak="0">
    <w:nsid w:val="0C3D285C"/>
    <w:multiLevelType w:val="hybridMultilevel"/>
    <w:tmpl w:val="085E6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5201E"/>
    <w:multiLevelType w:val="hybridMultilevel"/>
    <w:tmpl w:val="BC2C5F84"/>
    <w:lvl w:ilvl="0" w:tplc="A42A92E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643A5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813D5C"/>
    <w:multiLevelType w:val="hybridMultilevel"/>
    <w:tmpl w:val="15523966"/>
    <w:lvl w:ilvl="0" w:tplc="8A127B7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AC0E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0759FC"/>
    <w:multiLevelType w:val="hybridMultilevel"/>
    <w:tmpl w:val="D040E282"/>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D3C4A22"/>
    <w:multiLevelType w:val="hybridMultilevel"/>
    <w:tmpl w:val="5CE2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641605"/>
    <w:multiLevelType w:val="hybridMultilevel"/>
    <w:tmpl w:val="B666DC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11" w15:restartNumberingAfterBreak="0">
    <w:nsid w:val="221664F0"/>
    <w:multiLevelType w:val="hybridMultilevel"/>
    <w:tmpl w:val="090A30C8"/>
    <w:lvl w:ilvl="0" w:tplc="0409000F">
      <w:start w:val="1"/>
      <w:numFmt w:val="decimal"/>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23F0599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221EED"/>
    <w:multiLevelType w:val="hybridMultilevel"/>
    <w:tmpl w:val="754A1C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D22300D"/>
    <w:multiLevelType w:val="hybridMultilevel"/>
    <w:tmpl w:val="2AEC181A"/>
    <w:lvl w:ilvl="0" w:tplc="1566390E">
      <w:start w:val="1"/>
      <w:numFmt w:val="upp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327909F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99E1969"/>
    <w:multiLevelType w:val="hybridMultilevel"/>
    <w:tmpl w:val="164006FC"/>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39FA76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01D5FE1"/>
    <w:multiLevelType w:val="hybridMultilevel"/>
    <w:tmpl w:val="164006FC"/>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9" w15:restartNumberingAfterBreak="0">
    <w:nsid w:val="43862204"/>
    <w:multiLevelType w:val="hybridMultilevel"/>
    <w:tmpl w:val="4DF65DBC"/>
    <w:lvl w:ilvl="0" w:tplc="4DC6FA94">
      <w:start w:val="1"/>
      <w:numFmt w:val="bullet"/>
      <w:lvlText w:val=""/>
      <w:lvlJc w:val="left"/>
      <w:pPr>
        <w:ind w:left="720" w:hanging="360"/>
      </w:pPr>
      <w:rPr>
        <w:rFonts w:ascii="Symbol" w:hAnsi="Symbol" w:hint="default"/>
      </w:rPr>
    </w:lvl>
    <w:lvl w:ilvl="1" w:tplc="8466DEB6">
      <w:start w:val="1"/>
      <w:numFmt w:val="bullet"/>
      <w:lvlText w:val=""/>
      <w:lvlJc w:val="left"/>
      <w:pPr>
        <w:ind w:left="1440" w:hanging="360"/>
      </w:pPr>
      <w:rPr>
        <w:rFonts w:ascii="Symbol" w:hAnsi="Symbol" w:hint="default"/>
      </w:rPr>
    </w:lvl>
    <w:lvl w:ilvl="2" w:tplc="A79821E8">
      <w:start w:val="1"/>
      <w:numFmt w:val="bullet"/>
      <w:lvlText w:val=""/>
      <w:lvlJc w:val="left"/>
      <w:pPr>
        <w:ind w:left="2160" w:hanging="360"/>
      </w:pPr>
      <w:rPr>
        <w:rFonts w:ascii="Wingdings" w:hAnsi="Wingdings" w:hint="default"/>
      </w:rPr>
    </w:lvl>
    <w:lvl w:ilvl="3" w:tplc="48C05336">
      <w:start w:val="1"/>
      <w:numFmt w:val="bullet"/>
      <w:lvlText w:val=""/>
      <w:lvlJc w:val="left"/>
      <w:pPr>
        <w:ind w:left="2880" w:hanging="360"/>
      </w:pPr>
      <w:rPr>
        <w:rFonts w:ascii="Symbol" w:hAnsi="Symbol" w:hint="default"/>
      </w:rPr>
    </w:lvl>
    <w:lvl w:ilvl="4" w:tplc="95CC404A">
      <w:start w:val="1"/>
      <w:numFmt w:val="bullet"/>
      <w:lvlText w:val="o"/>
      <w:lvlJc w:val="left"/>
      <w:pPr>
        <w:ind w:left="3600" w:hanging="360"/>
      </w:pPr>
      <w:rPr>
        <w:rFonts w:ascii="Courier New" w:hAnsi="Courier New" w:hint="default"/>
      </w:rPr>
    </w:lvl>
    <w:lvl w:ilvl="5" w:tplc="BFFA84AC">
      <w:start w:val="1"/>
      <w:numFmt w:val="bullet"/>
      <w:lvlText w:val=""/>
      <w:lvlJc w:val="left"/>
      <w:pPr>
        <w:ind w:left="4320" w:hanging="360"/>
      </w:pPr>
      <w:rPr>
        <w:rFonts w:ascii="Wingdings" w:hAnsi="Wingdings" w:hint="default"/>
      </w:rPr>
    </w:lvl>
    <w:lvl w:ilvl="6" w:tplc="4060EF84">
      <w:start w:val="1"/>
      <w:numFmt w:val="bullet"/>
      <w:lvlText w:val=""/>
      <w:lvlJc w:val="left"/>
      <w:pPr>
        <w:ind w:left="5040" w:hanging="360"/>
      </w:pPr>
      <w:rPr>
        <w:rFonts w:ascii="Symbol" w:hAnsi="Symbol" w:hint="default"/>
      </w:rPr>
    </w:lvl>
    <w:lvl w:ilvl="7" w:tplc="621683F2">
      <w:start w:val="1"/>
      <w:numFmt w:val="bullet"/>
      <w:lvlText w:val="o"/>
      <w:lvlJc w:val="left"/>
      <w:pPr>
        <w:ind w:left="5760" w:hanging="360"/>
      </w:pPr>
      <w:rPr>
        <w:rFonts w:ascii="Courier New" w:hAnsi="Courier New" w:hint="default"/>
      </w:rPr>
    </w:lvl>
    <w:lvl w:ilvl="8" w:tplc="5FA84146">
      <w:start w:val="1"/>
      <w:numFmt w:val="bullet"/>
      <w:lvlText w:val=""/>
      <w:lvlJc w:val="left"/>
      <w:pPr>
        <w:ind w:left="6480" w:hanging="360"/>
      </w:pPr>
      <w:rPr>
        <w:rFonts w:ascii="Wingdings" w:hAnsi="Wingdings" w:hint="default"/>
      </w:rPr>
    </w:lvl>
  </w:abstractNum>
  <w:abstractNum w:abstractNumId="20" w15:restartNumberingAfterBreak="0">
    <w:nsid w:val="45DD65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640516C"/>
    <w:multiLevelType w:val="hybridMultilevel"/>
    <w:tmpl w:val="6AE6560A"/>
    <w:lvl w:ilvl="0" w:tplc="D3B453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84F35"/>
    <w:multiLevelType w:val="hybridMultilevel"/>
    <w:tmpl w:val="3DF66D6C"/>
    <w:lvl w:ilvl="0" w:tplc="0409000F">
      <w:start w:val="1"/>
      <w:numFmt w:val="decimal"/>
      <w:lvlText w:val="%1."/>
      <w:lvlJc w:val="left"/>
      <w:pPr>
        <w:tabs>
          <w:tab w:val="num" w:pos="1080"/>
        </w:tabs>
        <w:ind w:left="1080" w:hanging="360"/>
      </w:pPr>
      <w:rPr>
        <w:rFonts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5201427C"/>
    <w:multiLevelType w:val="hybridMultilevel"/>
    <w:tmpl w:val="D0B43ED6"/>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556255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AD32A12"/>
    <w:multiLevelType w:val="hybridMultilevel"/>
    <w:tmpl w:val="CCAC91FE"/>
    <w:lvl w:ilvl="0" w:tplc="60505BA8">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CDD44A4"/>
    <w:multiLevelType w:val="multilevel"/>
    <w:tmpl w:val="8776646C"/>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7" w15:restartNumberingAfterBreak="0">
    <w:nsid w:val="5E63522C"/>
    <w:multiLevelType w:val="hybridMultilevel"/>
    <w:tmpl w:val="5D808F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2E66385"/>
    <w:multiLevelType w:val="hybridMultilevel"/>
    <w:tmpl w:val="97B47D3C"/>
    <w:lvl w:ilvl="0" w:tplc="04090001">
      <w:start w:val="1"/>
      <w:numFmt w:val="bullet"/>
      <w:lvlText w:val=""/>
      <w:lvlJc w:val="left"/>
      <w:pPr>
        <w:ind w:left="1710" w:hanging="360"/>
      </w:pPr>
      <w:rPr>
        <w:rFonts w:ascii="Symbol" w:hAnsi="Symbol" w:hint="default"/>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9" w15:restartNumberingAfterBreak="0">
    <w:nsid w:val="6B2C587E"/>
    <w:multiLevelType w:val="hybridMultilevel"/>
    <w:tmpl w:val="264805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CE72BA8"/>
    <w:multiLevelType w:val="hybridMultilevel"/>
    <w:tmpl w:val="A0A0A060"/>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1" w15:restartNumberingAfterBreak="0">
    <w:nsid w:val="70B93A5A"/>
    <w:multiLevelType w:val="hybridMultilevel"/>
    <w:tmpl w:val="A0A0A060"/>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79E1036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CFE7221"/>
    <w:multiLevelType w:val="hybridMultilevel"/>
    <w:tmpl w:val="164006FC"/>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1"/>
  </w:num>
  <w:num w:numId="2">
    <w:abstractNumId w:val="10"/>
  </w:num>
  <w:num w:numId="3">
    <w:abstractNumId w:val="25"/>
  </w:num>
  <w:num w:numId="4">
    <w:abstractNumId w:val="23"/>
  </w:num>
  <w:num w:numId="5">
    <w:abstractNumId w:val="0"/>
  </w:num>
  <w:num w:numId="6">
    <w:abstractNumId w:val="26"/>
  </w:num>
  <w:num w:numId="7">
    <w:abstractNumId w:val="14"/>
  </w:num>
  <w:num w:numId="8">
    <w:abstractNumId w:val="22"/>
  </w:num>
  <w:num w:numId="9">
    <w:abstractNumId w:val="29"/>
  </w:num>
  <w:num w:numId="10">
    <w:abstractNumId w:val="6"/>
  </w:num>
  <w:num w:numId="11">
    <w:abstractNumId w:val="32"/>
  </w:num>
  <w:num w:numId="12">
    <w:abstractNumId w:val="12"/>
  </w:num>
  <w:num w:numId="13">
    <w:abstractNumId w:val="17"/>
  </w:num>
  <w:num w:numId="14">
    <w:abstractNumId w:val="15"/>
  </w:num>
  <w:num w:numId="15">
    <w:abstractNumId w:val="4"/>
  </w:num>
  <w:num w:numId="16">
    <w:abstractNumId w:val="24"/>
  </w:num>
  <w:num w:numId="17">
    <w:abstractNumId w:val="20"/>
  </w:num>
  <w:num w:numId="18">
    <w:abstractNumId w:val="7"/>
  </w:num>
  <w:num w:numId="19">
    <w:abstractNumId w:val="31"/>
  </w:num>
  <w:num w:numId="20">
    <w:abstractNumId w:val="18"/>
  </w:num>
  <w:num w:numId="21">
    <w:abstractNumId w:val="11"/>
  </w:num>
  <w:num w:numId="22">
    <w:abstractNumId w:val="33"/>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30"/>
  </w:num>
  <w:num w:numId="26">
    <w:abstractNumId w:val="16"/>
  </w:num>
  <w:num w:numId="27">
    <w:abstractNumId w:val="28"/>
  </w:num>
  <w:num w:numId="28">
    <w:abstractNumId w:val="9"/>
  </w:num>
  <w:num w:numId="29">
    <w:abstractNumId w:val="8"/>
  </w:num>
  <w:num w:numId="30">
    <w:abstractNumId w:val="19"/>
  </w:num>
  <w:num w:numId="31">
    <w:abstractNumId w:val="13"/>
  </w:num>
  <w:num w:numId="32">
    <w:abstractNumId w:val="27"/>
  </w:num>
  <w:num w:numId="33">
    <w:abstractNumId w:val="2"/>
  </w:num>
  <w:num w:numId="34">
    <w:abstractNumId w:val="26"/>
  </w:num>
  <w:num w:numId="35">
    <w:abstractNumId w:val="3"/>
  </w:num>
  <w:num w:numId="36">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091E"/>
    <w:rsid w:val="00000C6F"/>
    <w:rsid w:val="00002F8F"/>
    <w:rsid w:val="000034AF"/>
    <w:rsid w:val="00005191"/>
    <w:rsid w:val="00006AE3"/>
    <w:rsid w:val="00011B67"/>
    <w:rsid w:val="000140DA"/>
    <w:rsid w:val="000163DF"/>
    <w:rsid w:val="0002027A"/>
    <w:rsid w:val="00021DD6"/>
    <w:rsid w:val="00022DDE"/>
    <w:rsid w:val="0002379A"/>
    <w:rsid w:val="000260D2"/>
    <w:rsid w:val="000268A4"/>
    <w:rsid w:val="00026B81"/>
    <w:rsid w:val="00027547"/>
    <w:rsid w:val="000275C6"/>
    <w:rsid w:val="000279C6"/>
    <w:rsid w:val="000353FD"/>
    <w:rsid w:val="00036588"/>
    <w:rsid w:val="00037659"/>
    <w:rsid w:val="00037B34"/>
    <w:rsid w:val="00037FE5"/>
    <w:rsid w:val="0004041C"/>
    <w:rsid w:val="0004111E"/>
    <w:rsid w:val="000411B2"/>
    <w:rsid w:val="00041B58"/>
    <w:rsid w:val="000426CE"/>
    <w:rsid w:val="000453CC"/>
    <w:rsid w:val="00045642"/>
    <w:rsid w:val="0004673F"/>
    <w:rsid w:val="00046748"/>
    <w:rsid w:val="0005797B"/>
    <w:rsid w:val="00060545"/>
    <w:rsid w:val="00062EB8"/>
    <w:rsid w:val="00063C1E"/>
    <w:rsid w:val="00063EA0"/>
    <w:rsid w:val="00070A34"/>
    <w:rsid w:val="0007477A"/>
    <w:rsid w:val="00074852"/>
    <w:rsid w:val="000755CC"/>
    <w:rsid w:val="00077AFE"/>
    <w:rsid w:val="00080BFA"/>
    <w:rsid w:val="000819A3"/>
    <w:rsid w:val="000841A0"/>
    <w:rsid w:val="00086A60"/>
    <w:rsid w:val="00086C27"/>
    <w:rsid w:val="00087C68"/>
    <w:rsid w:val="00092880"/>
    <w:rsid w:val="00092D9C"/>
    <w:rsid w:val="00094838"/>
    <w:rsid w:val="00094A5F"/>
    <w:rsid w:val="00095826"/>
    <w:rsid w:val="0009604F"/>
    <w:rsid w:val="00096615"/>
    <w:rsid w:val="00097A0C"/>
    <w:rsid w:val="000A1C02"/>
    <w:rsid w:val="000A4686"/>
    <w:rsid w:val="000A549F"/>
    <w:rsid w:val="000A6524"/>
    <w:rsid w:val="000B7F1C"/>
    <w:rsid w:val="000C1D07"/>
    <w:rsid w:val="000C1F1F"/>
    <w:rsid w:val="000C2BDC"/>
    <w:rsid w:val="000C408E"/>
    <w:rsid w:val="000C722D"/>
    <w:rsid w:val="000D05F1"/>
    <w:rsid w:val="000D12FF"/>
    <w:rsid w:val="000D239C"/>
    <w:rsid w:val="000D37BE"/>
    <w:rsid w:val="000D45BA"/>
    <w:rsid w:val="000D54AE"/>
    <w:rsid w:val="000D67B1"/>
    <w:rsid w:val="000D70A0"/>
    <w:rsid w:val="000E04EF"/>
    <w:rsid w:val="000E05A9"/>
    <w:rsid w:val="000E1322"/>
    <w:rsid w:val="000E20BC"/>
    <w:rsid w:val="000E2AD0"/>
    <w:rsid w:val="000E333C"/>
    <w:rsid w:val="000E3C48"/>
    <w:rsid w:val="000E41B8"/>
    <w:rsid w:val="000E6311"/>
    <w:rsid w:val="000E6541"/>
    <w:rsid w:val="000E6548"/>
    <w:rsid w:val="000E7A1E"/>
    <w:rsid w:val="000F6982"/>
    <w:rsid w:val="000F6E41"/>
    <w:rsid w:val="000F6EA1"/>
    <w:rsid w:val="000F7976"/>
    <w:rsid w:val="001008B8"/>
    <w:rsid w:val="00104BA0"/>
    <w:rsid w:val="001056FF"/>
    <w:rsid w:val="00105ECA"/>
    <w:rsid w:val="00106E0C"/>
    <w:rsid w:val="0010797C"/>
    <w:rsid w:val="001130B9"/>
    <w:rsid w:val="0011378F"/>
    <w:rsid w:val="0011543C"/>
    <w:rsid w:val="00115965"/>
    <w:rsid w:val="001163FC"/>
    <w:rsid w:val="0011741C"/>
    <w:rsid w:val="0012033D"/>
    <w:rsid w:val="00121E76"/>
    <w:rsid w:val="00122AA8"/>
    <w:rsid w:val="00124C00"/>
    <w:rsid w:val="0013191E"/>
    <w:rsid w:val="00133024"/>
    <w:rsid w:val="00134867"/>
    <w:rsid w:val="00134BD3"/>
    <w:rsid w:val="001400D9"/>
    <w:rsid w:val="00140710"/>
    <w:rsid w:val="00142FFA"/>
    <w:rsid w:val="00143260"/>
    <w:rsid w:val="00143B83"/>
    <w:rsid w:val="00156D08"/>
    <w:rsid w:val="00163DD4"/>
    <w:rsid w:val="001647E2"/>
    <w:rsid w:val="0017045E"/>
    <w:rsid w:val="00172865"/>
    <w:rsid w:val="001732A9"/>
    <w:rsid w:val="00175AE7"/>
    <w:rsid w:val="00176238"/>
    <w:rsid w:val="00177411"/>
    <w:rsid w:val="00177A1B"/>
    <w:rsid w:val="00181346"/>
    <w:rsid w:val="001818CB"/>
    <w:rsid w:val="00182922"/>
    <w:rsid w:val="00182A00"/>
    <w:rsid w:val="00182C65"/>
    <w:rsid w:val="001837DF"/>
    <w:rsid w:val="00183974"/>
    <w:rsid w:val="00186A89"/>
    <w:rsid w:val="00187194"/>
    <w:rsid w:val="00190500"/>
    <w:rsid w:val="00195DF8"/>
    <w:rsid w:val="001971C4"/>
    <w:rsid w:val="001977A1"/>
    <w:rsid w:val="001979FC"/>
    <w:rsid w:val="00197FAB"/>
    <w:rsid w:val="001A3F7B"/>
    <w:rsid w:val="001A6A56"/>
    <w:rsid w:val="001B1642"/>
    <w:rsid w:val="001B3B9B"/>
    <w:rsid w:val="001B5BB1"/>
    <w:rsid w:val="001C1E46"/>
    <w:rsid w:val="001C4BF4"/>
    <w:rsid w:val="001C4F95"/>
    <w:rsid w:val="001C521F"/>
    <w:rsid w:val="001D09F7"/>
    <w:rsid w:val="001D16F4"/>
    <w:rsid w:val="001D2561"/>
    <w:rsid w:val="001D2FF4"/>
    <w:rsid w:val="001D6356"/>
    <w:rsid w:val="001E12F3"/>
    <w:rsid w:val="001E1E17"/>
    <w:rsid w:val="001E1E48"/>
    <w:rsid w:val="001E1E7A"/>
    <w:rsid w:val="001E3A5E"/>
    <w:rsid w:val="001E724D"/>
    <w:rsid w:val="001E76C0"/>
    <w:rsid w:val="001F04AE"/>
    <w:rsid w:val="001F1795"/>
    <w:rsid w:val="001F631B"/>
    <w:rsid w:val="001F6CEF"/>
    <w:rsid w:val="0020143B"/>
    <w:rsid w:val="00206A9B"/>
    <w:rsid w:val="002101B4"/>
    <w:rsid w:val="00214008"/>
    <w:rsid w:val="002213E9"/>
    <w:rsid w:val="00222443"/>
    <w:rsid w:val="0022297E"/>
    <w:rsid w:val="00222B53"/>
    <w:rsid w:val="0022409D"/>
    <w:rsid w:val="00224BAF"/>
    <w:rsid w:val="0023128B"/>
    <w:rsid w:val="00233585"/>
    <w:rsid w:val="00234041"/>
    <w:rsid w:val="00240300"/>
    <w:rsid w:val="00240F49"/>
    <w:rsid w:val="0024315F"/>
    <w:rsid w:val="00246A90"/>
    <w:rsid w:val="002473C5"/>
    <w:rsid w:val="00247482"/>
    <w:rsid w:val="00252FEE"/>
    <w:rsid w:val="00254E68"/>
    <w:rsid w:val="00260393"/>
    <w:rsid w:val="002632DB"/>
    <w:rsid w:val="00270C4A"/>
    <w:rsid w:val="00271771"/>
    <w:rsid w:val="002720B2"/>
    <w:rsid w:val="00274939"/>
    <w:rsid w:val="002752BA"/>
    <w:rsid w:val="00275F0D"/>
    <w:rsid w:val="00276720"/>
    <w:rsid w:val="002809D3"/>
    <w:rsid w:val="00284CB6"/>
    <w:rsid w:val="0028614B"/>
    <w:rsid w:val="002877A9"/>
    <w:rsid w:val="00290EAB"/>
    <w:rsid w:val="00291461"/>
    <w:rsid w:val="00292EC3"/>
    <w:rsid w:val="002941D3"/>
    <w:rsid w:val="00295007"/>
    <w:rsid w:val="00295250"/>
    <w:rsid w:val="00295408"/>
    <w:rsid w:val="00296FCC"/>
    <w:rsid w:val="002971EE"/>
    <w:rsid w:val="002A24F0"/>
    <w:rsid w:val="002A5593"/>
    <w:rsid w:val="002A6C73"/>
    <w:rsid w:val="002B0D59"/>
    <w:rsid w:val="002B0E65"/>
    <w:rsid w:val="002B2A9F"/>
    <w:rsid w:val="002B5FD1"/>
    <w:rsid w:val="002B651A"/>
    <w:rsid w:val="002B7EE3"/>
    <w:rsid w:val="002C57E7"/>
    <w:rsid w:val="002C63F3"/>
    <w:rsid w:val="002C7F58"/>
    <w:rsid w:val="002D202E"/>
    <w:rsid w:val="002D63B5"/>
    <w:rsid w:val="002E02F5"/>
    <w:rsid w:val="002E1627"/>
    <w:rsid w:val="002E2480"/>
    <w:rsid w:val="002E3056"/>
    <w:rsid w:val="002E497F"/>
    <w:rsid w:val="002E5136"/>
    <w:rsid w:val="002E60DB"/>
    <w:rsid w:val="002E6C96"/>
    <w:rsid w:val="002F0E66"/>
    <w:rsid w:val="002F344A"/>
    <w:rsid w:val="002F3993"/>
    <w:rsid w:val="002F41F7"/>
    <w:rsid w:val="002F6C45"/>
    <w:rsid w:val="00302568"/>
    <w:rsid w:val="0030305F"/>
    <w:rsid w:val="0030566C"/>
    <w:rsid w:val="00306D9C"/>
    <w:rsid w:val="00310AEE"/>
    <w:rsid w:val="00314E08"/>
    <w:rsid w:val="00316650"/>
    <w:rsid w:val="00317D59"/>
    <w:rsid w:val="00322087"/>
    <w:rsid w:val="00326CE0"/>
    <w:rsid w:val="00327E01"/>
    <w:rsid w:val="003306CA"/>
    <w:rsid w:val="00330F72"/>
    <w:rsid w:val="003314D6"/>
    <w:rsid w:val="00331D5C"/>
    <w:rsid w:val="0033330D"/>
    <w:rsid w:val="00335B9D"/>
    <w:rsid w:val="003372A6"/>
    <w:rsid w:val="00337A47"/>
    <w:rsid w:val="00340C99"/>
    <w:rsid w:val="00342B05"/>
    <w:rsid w:val="00342F69"/>
    <w:rsid w:val="00345D35"/>
    <w:rsid w:val="00345ECB"/>
    <w:rsid w:val="00346D33"/>
    <w:rsid w:val="00353A83"/>
    <w:rsid w:val="00355F04"/>
    <w:rsid w:val="003604DB"/>
    <w:rsid w:val="00363CC0"/>
    <w:rsid w:val="00365DC2"/>
    <w:rsid w:val="0036684C"/>
    <w:rsid w:val="0036742D"/>
    <w:rsid w:val="00372B77"/>
    <w:rsid w:val="003736A0"/>
    <w:rsid w:val="003746F1"/>
    <w:rsid w:val="003752A2"/>
    <w:rsid w:val="0038218B"/>
    <w:rsid w:val="00385A3B"/>
    <w:rsid w:val="003908BA"/>
    <w:rsid w:val="00392224"/>
    <w:rsid w:val="00395381"/>
    <w:rsid w:val="00395A74"/>
    <w:rsid w:val="00397AB9"/>
    <w:rsid w:val="003A2B69"/>
    <w:rsid w:val="003A2C3B"/>
    <w:rsid w:val="003A36B7"/>
    <w:rsid w:val="003B1D61"/>
    <w:rsid w:val="003B41EF"/>
    <w:rsid w:val="003B4831"/>
    <w:rsid w:val="003B6F55"/>
    <w:rsid w:val="003B7317"/>
    <w:rsid w:val="003B78EC"/>
    <w:rsid w:val="003C0863"/>
    <w:rsid w:val="003C2FAA"/>
    <w:rsid w:val="003C6F9E"/>
    <w:rsid w:val="003C76E6"/>
    <w:rsid w:val="003D16C4"/>
    <w:rsid w:val="003D3A18"/>
    <w:rsid w:val="003D5113"/>
    <w:rsid w:val="003D70E0"/>
    <w:rsid w:val="003D7B79"/>
    <w:rsid w:val="003E1C17"/>
    <w:rsid w:val="003E2631"/>
    <w:rsid w:val="003E67FD"/>
    <w:rsid w:val="003F01F7"/>
    <w:rsid w:val="003F2760"/>
    <w:rsid w:val="003F4100"/>
    <w:rsid w:val="003F7EA2"/>
    <w:rsid w:val="00402E0B"/>
    <w:rsid w:val="004031C8"/>
    <w:rsid w:val="00407D58"/>
    <w:rsid w:val="004104A6"/>
    <w:rsid w:val="0041175D"/>
    <w:rsid w:val="00411F81"/>
    <w:rsid w:val="004134D7"/>
    <w:rsid w:val="00413C81"/>
    <w:rsid w:val="00414EC4"/>
    <w:rsid w:val="004152F5"/>
    <w:rsid w:val="00422387"/>
    <w:rsid w:val="00422528"/>
    <w:rsid w:val="004267E0"/>
    <w:rsid w:val="0042713F"/>
    <w:rsid w:val="00432BD8"/>
    <w:rsid w:val="00440F8B"/>
    <w:rsid w:val="00443B66"/>
    <w:rsid w:val="0044672D"/>
    <w:rsid w:val="00452BF0"/>
    <w:rsid w:val="00454865"/>
    <w:rsid w:val="004569E0"/>
    <w:rsid w:val="00456BF1"/>
    <w:rsid w:val="00460350"/>
    <w:rsid w:val="00460CC6"/>
    <w:rsid w:val="00463513"/>
    <w:rsid w:val="00464C25"/>
    <w:rsid w:val="00472D49"/>
    <w:rsid w:val="004732CA"/>
    <w:rsid w:val="0047501C"/>
    <w:rsid w:val="00477A35"/>
    <w:rsid w:val="004807D2"/>
    <w:rsid w:val="00480A82"/>
    <w:rsid w:val="00483DB1"/>
    <w:rsid w:val="00484118"/>
    <w:rsid w:val="0049485F"/>
    <w:rsid w:val="0049560B"/>
    <w:rsid w:val="004A09A8"/>
    <w:rsid w:val="004A14E7"/>
    <w:rsid w:val="004A31C0"/>
    <w:rsid w:val="004A48ED"/>
    <w:rsid w:val="004A5E20"/>
    <w:rsid w:val="004A6DB9"/>
    <w:rsid w:val="004B1627"/>
    <w:rsid w:val="004B2B32"/>
    <w:rsid w:val="004B4CD3"/>
    <w:rsid w:val="004C0C27"/>
    <w:rsid w:val="004C32C0"/>
    <w:rsid w:val="004C3C98"/>
    <w:rsid w:val="004C41AC"/>
    <w:rsid w:val="004C570B"/>
    <w:rsid w:val="004C5CA6"/>
    <w:rsid w:val="004D24FB"/>
    <w:rsid w:val="004D2B5E"/>
    <w:rsid w:val="004D5225"/>
    <w:rsid w:val="004D538A"/>
    <w:rsid w:val="004D5B51"/>
    <w:rsid w:val="004D62E8"/>
    <w:rsid w:val="004E36C1"/>
    <w:rsid w:val="004E4913"/>
    <w:rsid w:val="004E4B03"/>
    <w:rsid w:val="004E50F5"/>
    <w:rsid w:val="004E5EFE"/>
    <w:rsid w:val="004E7E50"/>
    <w:rsid w:val="004F0DB4"/>
    <w:rsid w:val="004F2078"/>
    <w:rsid w:val="004F6269"/>
    <w:rsid w:val="004F6E60"/>
    <w:rsid w:val="004F7486"/>
    <w:rsid w:val="00500206"/>
    <w:rsid w:val="00501BC2"/>
    <w:rsid w:val="005060A6"/>
    <w:rsid w:val="00507AE1"/>
    <w:rsid w:val="00510EB7"/>
    <w:rsid w:val="0051353E"/>
    <w:rsid w:val="005204C9"/>
    <w:rsid w:val="00520FDC"/>
    <w:rsid w:val="00524DF6"/>
    <w:rsid w:val="00527A52"/>
    <w:rsid w:val="00534506"/>
    <w:rsid w:val="0053496B"/>
    <w:rsid w:val="00536BB4"/>
    <w:rsid w:val="00540987"/>
    <w:rsid w:val="00540E94"/>
    <w:rsid w:val="00541AEC"/>
    <w:rsid w:val="005421E5"/>
    <w:rsid w:val="00542743"/>
    <w:rsid w:val="00544671"/>
    <w:rsid w:val="00547630"/>
    <w:rsid w:val="005505E7"/>
    <w:rsid w:val="0055178A"/>
    <w:rsid w:val="005524B9"/>
    <w:rsid w:val="00555ADE"/>
    <w:rsid w:val="0055635B"/>
    <w:rsid w:val="00562495"/>
    <w:rsid w:val="005630C4"/>
    <w:rsid w:val="00563423"/>
    <w:rsid w:val="0056419A"/>
    <w:rsid w:val="00566799"/>
    <w:rsid w:val="005700D0"/>
    <w:rsid w:val="005702E1"/>
    <w:rsid w:val="005705E7"/>
    <w:rsid w:val="00570E76"/>
    <w:rsid w:val="00572F97"/>
    <w:rsid w:val="00573D6A"/>
    <w:rsid w:val="0057593F"/>
    <w:rsid w:val="0057632E"/>
    <w:rsid w:val="00576BD4"/>
    <w:rsid w:val="0058095B"/>
    <w:rsid w:val="00581E75"/>
    <w:rsid w:val="00583414"/>
    <w:rsid w:val="00586EA7"/>
    <w:rsid w:val="005879EB"/>
    <w:rsid w:val="00591992"/>
    <w:rsid w:val="0059223E"/>
    <w:rsid w:val="00594166"/>
    <w:rsid w:val="00595A26"/>
    <w:rsid w:val="00597636"/>
    <w:rsid w:val="005A3003"/>
    <w:rsid w:val="005A352B"/>
    <w:rsid w:val="005A6145"/>
    <w:rsid w:val="005A6720"/>
    <w:rsid w:val="005A7763"/>
    <w:rsid w:val="005B1C7F"/>
    <w:rsid w:val="005B4FF5"/>
    <w:rsid w:val="005B5093"/>
    <w:rsid w:val="005B67BA"/>
    <w:rsid w:val="005B6E6E"/>
    <w:rsid w:val="005C0E47"/>
    <w:rsid w:val="005C4B57"/>
    <w:rsid w:val="005C590D"/>
    <w:rsid w:val="005C7CBF"/>
    <w:rsid w:val="005D1A9C"/>
    <w:rsid w:val="005D1B97"/>
    <w:rsid w:val="005D63AE"/>
    <w:rsid w:val="005D72FF"/>
    <w:rsid w:val="005D7638"/>
    <w:rsid w:val="005F2459"/>
    <w:rsid w:val="005F37B4"/>
    <w:rsid w:val="005F45EB"/>
    <w:rsid w:val="005F7EA2"/>
    <w:rsid w:val="0060478A"/>
    <w:rsid w:val="0060629C"/>
    <w:rsid w:val="00606F41"/>
    <w:rsid w:val="00607268"/>
    <w:rsid w:val="006125A0"/>
    <w:rsid w:val="00613AF0"/>
    <w:rsid w:val="00617B3C"/>
    <w:rsid w:val="00621CD4"/>
    <w:rsid w:val="006235BF"/>
    <w:rsid w:val="00623702"/>
    <w:rsid w:val="006237C7"/>
    <w:rsid w:val="006270F0"/>
    <w:rsid w:val="00630AD6"/>
    <w:rsid w:val="006327AC"/>
    <w:rsid w:val="00640AB9"/>
    <w:rsid w:val="00640F67"/>
    <w:rsid w:val="0064148D"/>
    <w:rsid w:val="00643952"/>
    <w:rsid w:val="00643CBD"/>
    <w:rsid w:val="006449C8"/>
    <w:rsid w:val="00646EAB"/>
    <w:rsid w:val="00650648"/>
    <w:rsid w:val="00654AED"/>
    <w:rsid w:val="006550C6"/>
    <w:rsid w:val="00657A24"/>
    <w:rsid w:val="006622FF"/>
    <w:rsid w:val="00662908"/>
    <w:rsid w:val="00665451"/>
    <w:rsid w:val="00667F29"/>
    <w:rsid w:val="00671AF9"/>
    <w:rsid w:val="00672717"/>
    <w:rsid w:val="006738C1"/>
    <w:rsid w:val="00674DC4"/>
    <w:rsid w:val="0067785C"/>
    <w:rsid w:val="00677D50"/>
    <w:rsid w:val="00677D57"/>
    <w:rsid w:val="0068439D"/>
    <w:rsid w:val="00687719"/>
    <w:rsid w:val="00690A55"/>
    <w:rsid w:val="0069299A"/>
    <w:rsid w:val="0069477C"/>
    <w:rsid w:val="0069542A"/>
    <w:rsid w:val="006A00BB"/>
    <w:rsid w:val="006A00F6"/>
    <w:rsid w:val="006A2F52"/>
    <w:rsid w:val="006A36C8"/>
    <w:rsid w:val="006A4BE7"/>
    <w:rsid w:val="006A4C2A"/>
    <w:rsid w:val="006A5283"/>
    <w:rsid w:val="006A6183"/>
    <w:rsid w:val="006A64E4"/>
    <w:rsid w:val="006B1EE6"/>
    <w:rsid w:val="006B3E1F"/>
    <w:rsid w:val="006B4FE0"/>
    <w:rsid w:val="006B6AF0"/>
    <w:rsid w:val="006C0132"/>
    <w:rsid w:val="006C0410"/>
    <w:rsid w:val="006C08A6"/>
    <w:rsid w:val="006C38C7"/>
    <w:rsid w:val="006C5138"/>
    <w:rsid w:val="006C5609"/>
    <w:rsid w:val="006D0775"/>
    <w:rsid w:val="006D54FA"/>
    <w:rsid w:val="006D6A7C"/>
    <w:rsid w:val="006E0ABA"/>
    <w:rsid w:val="006E2323"/>
    <w:rsid w:val="006E45D7"/>
    <w:rsid w:val="006E4F6C"/>
    <w:rsid w:val="006F15E2"/>
    <w:rsid w:val="006F490F"/>
    <w:rsid w:val="006F5635"/>
    <w:rsid w:val="006F5EE4"/>
    <w:rsid w:val="006F67A4"/>
    <w:rsid w:val="006F67C7"/>
    <w:rsid w:val="006F69C9"/>
    <w:rsid w:val="006F6D08"/>
    <w:rsid w:val="006F6E82"/>
    <w:rsid w:val="007023DD"/>
    <w:rsid w:val="007044F0"/>
    <w:rsid w:val="00704C4D"/>
    <w:rsid w:val="0070543A"/>
    <w:rsid w:val="00706F48"/>
    <w:rsid w:val="00707770"/>
    <w:rsid w:val="00712B0F"/>
    <w:rsid w:val="00713977"/>
    <w:rsid w:val="007204CE"/>
    <w:rsid w:val="00723C18"/>
    <w:rsid w:val="00724666"/>
    <w:rsid w:val="0072484B"/>
    <w:rsid w:val="0072602C"/>
    <w:rsid w:val="007331B0"/>
    <w:rsid w:val="00735239"/>
    <w:rsid w:val="00736613"/>
    <w:rsid w:val="00737AD5"/>
    <w:rsid w:val="0074078A"/>
    <w:rsid w:val="007409A0"/>
    <w:rsid w:val="007465F5"/>
    <w:rsid w:val="00747FA8"/>
    <w:rsid w:val="007524A4"/>
    <w:rsid w:val="00753293"/>
    <w:rsid w:val="007533BC"/>
    <w:rsid w:val="007551DB"/>
    <w:rsid w:val="00756F09"/>
    <w:rsid w:val="00760165"/>
    <w:rsid w:val="007605DD"/>
    <w:rsid w:val="007624D0"/>
    <w:rsid w:val="007734BB"/>
    <w:rsid w:val="00773F32"/>
    <w:rsid w:val="00774AD2"/>
    <w:rsid w:val="00780B16"/>
    <w:rsid w:val="0078798C"/>
    <w:rsid w:val="007902D6"/>
    <w:rsid w:val="00791C76"/>
    <w:rsid w:val="00793F00"/>
    <w:rsid w:val="00797DC7"/>
    <w:rsid w:val="00797DCF"/>
    <w:rsid w:val="007A086D"/>
    <w:rsid w:val="007A12D3"/>
    <w:rsid w:val="007A1DA5"/>
    <w:rsid w:val="007A214E"/>
    <w:rsid w:val="007A282A"/>
    <w:rsid w:val="007A2D03"/>
    <w:rsid w:val="007A336C"/>
    <w:rsid w:val="007B0637"/>
    <w:rsid w:val="007B1B11"/>
    <w:rsid w:val="007B3B9B"/>
    <w:rsid w:val="007B47F9"/>
    <w:rsid w:val="007B7557"/>
    <w:rsid w:val="007C4A99"/>
    <w:rsid w:val="007C50F2"/>
    <w:rsid w:val="007C70D2"/>
    <w:rsid w:val="007D6754"/>
    <w:rsid w:val="007D6F81"/>
    <w:rsid w:val="007E0738"/>
    <w:rsid w:val="007E1182"/>
    <w:rsid w:val="007E21D7"/>
    <w:rsid w:val="007E2E9B"/>
    <w:rsid w:val="007E694C"/>
    <w:rsid w:val="007F46B2"/>
    <w:rsid w:val="007F642B"/>
    <w:rsid w:val="007F65FB"/>
    <w:rsid w:val="00801F02"/>
    <w:rsid w:val="00802BD7"/>
    <w:rsid w:val="0080329E"/>
    <w:rsid w:val="00806387"/>
    <w:rsid w:val="00806757"/>
    <w:rsid w:val="00807282"/>
    <w:rsid w:val="00810D6C"/>
    <w:rsid w:val="00813596"/>
    <w:rsid w:val="00813A24"/>
    <w:rsid w:val="00814713"/>
    <w:rsid w:val="00816299"/>
    <w:rsid w:val="00816DE5"/>
    <w:rsid w:val="00816E38"/>
    <w:rsid w:val="008216DD"/>
    <w:rsid w:val="008230E9"/>
    <w:rsid w:val="00824607"/>
    <w:rsid w:val="00824C1E"/>
    <w:rsid w:val="0082556F"/>
    <w:rsid w:val="00826659"/>
    <w:rsid w:val="00827E0F"/>
    <w:rsid w:val="00832C90"/>
    <w:rsid w:val="008343FE"/>
    <w:rsid w:val="0083668A"/>
    <w:rsid w:val="00837453"/>
    <w:rsid w:val="00840FFC"/>
    <w:rsid w:val="0084275F"/>
    <w:rsid w:val="008458B3"/>
    <w:rsid w:val="00845C9F"/>
    <w:rsid w:val="00852B51"/>
    <w:rsid w:val="00853334"/>
    <w:rsid w:val="008564C4"/>
    <w:rsid w:val="00860A0E"/>
    <w:rsid w:val="00861297"/>
    <w:rsid w:val="00862FC5"/>
    <w:rsid w:val="00863367"/>
    <w:rsid w:val="008643A8"/>
    <w:rsid w:val="00865133"/>
    <w:rsid w:val="00866F3D"/>
    <w:rsid w:val="00866FAD"/>
    <w:rsid w:val="00867515"/>
    <w:rsid w:val="008712E4"/>
    <w:rsid w:val="008760DB"/>
    <w:rsid w:val="00877B3C"/>
    <w:rsid w:val="00882752"/>
    <w:rsid w:val="00884BE0"/>
    <w:rsid w:val="0089199F"/>
    <w:rsid w:val="008923B9"/>
    <w:rsid w:val="00896249"/>
    <w:rsid w:val="00897D30"/>
    <w:rsid w:val="008A0525"/>
    <w:rsid w:val="008A075E"/>
    <w:rsid w:val="008A1F37"/>
    <w:rsid w:val="008A5321"/>
    <w:rsid w:val="008B404F"/>
    <w:rsid w:val="008B7BE5"/>
    <w:rsid w:val="008C1745"/>
    <w:rsid w:val="008C3C14"/>
    <w:rsid w:val="008D068D"/>
    <w:rsid w:val="008D37E3"/>
    <w:rsid w:val="008D4AA2"/>
    <w:rsid w:val="008E59BC"/>
    <w:rsid w:val="008E5A87"/>
    <w:rsid w:val="008E78DC"/>
    <w:rsid w:val="008F20AF"/>
    <w:rsid w:val="008F3BAC"/>
    <w:rsid w:val="008F5CBB"/>
    <w:rsid w:val="008F73D9"/>
    <w:rsid w:val="00901134"/>
    <w:rsid w:val="0090165F"/>
    <w:rsid w:val="0090172A"/>
    <w:rsid w:val="00902E9B"/>
    <w:rsid w:val="0090357A"/>
    <w:rsid w:val="0090414A"/>
    <w:rsid w:val="009048E8"/>
    <w:rsid w:val="00904A5B"/>
    <w:rsid w:val="0090559B"/>
    <w:rsid w:val="0090760A"/>
    <w:rsid w:val="009077DE"/>
    <w:rsid w:val="00910587"/>
    <w:rsid w:val="00911EE0"/>
    <w:rsid w:val="00914AB1"/>
    <w:rsid w:val="00915951"/>
    <w:rsid w:val="00916FCD"/>
    <w:rsid w:val="0092098B"/>
    <w:rsid w:val="00925B55"/>
    <w:rsid w:val="009272B9"/>
    <w:rsid w:val="00931DD4"/>
    <w:rsid w:val="00934B33"/>
    <w:rsid w:val="00936C96"/>
    <w:rsid w:val="009376A7"/>
    <w:rsid w:val="00937B41"/>
    <w:rsid w:val="00942100"/>
    <w:rsid w:val="009449F4"/>
    <w:rsid w:val="00945F43"/>
    <w:rsid w:val="00946D49"/>
    <w:rsid w:val="00950129"/>
    <w:rsid w:val="00952526"/>
    <w:rsid w:val="00954045"/>
    <w:rsid w:val="009550D6"/>
    <w:rsid w:val="00956DCB"/>
    <w:rsid w:val="00956FD1"/>
    <w:rsid w:val="00957511"/>
    <w:rsid w:val="00957649"/>
    <w:rsid w:val="00957E39"/>
    <w:rsid w:val="00964F6B"/>
    <w:rsid w:val="009650BA"/>
    <w:rsid w:val="00965180"/>
    <w:rsid w:val="00966D36"/>
    <w:rsid w:val="00971516"/>
    <w:rsid w:val="00974F3F"/>
    <w:rsid w:val="009773E9"/>
    <w:rsid w:val="00977B98"/>
    <w:rsid w:val="00980770"/>
    <w:rsid w:val="00982C50"/>
    <w:rsid w:val="00983996"/>
    <w:rsid w:val="0098527D"/>
    <w:rsid w:val="0098604F"/>
    <w:rsid w:val="00987238"/>
    <w:rsid w:val="0099090D"/>
    <w:rsid w:val="009909A8"/>
    <w:rsid w:val="00993C16"/>
    <w:rsid w:val="009A2203"/>
    <w:rsid w:val="009A49BE"/>
    <w:rsid w:val="009A4F2D"/>
    <w:rsid w:val="009B16B9"/>
    <w:rsid w:val="009B18C9"/>
    <w:rsid w:val="009B2651"/>
    <w:rsid w:val="009B5375"/>
    <w:rsid w:val="009B5964"/>
    <w:rsid w:val="009B6AE0"/>
    <w:rsid w:val="009C10CF"/>
    <w:rsid w:val="009C15E6"/>
    <w:rsid w:val="009C1AF9"/>
    <w:rsid w:val="009C2606"/>
    <w:rsid w:val="009C2EDB"/>
    <w:rsid w:val="009C42EC"/>
    <w:rsid w:val="009C4B63"/>
    <w:rsid w:val="009C618A"/>
    <w:rsid w:val="009D0D02"/>
    <w:rsid w:val="009D0EAE"/>
    <w:rsid w:val="009D32FD"/>
    <w:rsid w:val="009D52F6"/>
    <w:rsid w:val="009D6E5B"/>
    <w:rsid w:val="009E0499"/>
    <w:rsid w:val="009E2CBF"/>
    <w:rsid w:val="009E7008"/>
    <w:rsid w:val="009E7450"/>
    <w:rsid w:val="009F0BFC"/>
    <w:rsid w:val="009F2DEE"/>
    <w:rsid w:val="009F368E"/>
    <w:rsid w:val="009F5954"/>
    <w:rsid w:val="009F6313"/>
    <w:rsid w:val="00A00733"/>
    <w:rsid w:val="00A04836"/>
    <w:rsid w:val="00A05F80"/>
    <w:rsid w:val="00A10B75"/>
    <w:rsid w:val="00A11EC1"/>
    <w:rsid w:val="00A11ED3"/>
    <w:rsid w:val="00A14B79"/>
    <w:rsid w:val="00A14B96"/>
    <w:rsid w:val="00A169E8"/>
    <w:rsid w:val="00A16B86"/>
    <w:rsid w:val="00A223CB"/>
    <w:rsid w:val="00A22ACE"/>
    <w:rsid w:val="00A238C9"/>
    <w:rsid w:val="00A33244"/>
    <w:rsid w:val="00A402F7"/>
    <w:rsid w:val="00A4597F"/>
    <w:rsid w:val="00A46B6C"/>
    <w:rsid w:val="00A47392"/>
    <w:rsid w:val="00A50ABB"/>
    <w:rsid w:val="00A5213F"/>
    <w:rsid w:val="00A536F8"/>
    <w:rsid w:val="00A55180"/>
    <w:rsid w:val="00A567DE"/>
    <w:rsid w:val="00A61B60"/>
    <w:rsid w:val="00A628B0"/>
    <w:rsid w:val="00A631B2"/>
    <w:rsid w:val="00A6320F"/>
    <w:rsid w:val="00A63D46"/>
    <w:rsid w:val="00A6577A"/>
    <w:rsid w:val="00A667A4"/>
    <w:rsid w:val="00A72879"/>
    <w:rsid w:val="00A754A7"/>
    <w:rsid w:val="00A80D10"/>
    <w:rsid w:val="00A831BA"/>
    <w:rsid w:val="00A85204"/>
    <w:rsid w:val="00A8596E"/>
    <w:rsid w:val="00A8704F"/>
    <w:rsid w:val="00A9089C"/>
    <w:rsid w:val="00A91A32"/>
    <w:rsid w:val="00A95C57"/>
    <w:rsid w:val="00A9795D"/>
    <w:rsid w:val="00A97A8A"/>
    <w:rsid w:val="00A97D4B"/>
    <w:rsid w:val="00AA00EC"/>
    <w:rsid w:val="00AA05BF"/>
    <w:rsid w:val="00AA2226"/>
    <w:rsid w:val="00AA2390"/>
    <w:rsid w:val="00AA29E6"/>
    <w:rsid w:val="00AA46D7"/>
    <w:rsid w:val="00AA5EFE"/>
    <w:rsid w:val="00AA7840"/>
    <w:rsid w:val="00AB0095"/>
    <w:rsid w:val="00AB17CB"/>
    <w:rsid w:val="00AB1EF2"/>
    <w:rsid w:val="00AB293C"/>
    <w:rsid w:val="00AB4CEF"/>
    <w:rsid w:val="00AB524A"/>
    <w:rsid w:val="00AB622C"/>
    <w:rsid w:val="00AB65E7"/>
    <w:rsid w:val="00AB735E"/>
    <w:rsid w:val="00AC05BF"/>
    <w:rsid w:val="00AC0891"/>
    <w:rsid w:val="00AC0EF3"/>
    <w:rsid w:val="00AC3D9E"/>
    <w:rsid w:val="00AC3E73"/>
    <w:rsid w:val="00AC3F07"/>
    <w:rsid w:val="00AD3700"/>
    <w:rsid w:val="00AD44BE"/>
    <w:rsid w:val="00AE2DEA"/>
    <w:rsid w:val="00AE43A1"/>
    <w:rsid w:val="00AE591C"/>
    <w:rsid w:val="00AE72B3"/>
    <w:rsid w:val="00AF155B"/>
    <w:rsid w:val="00AF185F"/>
    <w:rsid w:val="00AF20EA"/>
    <w:rsid w:val="00AF710E"/>
    <w:rsid w:val="00B00691"/>
    <w:rsid w:val="00B009E6"/>
    <w:rsid w:val="00B071D9"/>
    <w:rsid w:val="00B072CB"/>
    <w:rsid w:val="00B11C80"/>
    <w:rsid w:val="00B12152"/>
    <w:rsid w:val="00B12CFC"/>
    <w:rsid w:val="00B16C97"/>
    <w:rsid w:val="00B21695"/>
    <w:rsid w:val="00B21A13"/>
    <w:rsid w:val="00B27EBC"/>
    <w:rsid w:val="00B346DE"/>
    <w:rsid w:val="00B35260"/>
    <w:rsid w:val="00B37DCB"/>
    <w:rsid w:val="00B4018C"/>
    <w:rsid w:val="00B404F7"/>
    <w:rsid w:val="00B502D8"/>
    <w:rsid w:val="00B508B8"/>
    <w:rsid w:val="00B50A47"/>
    <w:rsid w:val="00B527BD"/>
    <w:rsid w:val="00B52F3A"/>
    <w:rsid w:val="00B53D1A"/>
    <w:rsid w:val="00B5501B"/>
    <w:rsid w:val="00B55344"/>
    <w:rsid w:val="00B55DC5"/>
    <w:rsid w:val="00B56C20"/>
    <w:rsid w:val="00B5722D"/>
    <w:rsid w:val="00B609CA"/>
    <w:rsid w:val="00B67E1E"/>
    <w:rsid w:val="00B73CD1"/>
    <w:rsid w:val="00B824B4"/>
    <w:rsid w:val="00B82D78"/>
    <w:rsid w:val="00B90F3D"/>
    <w:rsid w:val="00B9179C"/>
    <w:rsid w:val="00B91C27"/>
    <w:rsid w:val="00B9359D"/>
    <w:rsid w:val="00B93DE7"/>
    <w:rsid w:val="00B943E8"/>
    <w:rsid w:val="00B94FB4"/>
    <w:rsid w:val="00B95E2E"/>
    <w:rsid w:val="00BA04A3"/>
    <w:rsid w:val="00BA24AF"/>
    <w:rsid w:val="00BA2B6A"/>
    <w:rsid w:val="00BA2FD9"/>
    <w:rsid w:val="00BA3945"/>
    <w:rsid w:val="00BA56FC"/>
    <w:rsid w:val="00BA6FB6"/>
    <w:rsid w:val="00BB177E"/>
    <w:rsid w:val="00BB229D"/>
    <w:rsid w:val="00BB572D"/>
    <w:rsid w:val="00BB7681"/>
    <w:rsid w:val="00BC0F05"/>
    <w:rsid w:val="00BC2362"/>
    <w:rsid w:val="00BC2F25"/>
    <w:rsid w:val="00BC7C49"/>
    <w:rsid w:val="00BD7459"/>
    <w:rsid w:val="00BE0806"/>
    <w:rsid w:val="00BE1C01"/>
    <w:rsid w:val="00BE1C1E"/>
    <w:rsid w:val="00BE1F4C"/>
    <w:rsid w:val="00BE435E"/>
    <w:rsid w:val="00BE52A6"/>
    <w:rsid w:val="00BE5789"/>
    <w:rsid w:val="00BE5F84"/>
    <w:rsid w:val="00BE7326"/>
    <w:rsid w:val="00C010C4"/>
    <w:rsid w:val="00C02886"/>
    <w:rsid w:val="00C0366E"/>
    <w:rsid w:val="00C050AE"/>
    <w:rsid w:val="00C05C0A"/>
    <w:rsid w:val="00C06802"/>
    <w:rsid w:val="00C10A64"/>
    <w:rsid w:val="00C14C46"/>
    <w:rsid w:val="00C15586"/>
    <w:rsid w:val="00C172A8"/>
    <w:rsid w:val="00C173D3"/>
    <w:rsid w:val="00C20057"/>
    <w:rsid w:val="00C23619"/>
    <w:rsid w:val="00C24337"/>
    <w:rsid w:val="00C246EA"/>
    <w:rsid w:val="00C2604B"/>
    <w:rsid w:val="00C30B8A"/>
    <w:rsid w:val="00C354B1"/>
    <w:rsid w:val="00C35AEF"/>
    <w:rsid w:val="00C35FA5"/>
    <w:rsid w:val="00C40C4C"/>
    <w:rsid w:val="00C4324E"/>
    <w:rsid w:val="00C43AFA"/>
    <w:rsid w:val="00C442FB"/>
    <w:rsid w:val="00C46041"/>
    <w:rsid w:val="00C46759"/>
    <w:rsid w:val="00C50BE6"/>
    <w:rsid w:val="00C524A1"/>
    <w:rsid w:val="00C5379F"/>
    <w:rsid w:val="00C53CD2"/>
    <w:rsid w:val="00C554DC"/>
    <w:rsid w:val="00C561E9"/>
    <w:rsid w:val="00C56D46"/>
    <w:rsid w:val="00C57C52"/>
    <w:rsid w:val="00C57E27"/>
    <w:rsid w:val="00C609BC"/>
    <w:rsid w:val="00C62423"/>
    <w:rsid w:val="00C63C7E"/>
    <w:rsid w:val="00C64984"/>
    <w:rsid w:val="00C66131"/>
    <w:rsid w:val="00C6797A"/>
    <w:rsid w:val="00C70B12"/>
    <w:rsid w:val="00C72A11"/>
    <w:rsid w:val="00C74794"/>
    <w:rsid w:val="00C8060D"/>
    <w:rsid w:val="00C82AAA"/>
    <w:rsid w:val="00C82E31"/>
    <w:rsid w:val="00C84250"/>
    <w:rsid w:val="00C8526F"/>
    <w:rsid w:val="00C87375"/>
    <w:rsid w:val="00C878A5"/>
    <w:rsid w:val="00C9575F"/>
    <w:rsid w:val="00C96BE4"/>
    <w:rsid w:val="00C970EB"/>
    <w:rsid w:val="00CA07CA"/>
    <w:rsid w:val="00CA1CBE"/>
    <w:rsid w:val="00CA3ECF"/>
    <w:rsid w:val="00CA573C"/>
    <w:rsid w:val="00CB1FDB"/>
    <w:rsid w:val="00CB35B8"/>
    <w:rsid w:val="00CB37D3"/>
    <w:rsid w:val="00CB489F"/>
    <w:rsid w:val="00CB4D1C"/>
    <w:rsid w:val="00CC1D91"/>
    <w:rsid w:val="00CC25CB"/>
    <w:rsid w:val="00CC25FF"/>
    <w:rsid w:val="00CC3746"/>
    <w:rsid w:val="00CC3AA3"/>
    <w:rsid w:val="00CD05BE"/>
    <w:rsid w:val="00CD05E0"/>
    <w:rsid w:val="00CD2471"/>
    <w:rsid w:val="00CD4C49"/>
    <w:rsid w:val="00CE0735"/>
    <w:rsid w:val="00CE0C52"/>
    <w:rsid w:val="00CE0DEF"/>
    <w:rsid w:val="00CE4D92"/>
    <w:rsid w:val="00CE547C"/>
    <w:rsid w:val="00CF0C8D"/>
    <w:rsid w:val="00CF2428"/>
    <w:rsid w:val="00CF3BE3"/>
    <w:rsid w:val="00CF516F"/>
    <w:rsid w:val="00CF646B"/>
    <w:rsid w:val="00D038D5"/>
    <w:rsid w:val="00D03988"/>
    <w:rsid w:val="00D04D32"/>
    <w:rsid w:val="00D066E8"/>
    <w:rsid w:val="00D14120"/>
    <w:rsid w:val="00D14CF3"/>
    <w:rsid w:val="00D14D15"/>
    <w:rsid w:val="00D1663E"/>
    <w:rsid w:val="00D17B6A"/>
    <w:rsid w:val="00D202EF"/>
    <w:rsid w:val="00D2087F"/>
    <w:rsid w:val="00D217AA"/>
    <w:rsid w:val="00D21B87"/>
    <w:rsid w:val="00D221DE"/>
    <w:rsid w:val="00D22467"/>
    <w:rsid w:val="00D234B0"/>
    <w:rsid w:val="00D25DE5"/>
    <w:rsid w:val="00D26FF6"/>
    <w:rsid w:val="00D27482"/>
    <w:rsid w:val="00D30165"/>
    <w:rsid w:val="00D336BC"/>
    <w:rsid w:val="00D36035"/>
    <w:rsid w:val="00D366EE"/>
    <w:rsid w:val="00D40125"/>
    <w:rsid w:val="00D425D3"/>
    <w:rsid w:val="00D455FF"/>
    <w:rsid w:val="00D45B2B"/>
    <w:rsid w:val="00D46CB0"/>
    <w:rsid w:val="00D47342"/>
    <w:rsid w:val="00D476E6"/>
    <w:rsid w:val="00D47F69"/>
    <w:rsid w:val="00D506DA"/>
    <w:rsid w:val="00D50D97"/>
    <w:rsid w:val="00D523C5"/>
    <w:rsid w:val="00D56FCE"/>
    <w:rsid w:val="00D624D8"/>
    <w:rsid w:val="00D6328D"/>
    <w:rsid w:val="00D63368"/>
    <w:rsid w:val="00D64CC8"/>
    <w:rsid w:val="00D67783"/>
    <w:rsid w:val="00D70987"/>
    <w:rsid w:val="00D72AA9"/>
    <w:rsid w:val="00D74568"/>
    <w:rsid w:val="00D80AB4"/>
    <w:rsid w:val="00D83C08"/>
    <w:rsid w:val="00D85FBA"/>
    <w:rsid w:val="00D86B42"/>
    <w:rsid w:val="00D91D92"/>
    <w:rsid w:val="00D92894"/>
    <w:rsid w:val="00D92A62"/>
    <w:rsid w:val="00D94EBE"/>
    <w:rsid w:val="00D95FFF"/>
    <w:rsid w:val="00D96784"/>
    <w:rsid w:val="00D969E1"/>
    <w:rsid w:val="00DA10D6"/>
    <w:rsid w:val="00DA25AF"/>
    <w:rsid w:val="00DA3EF0"/>
    <w:rsid w:val="00DA494D"/>
    <w:rsid w:val="00DA4C72"/>
    <w:rsid w:val="00DA5460"/>
    <w:rsid w:val="00DA7A77"/>
    <w:rsid w:val="00DB0D92"/>
    <w:rsid w:val="00DB25B5"/>
    <w:rsid w:val="00DB2D1A"/>
    <w:rsid w:val="00DB36FF"/>
    <w:rsid w:val="00DB3FAB"/>
    <w:rsid w:val="00DB40A0"/>
    <w:rsid w:val="00DB69C0"/>
    <w:rsid w:val="00DC338B"/>
    <w:rsid w:val="00DC368A"/>
    <w:rsid w:val="00DD2844"/>
    <w:rsid w:val="00DD3E74"/>
    <w:rsid w:val="00DD5D1F"/>
    <w:rsid w:val="00DD7C8F"/>
    <w:rsid w:val="00DE04F3"/>
    <w:rsid w:val="00DE0A26"/>
    <w:rsid w:val="00DE36F3"/>
    <w:rsid w:val="00DE5544"/>
    <w:rsid w:val="00DE6BF8"/>
    <w:rsid w:val="00DF1651"/>
    <w:rsid w:val="00DF3F13"/>
    <w:rsid w:val="00DF47A0"/>
    <w:rsid w:val="00E01E06"/>
    <w:rsid w:val="00E02A55"/>
    <w:rsid w:val="00E03123"/>
    <w:rsid w:val="00E03264"/>
    <w:rsid w:val="00E03BFD"/>
    <w:rsid w:val="00E0455F"/>
    <w:rsid w:val="00E062F8"/>
    <w:rsid w:val="00E06DA9"/>
    <w:rsid w:val="00E07969"/>
    <w:rsid w:val="00E10CBC"/>
    <w:rsid w:val="00E11AC5"/>
    <w:rsid w:val="00E11F67"/>
    <w:rsid w:val="00E12ECC"/>
    <w:rsid w:val="00E15C3E"/>
    <w:rsid w:val="00E202B5"/>
    <w:rsid w:val="00E20577"/>
    <w:rsid w:val="00E21D8C"/>
    <w:rsid w:val="00E21EBA"/>
    <w:rsid w:val="00E245AF"/>
    <w:rsid w:val="00E27D25"/>
    <w:rsid w:val="00E3192C"/>
    <w:rsid w:val="00E31BD5"/>
    <w:rsid w:val="00E351AF"/>
    <w:rsid w:val="00E3548E"/>
    <w:rsid w:val="00E3574B"/>
    <w:rsid w:val="00E35D77"/>
    <w:rsid w:val="00E36254"/>
    <w:rsid w:val="00E37403"/>
    <w:rsid w:val="00E375E8"/>
    <w:rsid w:val="00E3787E"/>
    <w:rsid w:val="00E37D47"/>
    <w:rsid w:val="00E40E2E"/>
    <w:rsid w:val="00E41CF8"/>
    <w:rsid w:val="00E42FC4"/>
    <w:rsid w:val="00E4573A"/>
    <w:rsid w:val="00E46092"/>
    <w:rsid w:val="00E51BC3"/>
    <w:rsid w:val="00E54B07"/>
    <w:rsid w:val="00E62F65"/>
    <w:rsid w:val="00E63879"/>
    <w:rsid w:val="00E67535"/>
    <w:rsid w:val="00E67640"/>
    <w:rsid w:val="00E75F39"/>
    <w:rsid w:val="00E77664"/>
    <w:rsid w:val="00E77F57"/>
    <w:rsid w:val="00E861B6"/>
    <w:rsid w:val="00E871D5"/>
    <w:rsid w:val="00E90CF6"/>
    <w:rsid w:val="00E9133D"/>
    <w:rsid w:val="00E91576"/>
    <w:rsid w:val="00E92E19"/>
    <w:rsid w:val="00E93474"/>
    <w:rsid w:val="00E961CC"/>
    <w:rsid w:val="00EA13B4"/>
    <w:rsid w:val="00EA1CBF"/>
    <w:rsid w:val="00EA3002"/>
    <w:rsid w:val="00EA4689"/>
    <w:rsid w:val="00EA4B7A"/>
    <w:rsid w:val="00EA4FB7"/>
    <w:rsid w:val="00EB1AE5"/>
    <w:rsid w:val="00EB1CD8"/>
    <w:rsid w:val="00EB2B82"/>
    <w:rsid w:val="00EB3A4F"/>
    <w:rsid w:val="00EC012B"/>
    <w:rsid w:val="00EC4A74"/>
    <w:rsid w:val="00EC524C"/>
    <w:rsid w:val="00EC566E"/>
    <w:rsid w:val="00EC600A"/>
    <w:rsid w:val="00EC7192"/>
    <w:rsid w:val="00ED43DD"/>
    <w:rsid w:val="00ED61BF"/>
    <w:rsid w:val="00ED6D6C"/>
    <w:rsid w:val="00ED70D4"/>
    <w:rsid w:val="00EE0274"/>
    <w:rsid w:val="00EE18C9"/>
    <w:rsid w:val="00EE1BCA"/>
    <w:rsid w:val="00EE228B"/>
    <w:rsid w:val="00EE37D5"/>
    <w:rsid w:val="00EE5D3E"/>
    <w:rsid w:val="00EF0524"/>
    <w:rsid w:val="00EF2DAA"/>
    <w:rsid w:val="00EF2DCD"/>
    <w:rsid w:val="00EF501B"/>
    <w:rsid w:val="00EF6AD6"/>
    <w:rsid w:val="00EF72A3"/>
    <w:rsid w:val="00F00777"/>
    <w:rsid w:val="00F02042"/>
    <w:rsid w:val="00F03B85"/>
    <w:rsid w:val="00F0616B"/>
    <w:rsid w:val="00F06948"/>
    <w:rsid w:val="00F10219"/>
    <w:rsid w:val="00F125A4"/>
    <w:rsid w:val="00F12C53"/>
    <w:rsid w:val="00F130E9"/>
    <w:rsid w:val="00F13FE3"/>
    <w:rsid w:val="00F15349"/>
    <w:rsid w:val="00F206DD"/>
    <w:rsid w:val="00F230F4"/>
    <w:rsid w:val="00F26575"/>
    <w:rsid w:val="00F26D79"/>
    <w:rsid w:val="00F30209"/>
    <w:rsid w:val="00F31D9B"/>
    <w:rsid w:val="00F32DAD"/>
    <w:rsid w:val="00F3315E"/>
    <w:rsid w:val="00F35127"/>
    <w:rsid w:val="00F35E32"/>
    <w:rsid w:val="00F42810"/>
    <w:rsid w:val="00F4487D"/>
    <w:rsid w:val="00F47BF0"/>
    <w:rsid w:val="00F5075C"/>
    <w:rsid w:val="00F51405"/>
    <w:rsid w:val="00F56A45"/>
    <w:rsid w:val="00F60C57"/>
    <w:rsid w:val="00F64916"/>
    <w:rsid w:val="00F664E4"/>
    <w:rsid w:val="00F67E23"/>
    <w:rsid w:val="00F70218"/>
    <w:rsid w:val="00F74A50"/>
    <w:rsid w:val="00F76669"/>
    <w:rsid w:val="00F76A96"/>
    <w:rsid w:val="00F779CC"/>
    <w:rsid w:val="00F80DA5"/>
    <w:rsid w:val="00F80DF4"/>
    <w:rsid w:val="00F820A5"/>
    <w:rsid w:val="00F82D90"/>
    <w:rsid w:val="00F83273"/>
    <w:rsid w:val="00F8355A"/>
    <w:rsid w:val="00F84951"/>
    <w:rsid w:val="00F84FCB"/>
    <w:rsid w:val="00F9330F"/>
    <w:rsid w:val="00F93AA8"/>
    <w:rsid w:val="00F94733"/>
    <w:rsid w:val="00F94C0E"/>
    <w:rsid w:val="00F94E8F"/>
    <w:rsid w:val="00F96BB3"/>
    <w:rsid w:val="00F97762"/>
    <w:rsid w:val="00FA1330"/>
    <w:rsid w:val="00FA1423"/>
    <w:rsid w:val="00FA2965"/>
    <w:rsid w:val="00FA32D4"/>
    <w:rsid w:val="00FA4144"/>
    <w:rsid w:val="00FA7C4F"/>
    <w:rsid w:val="00FB5690"/>
    <w:rsid w:val="00FB6D09"/>
    <w:rsid w:val="00FC120C"/>
    <w:rsid w:val="00FC3F98"/>
    <w:rsid w:val="00FC7008"/>
    <w:rsid w:val="00FD2389"/>
    <w:rsid w:val="00FD2BD1"/>
    <w:rsid w:val="00FD475A"/>
    <w:rsid w:val="00FD6101"/>
    <w:rsid w:val="00FD6923"/>
    <w:rsid w:val="00FE0B3E"/>
    <w:rsid w:val="00FE4CF7"/>
    <w:rsid w:val="00FE5527"/>
    <w:rsid w:val="00FE57F5"/>
    <w:rsid w:val="00FF16D1"/>
    <w:rsid w:val="00FF1E22"/>
    <w:rsid w:val="00FF28F4"/>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374AF8B6"/>
  <w15:docId w15:val="{7E50095F-443F-40CC-9E6A-56D8822CF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3574B"/>
    <w:rPr>
      <w:rFonts w:asciiTheme="minorHAnsi" w:hAnsiTheme="minorHAnsi" w:cs="Times New Roman"/>
      <w:sz w:val="22"/>
    </w:rPr>
  </w:style>
  <w:style w:type="paragraph" w:styleId="Heading1">
    <w:name w:val="heading 1"/>
    <w:basedOn w:val="Normal"/>
    <w:next w:val="Normal"/>
    <w:link w:val="Heading1Char"/>
    <w:uiPriority w:val="9"/>
    <w:qFormat/>
    <w:rsid w:val="00F779CC"/>
    <w:pPr>
      <w:widowControl w:val="0"/>
      <w:numPr>
        <w:numId w:val="6"/>
      </w:numPr>
      <w:tabs>
        <w:tab w:val="left" w:pos="90"/>
      </w:tabs>
      <w:autoSpaceDE w:val="0"/>
      <w:autoSpaceDN w:val="0"/>
      <w:adjustRightInd w:val="0"/>
      <w:spacing w:before="200" w:after="120"/>
      <w:outlineLvl w:val="0"/>
    </w:pPr>
    <w:rPr>
      <w:b/>
      <w:bCs/>
    </w:rPr>
  </w:style>
  <w:style w:type="paragraph" w:styleId="Heading2">
    <w:name w:val="heading 2"/>
    <w:basedOn w:val="Normal"/>
    <w:next w:val="Normal"/>
    <w:link w:val="Heading2Char"/>
    <w:uiPriority w:val="9"/>
    <w:qFormat/>
    <w:rsid w:val="00F779CC"/>
    <w:pPr>
      <w:keepNext/>
      <w:numPr>
        <w:ilvl w:val="1"/>
        <w:numId w:val="6"/>
      </w:numPr>
      <w:spacing w:before="200" w:after="60"/>
      <w:outlineLvl w:val="1"/>
    </w:pPr>
    <w:rPr>
      <w:b/>
      <w:i/>
      <w:sz w:val="24"/>
    </w:rPr>
  </w:style>
  <w:style w:type="paragraph" w:styleId="Heading3">
    <w:name w:val="heading 3"/>
    <w:basedOn w:val="Normal"/>
    <w:next w:val="Normal"/>
    <w:link w:val="Heading3Char"/>
    <w:uiPriority w:val="9"/>
    <w:qFormat/>
    <w:rsid w:val="000411B2"/>
    <w:pPr>
      <w:keepNext/>
      <w:numPr>
        <w:ilvl w:val="2"/>
        <w:numId w:val="6"/>
      </w:numPr>
      <w:spacing w:before="240" w:after="60"/>
      <w:outlineLvl w:val="2"/>
    </w:pPr>
    <w:rPr>
      <w:b/>
      <w:sz w:val="24"/>
    </w:rPr>
  </w:style>
  <w:style w:type="paragraph" w:styleId="Heading4">
    <w:name w:val="heading 4"/>
    <w:basedOn w:val="Normal"/>
    <w:next w:val="Normal"/>
    <w:link w:val="Heading4Char"/>
    <w:uiPriority w:val="9"/>
    <w:qFormat/>
    <w:pPr>
      <w:keepNext/>
      <w:numPr>
        <w:ilvl w:val="3"/>
        <w:numId w:val="6"/>
      </w:numPr>
      <w:outlineLvl w:val="3"/>
    </w:pPr>
    <w:rPr>
      <w:rFonts w:ascii="Arial" w:hAnsi="Arial"/>
      <w:b/>
      <w:bCs/>
    </w:rPr>
  </w:style>
  <w:style w:type="paragraph" w:styleId="Heading5">
    <w:name w:val="heading 5"/>
    <w:basedOn w:val="Normal"/>
    <w:next w:val="Normal"/>
    <w:link w:val="Heading5Char"/>
    <w:uiPriority w:val="9"/>
    <w:qFormat/>
    <w:pPr>
      <w:keepNext/>
      <w:numPr>
        <w:ilvl w:val="4"/>
        <w:numId w:val="6"/>
      </w:numPr>
      <w:jc w:val="center"/>
      <w:outlineLvl w:val="4"/>
    </w:pPr>
    <w:rPr>
      <w:b/>
      <w:bCs/>
    </w:rPr>
  </w:style>
  <w:style w:type="paragraph" w:styleId="Heading6">
    <w:name w:val="heading 6"/>
    <w:basedOn w:val="Normal"/>
    <w:next w:val="Normal"/>
    <w:link w:val="Heading6Char"/>
    <w:uiPriority w:val="9"/>
    <w:qFormat/>
    <w:pPr>
      <w:keepNext/>
      <w:numPr>
        <w:ilvl w:val="5"/>
        <w:numId w:val="6"/>
      </w:numPr>
      <w:jc w:val="both"/>
      <w:outlineLvl w:val="5"/>
    </w:pPr>
    <w:rPr>
      <w:b/>
      <w:bCs/>
    </w:rPr>
  </w:style>
  <w:style w:type="paragraph" w:styleId="Heading7">
    <w:name w:val="heading 7"/>
    <w:basedOn w:val="Normal"/>
    <w:next w:val="Normal"/>
    <w:link w:val="Heading7Char"/>
    <w:semiHidden/>
    <w:unhideWhenUsed/>
    <w:qFormat/>
    <w:rsid w:val="008B404F"/>
    <w:pPr>
      <w:keepNext/>
      <w:keepLines/>
      <w:numPr>
        <w:ilvl w:val="6"/>
        <w:numId w:val="6"/>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8B404F"/>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8B404F"/>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79CC"/>
    <w:rPr>
      <w:rFonts w:asciiTheme="minorHAnsi" w:hAnsiTheme="minorHAnsi" w:cs="Times New Roman"/>
      <w:b/>
      <w:bCs/>
      <w:sz w:val="22"/>
    </w:rPr>
  </w:style>
  <w:style w:type="character" w:customStyle="1" w:styleId="Heading2Char">
    <w:name w:val="Heading 2 Char"/>
    <w:basedOn w:val="DefaultParagraphFont"/>
    <w:link w:val="Heading2"/>
    <w:uiPriority w:val="9"/>
    <w:rsid w:val="00F779CC"/>
    <w:rPr>
      <w:rFonts w:asciiTheme="minorHAnsi" w:hAnsiTheme="minorHAnsi" w:cs="Times New Roman"/>
      <w:b/>
      <w:i/>
      <w:sz w:val="24"/>
    </w:rPr>
  </w:style>
  <w:style w:type="character" w:customStyle="1" w:styleId="Heading3Char">
    <w:name w:val="Heading 3 Char"/>
    <w:basedOn w:val="DefaultParagraphFont"/>
    <w:link w:val="Heading3"/>
    <w:uiPriority w:val="9"/>
    <w:rsid w:val="000411B2"/>
    <w:rPr>
      <w:rFonts w:asciiTheme="minorHAnsi" w:hAnsiTheme="minorHAnsi" w:cs="Times New Roman"/>
      <w:b/>
      <w:sz w:val="24"/>
    </w:rPr>
  </w:style>
  <w:style w:type="character" w:customStyle="1" w:styleId="Heading4Char">
    <w:name w:val="Heading 4 Char"/>
    <w:basedOn w:val="DefaultParagraphFont"/>
    <w:link w:val="Heading4"/>
    <w:uiPriority w:val="9"/>
    <w:rsid w:val="00BB2060"/>
    <w:rPr>
      <w:rFonts w:ascii="Arial" w:hAnsi="Arial" w:cs="Times New Roman"/>
      <w:b/>
      <w:bCs/>
      <w:sz w:val="22"/>
    </w:rPr>
  </w:style>
  <w:style w:type="character" w:customStyle="1" w:styleId="Heading5Char">
    <w:name w:val="Heading 5 Char"/>
    <w:basedOn w:val="DefaultParagraphFont"/>
    <w:link w:val="Heading5"/>
    <w:uiPriority w:val="9"/>
    <w:rsid w:val="00BB2060"/>
    <w:rPr>
      <w:rFonts w:asciiTheme="minorHAnsi" w:hAnsiTheme="minorHAnsi" w:cs="Times New Roman"/>
      <w:b/>
      <w:bCs/>
      <w:sz w:val="22"/>
    </w:rPr>
  </w:style>
  <w:style w:type="character" w:customStyle="1" w:styleId="Heading6Char">
    <w:name w:val="Heading 6 Char"/>
    <w:basedOn w:val="DefaultParagraphFont"/>
    <w:link w:val="Heading6"/>
    <w:uiPriority w:val="9"/>
    <w:rsid w:val="00BB2060"/>
    <w:rPr>
      <w:rFonts w:asciiTheme="minorHAnsi" w:hAnsiTheme="minorHAnsi" w:cs="Times New Roman"/>
      <w:b/>
      <w:bCs/>
      <w:sz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semiHidden/>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locked/>
    <w:rsid w:val="008458B3"/>
    <w:rPr>
      <w:rFonts w:ascii="Book Antiqua" w:hAnsi="Book Antiqua"/>
      <w:sz w:val="22"/>
    </w:rPr>
  </w:style>
  <w:style w:type="paragraph" w:customStyle="1" w:styleId="BulletLevel1">
    <w:name w:val="Bullet Level 1"/>
    <w:basedOn w:val="Normal"/>
    <w:next w:val="Normal"/>
    <w:autoRedefine/>
    <w:rsid w:val="00CC3746"/>
    <w:pPr>
      <w:numPr>
        <w:numId w:val="3"/>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Revision">
    <w:name w:val="Revision"/>
    <w:hidden/>
    <w:uiPriority w:val="99"/>
    <w:semiHidden/>
    <w:rsid w:val="00122AA8"/>
    <w:rPr>
      <w:rFonts w:ascii="Book Antiqua" w:hAnsi="Book Antiqua" w:cs="Times New Roman"/>
      <w:sz w:val="22"/>
    </w:rPr>
  </w:style>
  <w:style w:type="table" w:styleId="TableGrid">
    <w:name w:val="Table Grid"/>
    <w:basedOn w:val="TableNormal"/>
    <w:uiPriority w:val="59"/>
    <w:rsid w:val="00CC1D9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0057"/>
    <w:pPr>
      <w:ind w:left="720"/>
      <w:contextualSpacing/>
    </w:pPr>
  </w:style>
  <w:style w:type="table" w:customStyle="1" w:styleId="TableGrid1">
    <w:name w:val="Table Grid1"/>
    <w:basedOn w:val="TableNormal"/>
    <w:next w:val="TableGrid"/>
    <w:rsid w:val="004C5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63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DC338B"/>
    <w:rPr>
      <w:i/>
      <w:iCs/>
    </w:rPr>
  </w:style>
  <w:style w:type="paragraph" w:styleId="ListBullet2">
    <w:name w:val="List Bullet 2"/>
    <w:basedOn w:val="Normal"/>
    <w:semiHidden/>
    <w:unhideWhenUsed/>
    <w:rsid w:val="008B404F"/>
    <w:pPr>
      <w:numPr>
        <w:numId w:val="5"/>
      </w:numPr>
      <w:contextualSpacing/>
    </w:pPr>
  </w:style>
  <w:style w:type="character" w:customStyle="1" w:styleId="Heading7Char">
    <w:name w:val="Heading 7 Char"/>
    <w:basedOn w:val="DefaultParagraphFont"/>
    <w:link w:val="Heading7"/>
    <w:semiHidden/>
    <w:rsid w:val="008B404F"/>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8B404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8B404F"/>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qFormat/>
    <w:rsid w:val="00C87375"/>
    <w:rPr>
      <w:b/>
      <w:bCs/>
    </w:rPr>
  </w:style>
  <w:style w:type="table" w:customStyle="1" w:styleId="TableGrid3">
    <w:name w:val="Table Grid3"/>
    <w:basedOn w:val="TableNormal"/>
    <w:next w:val="TableGrid"/>
    <w:uiPriority w:val="39"/>
    <w:rsid w:val="00BB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59728">
      <w:bodyDiv w:val="1"/>
      <w:marLeft w:val="0"/>
      <w:marRight w:val="0"/>
      <w:marTop w:val="0"/>
      <w:marBottom w:val="0"/>
      <w:divBdr>
        <w:top w:val="none" w:sz="0" w:space="0" w:color="auto"/>
        <w:left w:val="none" w:sz="0" w:space="0" w:color="auto"/>
        <w:bottom w:val="none" w:sz="0" w:space="0" w:color="auto"/>
        <w:right w:val="none" w:sz="0" w:space="0" w:color="auto"/>
      </w:divBdr>
    </w:div>
    <w:div w:id="154146555">
      <w:bodyDiv w:val="1"/>
      <w:marLeft w:val="0"/>
      <w:marRight w:val="0"/>
      <w:marTop w:val="0"/>
      <w:marBottom w:val="0"/>
      <w:divBdr>
        <w:top w:val="none" w:sz="0" w:space="0" w:color="auto"/>
        <w:left w:val="none" w:sz="0" w:space="0" w:color="auto"/>
        <w:bottom w:val="none" w:sz="0" w:space="0" w:color="auto"/>
        <w:right w:val="none" w:sz="0" w:space="0" w:color="auto"/>
      </w:divBdr>
    </w:div>
    <w:div w:id="162362637">
      <w:bodyDiv w:val="1"/>
      <w:marLeft w:val="0"/>
      <w:marRight w:val="0"/>
      <w:marTop w:val="0"/>
      <w:marBottom w:val="0"/>
      <w:divBdr>
        <w:top w:val="none" w:sz="0" w:space="0" w:color="auto"/>
        <w:left w:val="none" w:sz="0" w:space="0" w:color="auto"/>
        <w:bottom w:val="none" w:sz="0" w:space="0" w:color="auto"/>
        <w:right w:val="none" w:sz="0" w:space="0" w:color="auto"/>
      </w:divBdr>
    </w:div>
    <w:div w:id="212012411">
      <w:bodyDiv w:val="1"/>
      <w:marLeft w:val="0"/>
      <w:marRight w:val="0"/>
      <w:marTop w:val="0"/>
      <w:marBottom w:val="0"/>
      <w:divBdr>
        <w:top w:val="none" w:sz="0" w:space="0" w:color="auto"/>
        <w:left w:val="none" w:sz="0" w:space="0" w:color="auto"/>
        <w:bottom w:val="none" w:sz="0" w:space="0" w:color="auto"/>
        <w:right w:val="none" w:sz="0" w:space="0" w:color="auto"/>
      </w:divBdr>
    </w:div>
    <w:div w:id="217132873">
      <w:bodyDiv w:val="1"/>
      <w:marLeft w:val="0"/>
      <w:marRight w:val="0"/>
      <w:marTop w:val="0"/>
      <w:marBottom w:val="0"/>
      <w:divBdr>
        <w:top w:val="none" w:sz="0" w:space="0" w:color="auto"/>
        <w:left w:val="none" w:sz="0" w:space="0" w:color="auto"/>
        <w:bottom w:val="none" w:sz="0" w:space="0" w:color="auto"/>
        <w:right w:val="none" w:sz="0" w:space="0" w:color="auto"/>
      </w:divBdr>
    </w:div>
    <w:div w:id="217594273">
      <w:bodyDiv w:val="1"/>
      <w:marLeft w:val="0"/>
      <w:marRight w:val="0"/>
      <w:marTop w:val="0"/>
      <w:marBottom w:val="0"/>
      <w:divBdr>
        <w:top w:val="none" w:sz="0" w:space="0" w:color="auto"/>
        <w:left w:val="none" w:sz="0" w:space="0" w:color="auto"/>
        <w:bottom w:val="none" w:sz="0" w:space="0" w:color="auto"/>
        <w:right w:val="none" w:sz="0" w:space="0" w:color="auto"/>
      </w:divBdr>
    </w:div>
    <w:div w:id="318851799">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38140399">
      <w:bodyDiv w:val="1"/>
      <w:marLeft w:val="0"/>
      <w:marRight w:val="0"/>
      <w:marTop w:val="0"/>
      <w:marBottom w:val="0"/>
      <w:divBdr>
        <w:top w:val="none" w:sz="0" w:space="0" w:color="auto"/>
        <w:left w:val="none" w:sz="0" w:space="0" w:color="auto"/>
        <w:bottom w:val="none" w:sz="0" w:space="0" w:color="auto"/>
        <w:right w:val="none" w:sz="0" w:space="0" w:color="auto"/>
      </w:divBdr>
    </w:div>
    <w:div w:id="480461138">
      <w:bodyDiv w:val="1"/>
      <w:marLeft w:val="0"/>
      <w:marRight w:val="0"/>
      <w:marTop w:val="0"/>
      <w:marBottom w:val="0"/>
      <w:divBdr>
        <w:top w:val="none" w:sz="0" w:space="0" w:color="auto"/>
        <w:left w:val="none" w:sz="0" w:space="0" w:color="auto"/>
        <w:bottom w:val="none" w:sz="0" w:space="0" w:color="auto"/>
        <w:right w:val="none" w:sz="0" w:space="0" w:color="auto"/>
      </w:divBdr>
    </w:div>
    <w:div w:id="551579087">
      <w:bodyDiv w:val="1"/>
      <w:marLeft w:val="0"/>
      <w:marRight w:val="0"/>
      <w:marTop w:val="0"/>
      <w:marBottom w:val="0"/>
      <w:divBdr>
        <w:top w:val="none" w:sz="0" w:space="0" w:color="auto"/>
        <w:left w:val="none" w:sz="0" w:space="0" w:color="auto"/>
        <w:bottom w:val="none" w:sz="0" w:space="0" w:color="auto"/>
        <w:right w:val="none" w:sz="0" w:space="0" w:color="auto"/>
      </w:divBdr>
    </w:div>
    <w:div w:id="593167660">
      <w:bodyDiv w:val="1"/>
      <w:marLeft w:val="0"/>
      <w:marRight w:val="0"/>
      <w:marTop w:val="0"/>
      <w:marBottom w:val="0"/>
      <w:divBdr>
        <w:top w:val="none" w:sz="0" w:space="0" w:color="auto"/>
        <w:left w:val="none" w:sz="0" w:space="0" w:color="auto"/>
        <w:bottom w:val="none" w:sz="0" w:space="0" w:color="auto"/>
        <w:right w:val="none" w:sz="0" w:space="0" w:color="auto"/>
      </w:divBdr>
    </w:div>
    <w:div w:id="597715858">
      <w:bodyDiv w:val="1"/>
      <w:marLeft w:val="0"/>
      <w:marRight w:val="0"/>
      <w:marTop w:val="0"/>
      <w:marBottom w:val="0"/>
      <w:divBdr>
        <w:top w:val="none" w:sz="0" w:space="0" w:color="auto"/>
        <w:left w:val="none" w:sz="0" w:space="0" w:color="auto"/>
        <w:bottom w:val="none" w:sz="0" w:space="0" w:color="auto"/>
        <w:right w:val="none" w:sz="0" w:space="0" w:color="auto"/>
      </w:divBdr>
    </w:div>
    <w:div w:id="601495277">
      <w:bodyDiv w:val="1"/>
      <w:marLeft w:val="0"/>
      <w:marRight w:val="0"/>
      <w:marTop w:val="0"/>
      <w:marBottom w:val="0"/>
      <w:divBdr>
        <w:top w:val="none" w:sz="0" w:space="0" w:color="auto"/>
        <w:left w:val="none" w:sz="0" w:space="0" w:color="auto"/>
        <w:bottom w:val="none" w:sz="0" w:space="0" w:color="auto"/>
        <w:right w:val="none" w:sz="0" w:space="0" w:color="auto"/>
      </w:divBdr>
    </w:div>
    <w:div w:id="630669929">
      <w:bodyDiv w:val="1"/>
      <w:marLeft w:val="0"/>
      <w:marRight w:val="0"/>
      <w:marTop w:val="0"/>
      <w:marBottom w:val="0"/>
      <w:divBdr>
        <w:top w:val="none" w:sz="0" w:space="0" w:color="auto"/>
        <w:left w:val="none" w:sz="0" w:space="0" w:color="auto"/>
        <w:bottom w:val="none" w:sz="0" w:space="0" w:color="auto"/>
        <w:right w:val="none" w:sz="0" w:space="0" w:color="auto"/>
      </w:divBdr>
    </w:div>
    <w:div w:id="659188356">
      <w:bodyDiv w:val="1"/>
      <w:marLeft w:val="0"/>
      <w:marRight w:val="0"/>
      <w:marTop w:val="0"/>
      <w:marBottom w:val="0"/>
      <w:divBdr>
        <w:top w:val="none" w:sz="0" w:space="0" w:color="auto"/>
        <w:left w:val="none" w:sz="0" w:space="0" w:color="auto"/>
        <w:bottom w:val="none" w:sz="0" w:space="0" w:color="auto"/>
        <w:right w:val="none" w:sz="0" w:space="0" w:color="auto"/>
      </w:divBdr>
    </w:div>
    <w:div w:id="768545200">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871579870">
      <w:bodyDiv w:val="1"/>
      <w:marLeft w:val="0"/>
      <w:marRight w:val="0"/>
      <w:marTop w:val="0"/>
      <w:marBottom w:val="0"/>
      <w:divBdr>
        <w:top w:val="none" w:sz="0" w:space="0" w:color="auto"/>
        <w:left w:val="none" w:sz="0" w:space="0" w:color="auto"/>
        <w:bottom w:val="none" w:sz="0" w:space="0" w:color="auto"/>
        <w:right w:val="none" w:sz="0" w:space="0" w:color="auto"/>
      </w:divBdr>
    </w:div>
    <w:div w:id="878929130">
      <w:bodyDiv w:val="1"/>
      <w:marLeft w:val="0"/>
      <w:marRight w:val="0"/>
      <w:marTop w:val="0"/>
      <w:marBottom w:val="0"/>
      <w:divBdr>
        <w:top w:val="none" w:sz="0" w:space="0" w:color="auto"/>
        <w:left w:val="none" w:sz="0" w:space="0" w:color="auto"/>
        <w:bottom w:val="none" w:sz="0" w:space="0" w:color="auto"/>
        <w:right w:val="none" w:sz="0" w:space="0" w:color="auto"/>
      </w:divBdr>
    </w:div>
    <w:div w:id="903415886">
      <w:bodyDiv w:val="1"/>
      <w:marLeft w:val="0"/>
      <w:marRight w:val="0"/>
      <w:marTop w:val="0"/>
      <w:marBottom w:val="0"/>
      <w:divBdr>
        <w:top w:val="none" w:sz="0" w:space="0" w:color="auto"/>
        <w:left w:val="none" w:sz="0" w:space="0" w:color="auto"/>
        <w:bottom w:val="none" w:sz="0" w:space="0" w:color="auto"/>
        <w:right w:val="none" w:sz="0" w:space="0" w:color="auto"/>
      </w:divBdr>
    </w:div>
    <w:div w:id="1057631231">
      <w:bodyDiv w:val="1"/>
      <w:marLeft w:val="0"/>
      <w:marRight w:val="0"/>
      <w:marTop w:val="0"/>
      <w:marBottom w:val="0"/>
      <w:divBdr>
        <w:top w:val="none" w:sz="0" w:space="0" w:color="auto"/>
        <w:left w:val="none" w:sz="0" w:space="0" w:color="auto"/>
        <w:bottom w:val="none" w:sz="0" w:space="0" w:color="auto"/>
        <w:right w:val="none" w:sz="0" w:space="0" w:color="auto"/>
      </w:divBdr>
    </w:div>
    <w:div w:id="1077703723">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32404279">
      <w:bodyDiv w:val="1"/>
      <w:marLeft w:val="0"/>
      <w:marRight w:val="0"/>
      <w:marTop w:val="0"/>
      <w:marBottom w:val="0"/>
      <w:divBdr>
        <w:top w:val="none" w:sz="0" w:space="0" w:color="auto"/>
        <w:left w:val="none" w:sz="0" w:space="0" w:color="auto"/>
        <w:bottom w:val="none" w:sz="0" w:space="0" w:color="auto"/>
        <w:right w:val="none" w:sz="0" w:space="0" w:color="auto"/>
      </w:divBdr>
    </w:div>
    <w:div w:id="1164321420">
      <w:bodyDiv w:val="1"/>
      <w:marLeft w:val="0"/>
      <w:marRight w:val="0"/>
      <w:marTop w:val="0"/>
      <w:marBottom w:val="0"/>
      <w:divBdr>
        <w:top w:val="none" w:sz="0" w:space="0" w:color="auto"/>
        <w:left w:val="none" w:sz="0" w:space="0" w:color="auto"/>
        <w:bottom w:val="none" w:sz="0" w:space="0" w:color="auto"/>
        <w:right w:val="none" w:sz="0" w:space="0" w:color="auto"/>
      </w:divBdr>
    </w:div>
    <w:div w:id="1241283646">
      <w:bodyDiv w:val="1"/>
      <w:marLeft w:val="0"/>
      <w:marRight w:val="0"/>
      <w:marTop w:val="0"/>
      <w:marBottom w:val="0"/>
      <w:divBdr>
        <w:top w:val="none" w:sz="0" w:space="0" w:color="auto"/>
        <w:left w:val="none" w:sz="0" w:space="0" w:color="auto"/>
        <w:bottom w:val="none" w:sz="0" w:space="0" w:color="auto"/>
        <w:right w:val="none" w:sz="0" w:space="0" w:color="auto"/>
      </w:divBdr>
    </w:div>
    <w:div w:id="1257054235">
      <w:bodyDiv w:val="1"/>
      <w:marLeft w:val="0"/>
      <w:marRight w:val="0"/>
      <w:marTop w:val="0"/>
      <w:marBottom w:val="0"/>
      <w:divBdr>
        <w:top w:val="none" w:sz="0" w:space="0" w:color="auto"/>
        <w:left w:val="none" w:sz="0" w:space="0" w:color="auto"/>
        <w:bottom w:val="none" w:sz="0" w:space="0" w:color="auto"/>
        <w:right w:val="none" w:sz="0" w:space="0" w:color="auto"/>
      </w:divBdr>
    </w:div>
    <w:div w:id="1283804053">
      <w:bodyDiv w:val="1"/>
      <w:marLeft w:val="0"/>
      <w:marRight w:val="0"/>
      <w:marTop w:val="0"/>
      <w:marBottom w:val="0"/>
      <w:divBdr>
        <w:top w:val="none" w:sz="0" w:space="0" w:color="auto"/>
        <w:left w:val="none" w:sz="0" w:space="0" w:color="auto"/>
        <w:bottom w:val="none" w:sz="0" w:space="0" w:color="auto"/>
        <w:right w:val="none" w:sz="0" w:space="0" w:color="auto"/>
      </w:divBdr>
    </w:div>
    <w:div w:id="1285381644">
      <w:bodyDiv w:val="1"/>
      <w:marLeft w:val="0"/>
      <w:marRight w:val="0"/>
      <w:marTop w:val="0"/>
      <w:marBottom w:val="0"/>
      <w:divBdr>
        <w:top w:val="none" w:sz="0" w:space="0" w:color="auto"/>
        <w:left w:val="none" w:sz="0" w:space="0" w:color="auto"/>
        <w:bottom w:val="none" w:sz="0" w:space="0" w:color="auto"/>
        <w:right w:val="none" w:sz="0" w:space="0" w:color="auto"/>
      </w:divBdr>
    </w:div>
    <w:div w:id="1332221925">
      <w:bodyDiv w:val="1"/>
      <w:marLeft w:val="0"/>
      <w:marRight w:val="0"/>
      <w:marTop w:val="0"/>
      <w:marBottom w:val="0"/>
      <w:divBdr>
        <w:top w:val="none" w:sz="0" w:space="0" w:color="auto"/>
        <w:left w:val="none" w:sz="0" w:space="0" w:color="auto"/>
        <w:bottom w:val="none" w:sz="0" w:space="0" w:color="auto"/>
        <w:right w:val="none" w:sz="0" w:space="0" w:color="auto"/>
      </w:divBdr>
    </w:div>
    <w:div w:id="1338659001">
      <w:bodyDiv w:val="1"/>
      <w:marLeft w:val="0"/>
      <w:marRight w:val="0"/>
      <w:marTop w:val="0"/>
      <w:marBottom w:val="0"/>
      <w:divBdr>
        <w:top w:val="none" w:sz="0" w:space="0" w:color="auto"/>
        <w:left w:val="none" w:sz="0" w:space="0" w:color="auto"/>
        <w:bottom w:val="none" w:sz="0" w:space="0" w:color="auto"/>
        <w:right w:val="none" w:sz="0" w:space="0" w:color="auto"/>
      </w:divBdr>
    </w:div>
    <w:div w:id="1372993851">
      <w:bodyDiv w:val="1"/>
      <w:marLeft w:val="0"/>
      <w:marRight w:val="0"/>
      <w:marTop w:val="0"/>
      <w:marBottom w:val="0"/>
      <w:divBdr>
        <w:top w:val="none" w:sz="0" w:space="0" w:color="auto"/>
        <w:left w:val="none" w:sz="0" w:space="0" w:color="auto"/>
        <w:bottom w:val="none" w:sz="0" w:space="0" w:color="auto"/>
        <w:right w:val="none" w:sz="0" w:space="0" w:color="auto"/>
      </w:divBdr>
    </w:div>
    <w:div w:id="1375077454">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55832983">
      <w:bodyDiv w:val="1"/>
      <w:marLeft w:val="0"/>
      <w:marRight w:val="0"/>
      <w:marTop w:val="0"/>
      <w:marBottom w:val="0"/>
      <w:divBdr>
        <w:top w:val="none" w:sz="0" w:space="0" w:color="auto"/>
        <w:left w:val="none" w:sz="0" w:space="0" w:color="auto"/>
        <w:bottom w:val="none" w:sz="0" w:space="0" w:color="auto"/>
        <w:right w:val="none" w:sz="0" w:space="0" w:color="auto"/>
      </w:divBdr>
    </w:div>
    <w:div w:id="1468864309">
      <w:bodyDiv w:val="1"/>
      <w:marLeft w:val="0"/>
      <w:marRight w:val="0"/>
      <w:marTop w:val="0"/>
      <w:marBottom w:val="0"/>
      <w:divBdr>
        <w:top w:val="none" w:sz="0" w:space="0" w:color="auto"/>
        <w:left w:val="none" w:sz="0" w:space="0" w:color="auto"/>
        <w:bottom w:val="none" w:sz="0" w:space="0" w:color="auto"/>
        <w:right w:val="none" w:sz="0" w:space="0" w:color="auto"/>
      </w:divBdr>
    </w:div>
    <w:div w:id="1544949312">
      <w:bodyDiv w:val="1"/>
      <w:marLeft w:val="0"/>
      <w:marRight w:val="0"/>
      <w:marTop w:val="0"/>
      <w:marBottom w:val="0"/>
      <w:divBdr>
        <w:top w:val="none" w:sz="0" w:space="0" w:color="auto"/>
        <w:left w:val="none" w:sz="0" w:space="0" w:color="auto"/>
        <w:bottom w:val="none" w:sz="0" w:space="0" w:color="auto"/>
        <w:right w:val="none" w:sz="0" w:space="0" w:color="auto"/>
      </w:divBdr>
    </w:div>
    <w:div w:id="1566645333">
      <w:bodyDiv w:val="1"/>
      <w:marLeft w:val="0"/>
      <w:marRight w:val="0"/>
      <w:marTop w:val="0"/>
      <w:marBottom w:val="0"/>
      <w:divBdr>
        <w:top w:val="none" w:sz="0" w:space="0" w:color="auto"/>
        <w:left w:val="none" w:sz="0" w:space="0" w:color="auto"/>
        <w:bottom w:val="none" w:sz="0" w:space="0" w:color="auto"/>
        <w:right w:val="none" w:sz="0" w:space="0" w:color="auto"/>
      </w:divBdr>
    </w:div>
    <w:div w:id="1579483388">
      <w:bodyDiv w:val="1"/>
      <w:marLeft w:val="0"/>
      <w:marRight w:val="0"/>
      <w:marTop w:val="0"/>
      <w:marBottom w:val="0"/>
      <w:divBdr>
        <w:top w:val="none" w:sz="0" w:space="0" w:color="auto"/>
        <w:left w:val="none" w:sz="0" w:space="0" w:color="auto"/>
        <w:bottom w:val="none" w:sz="0" w:space="0" w:color="auto"/>
        <w:right w:val="none" w:sz="0" w:space="0" w:color="auto"/>
      </w:divBdr>
    </w:div>
    <w:div w:id="1621454365">
      <w:bodyDiv w:val="1"/>
      <w:marLeft w:val="0"/>
      <w:marRight w:val="0"/>
      <w:marTop w:val="0"/>
      <w:marBottom w:val="0"/>
      <w:divBdr>
        <w:top w:val="none" w:sz="0" w:space="0" w:color="auto"/>
        <w:left w:val="none" w:sz="0" w:space="0" w:color="auto"/>
        <w:bottom w:val="none" w:sz="0" w:space="0" w:color="auto"/>
        <w:right w:val="none" w:sz="0" w:space="0" w:color="auto"/>
      </w:divBdr>
    </w:div>
    <w:div w:id="1644584677">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70863125">
      <w:bodyDiv w:val="1"/>
      <w:marLeft w:val="0"/>
      <w:marRight w:val="0"/>
      <w:marTop w:val="0"/>
      <w:marBottom w:val="0"/>
      <w:divBdr>
        <w:top w:val="none" w:sz="0" w:space="0" w:color="auto"/>
        <w:left w:val="none" w:sz="0" w:space="0" w:color="auto"/>
        <w:bottom w:val="none" w:sz="0" w:space="0" w:color="auto"/>
        <w:right w:val="none" w:sz="0" w:space="0" w:color="auto"/>
      </w:divBdr>
    </w:div>
    <w:div w:id="1675840590">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853764029">
      <w:bodyDiv w:val="1"/>
      <w:marLeft w:val="0"/>
      <w:marRight w:val="0"/>
      <w:marTop w:val="0"/>
      <w:marBottom w:val="0"/>
      <w:divBdr>
        <w:top w:val="none" w:sz="0" w:space="0" w:color="auto"/>
        <w:left w:val="none" w:sz="0" w:space="0" w:color="auto"/>
        <w:bottom w:val="none" w:sz="0" w:space="0" w:color="auto"/>
        <w:right w:val="none" w:sz="0" w:space="0" w:color="auto"/>
      </w:divBdr>
    </w:div>
    <w:div w:id="1876236493">
      <w:bodyDiv w:val="1"/>
      <w:marLeft w:val="0"/>
      <w:marRight w:val="0"/>
      <w:marTop w:val="0"/>
      <w:marBottom w:val="0"/>
      <w:divBdr>
        <w:top w:val="none" w:sz="0" w:space="0" w:color="auto"/>
        <w:left w:val="none" w:sz="0" w:space="0" w:color="auto"/>
        <w:bottom w:val="none" w:sz="0" w:space="0" w:color="auto"/>
        <w:right w:val="none" w:sz="0" w:space="0" w:color="auto"/>
      </w:divBdr>
    </w:div>
    <w:div w:id="1948272336">
      <w:bodyDiv w:val="1"/>
      <w:marLeft w:val="0"/>
      <w:marRight w:val="0"/>
      <w:marTop w:val="0"/>
      <w:marBottom w:val="0"/>
      <w:divBdr>
        <w:top w:val="none" w:sz="0" w:space="0" w:color="auto"/>
        <w:left w:val="none" w:sz="0" w:space="0" w:color="auto"/>
        <w:bottom w:val="none" w:sz="0" w:space="0" w:color="auto"/>
        <w:right w:val="none" w:sz="0" w:space="0" w:color="auto"/>
      </w:divBdr>
    </w:div>
    <w:div w:id="1950773980">
      <w:bodyDiv w:val="1"/>
      <w:marLeft w:val="0"/>
      <w:marRight w:val="0"/>
      <w:marTop w:val="0"/>
      <w:marBottom w:val="0"/>
      <w:divBdr>
        <w:top w:val="none" w:sz="0" w:space="0" w:color="auto"/>
        <w:left w:val="none" w:sz="0" w:space="0" w:color="auto"/>
        <w:bottom w:val="none" w:sz="0" w:space="0" w:color="auto"/>
        <w:right w:val="none" w:sz="0" w:space="0" w:color="auto"/>
      </w:divBdr>
    </w:div>
    <w:div w:id="1999454106">
      <w:bodyDiv w:val="1"/>
      <w:marLeft w:val="0"/>
      <w:marRight w:val="0"/>
      <w:marTop w:val="0"/>
      <w:marBottom w:val="0"/>
      <w:divBdr>
        <w:top w:val="none" w:sz="0" w:space="0" w:color="auto"/>
        <w:left w:val="none" w:sz="0" w:space="0" w:color="auto"/>
        <w:bottom w:val="none" w:sz="0" w:space="0" w:color="auto"/>
        <w:right w:val="none" w:sz="0" w:space="0" w:color="auto"/>
      </w:divBdr>
    </w:div>
    <w:div w:id="2060005948">
      <w:bodyDiv w:val="1"/>
      <w:marLeft w:val="0"/>
      <w:marRight w:val="0"/>
      <w:marTop w:val="0"/>
      <w:marBottom w:val="0"/>
      <w:divBdr>
        <w:top w:val="none" w:sz="0" w:space="0" w:color="auto"/>
        <w:left w:val="none" w:sz="0" w:space="0" w:color="auto"/>
        <w:bottom w:val="none" w:sz="0" w:space="0" w:color="auto"/>
        <w:right w:val="none" w:sz="0" w:space="0" w:color="auto"/>
      </w:divBdr>
    </w:div>
    <w:div w:id="208013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A6B8D-A2C4-46DD-9CD9-4190AB931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Template>
  <TotalTime>0</TotalTime>
  <Pages>9</Pages>
  <Words>2791</Words>
  <Characters>16809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19561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MalloyS@C-IV.org</dc:creator>
  <cp:lastModifiedBy>Cari L. Garcia</cp:lastModifiedBy>
  <cp:revision>3</cp:revision>
  <cp:lastPrinted>2018-03-30T18:52:00Z</cp:lastPrinted>
  <dcterms:created xsi:type="dcterms:W3CDTF">2018-04-18T21:52:00Z</dcterms:created>
  <dcterms:modified xsi:type="dcterms:W3CDTF">2018-04-18T21:52:00Z</dcterms:modified>
  <cp:category>Change Order</cp:category>
</cp:coreProperties>
</file>