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95" w:type="dxa"/>
        <w:jc w:val="center"/>
        <w:tblLayout w:type="fixed"/>
        <w:tblLook w:val="04A0" w:firstRow="1" w:lastRow="0" w:firstColumn="1" w:lastColumn="0" w:noHBand="0" w:noVBand="1"/>
      </w:tblPr>
      <w:tblGrid>
        <w:gridCol w:w="625"/>
        <w:gridCol w:w="1440"/>
        <w:gridCol w:w="8730"/>
      </w:tblGrid>
      <w:tr w:rsidR="00397A4F" w:rsidRPr="0023730E" w14:paraId="36CE1CE0" w14:textId="77777777" w:rsidTr="004F0830">
        <w:trPr>
          <w:trHeight w:val="144"/>
          <w:jc w:val="center"/>
        </w:trPr>
        <w:tc>
          <w:tcPr>
            <w:tcW w:w="625" w:type="dxa"/>
            <w:shd w:val="clear" w:color="auto" w:fill="1F497D" w:themeFill="text2"/>
          </w:tcPr>
          <w:p w14:paraId="0C058877" w14:textId="77777777" w:rsidR="00271F9F" w:rsidRPr="0023730E" w:rsidRDefault="00271F9F" w:rsidP="00A00991">
            <w:pPr>
              <w:widowControl w:val="0"/>
              <w:ind w:right="-374"/>
              <w:rPr>
                <w:rFonts w:cs="Arial"/>
                <w:b/>
                <w:color w:val="FFFFFF" w:themeColor="background1"/>
                <w:sz w:val="20"/>
              </w:rPr>
            </w:pPr>
            <w:r w:rsidRPr="0023730E">
              <w:rPr>
                <w:rFonts w:cs="Arial"/>
                <w:b/>
                <w:color w:val="FFFFFF" w:themeColor="background1"/>
                <w:sz w:val="20"/>
              </w:rPr>
              <w:t>#</w:t>
            </w:r>
          </w:p>
        </w:tc>
        <w:tc>
          <w:tcPr>
            <w:tcW w:w="1440" w:type="dxa"/>
            <w:shd w:val="clear" w:color="auto" w:fill="1F497D" w:themeFill="text2"/>
          </w:tcPr>
          <w:p w14:paraId="4B50EBFC" w14:textId="77777777" w:rsidR="00271F9F" w:rsidRPr="009C1871" w:rsidRDefault="00271F9F" w:rsidP="00D9028D">
            <w:pPr>
              <w:rPr>
                <w:rFonts w:cs="Arial"/>
                <w:b/>
                <w:color w:val="FFFFFF" w:themeColor="background1"/>
                <w:sz w:val="18"/>
              </w:rPr>
            </w:pPr>
            <w:r w:rsidRPr="009C1871">
              <w:rPr>
                <w:rFonts w:cs="Arial"/>
                <w:b/>
                <w:color w:val="FFFFFF" w:themeColor="background1"/>
                <w:sz w:val="18"/>
              </w:rPr>
              <w:t>Type of Item</w:t>
            </w:r>
          </w:p>
        </w:tc>
        <w:tc>
          <w:tcPr>
            <w:tcW w:w="8730" w:type="dxa"/>
            <w:shd w:val="clear" w:color="auto" w:fill="1F497D" w:themeFill="text2"/>
          </w:tcPr>
          <w:p w14:paraId="7A7A0992" w14:textId="77777777" w:rsidR="00271F9F" w:rsidRPr="009C1871" w:rsidRDefault="00271F9F" w:rsidP="003458BF">
            <w:pPr>
              <w:jc w:val="center"/>
              <w:rPr>
                <w:rFonts w:cs="Arial"/>
                <w:b/>
                <w:color w:val="FFFFFF" w:themeColor="background1"/>
                <w:sz w:val="18"/>
              </w:rPr>
            </w:pPr>
            <w:r w:rsidRPr="009C1871">
              <w:rPr>
                <w:rFonts w:cs="Arial"/>
                <w:b/>
                <w:color w:val="FFFFFF" w:themeColor="background1"/>
                <w:sz w:val="18"/>
              </w:rPr>
              <w:t>Agenda Item/Summary</w:t>
            </w:r>
          </w:p>
        </w:tc>
      </w:tr>
      <w:tr w:rsidR="00620F1A" w:rsidRPr="00A65C7D" w14:paraId="312E40B3" w14:textId="77777777" w:rsidTr="004F0830">
        <w:trPr>
          <w:trHeight w:val="584"/>
          <w:jc w:val="center"/>
        </w:trPr>
        <w:tc>
          <w:tcPr>
            <w:tcW w:w="625" w:type="dxa"/>
          </w:tcPr>
          <w:p w14:paraId="1C369A83" w14:textId="77777777" w:rsidR="00D9028D" w:rsidRPr="00A65C7D" w:rsidRDefault="00D9028D" w:rsidP="00A00991">
            <w:pPr>
              <w:numPr>
                <w:ilvl w:val="0"/>
                <w:numId w:val="1"/>
              </w:numPr>
              <w:ind w:left="0" w:right="-210" w:firstLine="0"/>
              <w:rPr>
                <w:rFonts w:cs="Arial"/>
                <w:sz w:val="20"/>
              </w:rPr>
            </w:pPr>
          </w:p>
        </w:tc>
        <w:tc>
          <w:tcPr>
            <w:tcW w:w="1440" w:type="dxa"/>
          </w:tcPr>
          <w:p w14:paraId="75D264F6" w14:textId="77777777" w:rsidR="00D9028D" w:rsidRPr="00E40629" w:rsidRDefault="00D9028D" w:rsidP="00D9028D">
            <w:pPr>
              <w:rPr>
                <w:rFonts w:cs="Arial"/>
                <w:sz w:val="20"/>
                <w:szCs w:val="20"/>
              </w:rPr>
            </w:pPr>
            <w:r w:rsidRPr="00E40629">
              <w:rPr>
                <w:rFonts w:cs="Arial"/>
                <w:sz w:val="20"/>
                <w:szCs w:val="20"/>
              </w:rPr>
              <w:t>Procedural</w:t>
            </w:r>
          </w:p>
        </w:tc>
        <w:tc>
          <w:tcPr>
            <w:tcW w:w="8730" w:type="dxa"/>
          </w:tcPr>
          <w:p w14:paraId="23781540" w14:textId="77777777" w:rsidR="00E1589D" w:rsidRPr="00E40629" w:rsidRDefault="00E1589D" w:rsidP="00E1589D">
            <w:pPr>
              <w:rPr>
                <w:rStyle w:val="Strong"/>
                <w:rFonts w:cs="Arial"/>
                <w:sz w:val="20"/>
                <w:szCs w:val="20"/>
              </w:rPr>
            </w:pPr>
            <w:r w:rsidRPr="00E40629">
              <w:rPr>
                <w:rStyle w:val="Strong"/>
                <w:rFonts w:cs="Arial"/>
                <w:sz w:val="20"/>
                <w:szCs w:val="20"/>
              </w:rPr>
              <w:t>Call Meeting to Order</w:t>
            </w:r>
          </w:p>
          <w:p w14:paraId="50D3F0AC" w14:textId="77777777" w:rsidR="00E1589D" w:rsidRPr="00555D62" w:rsidRDefault="00E1589D" w:rsidP="00E1589D">
            <w:pPr>
              <w:rPr>
                <w:rStyle w:val="Strong"/>
                <w:rFonts w:cs="Arial"/>
                <w:sz w:val="14"/>
                <w:szCs w:val="20"/>
              </w:rPr>
            </w:pPr>
          </w:p>
          <w:p w14:paraId="6DC4C7B4" w14:textId="77777777" w:rsidR="00E40629" w:rsidRPr="009C1871" w:rsidRDefault="00E1589D" w:rsidP="00D9028D">
            <w:pPr>
              <w:rPr>
                <w:rStyle w:val="Strong"/>
                <w:b w:val="0"/>
                <w:bCs w:val="0"/>
                <w:sz w:val="20"/>
                <w:szCs w:val="20"/>
              </w:rPr>
            </w:pPr>
            <w:r w:rsidRPr="00E40629">
              <w:rPr>
                <w:rStyle w:val="Strong"/>
                <w:sz w:val="20"/>
                <w:szCs w:val="20"/>
              </w:rPr>
              <w:t xml:space="preserve">Summary: </w:t>
            </w:r>
            <w:r w:rsidR="00D1507D">
              <w:rPr>
                <w:sz w:val="20"/>
                <w:szCs w:val="20"/>
              </w:rPr>
              <w:t>CalACES</w:t>
            </w:r>
            <w:r w:rsidR="00162C4A">
              <w:rPr>
                <w:sz w:val="20"/>
                <w:szCs w:val="20"/>
              </w:rPr>
              <w:t xml:space="preserve"> Board Chair, Antonia Jimenez</w:t>
            </w:r>
            <w:r w:rsidR="00510226">
              <w:rPr>
                <w:sz w:val="20"/>
                <w:szCs w:val="20"/>
              </w:rPr>
              <w:t>, will call the meeting</w:t>
            </w:r>
            <w:r w:rsidRPr="00E40629">
              <w:rPr>
                <w:sz w:val="20"/>
                <w:szCs w:val="20"/>
              </w:rPr>
              <w:t xml:space="preserve"> to order.</w:t>
            </w:r>
          </w:p>
        </w:tc>
      </w:tr>
      <w:tr w:rsidR="00620F1A" w:rsidRPr="00A65C7D" w14:paraId="1C3A75F7" w14:textId="77777777" w:rsidTr="004F0830">
        <w:trPr>
          <w:trHeight w:val="485"/>
          <w:jc w:val="center"/>
        </w:trPr>
        <w:tc>
          <w:tcPr>
            <w:tcW w:w="625" w:type="dxa"/>
          </w:tcPr>
          <w:p w14:paraId="5674D3B0" w14:textId="77777777" w:rsidR="00D9028D" w:rsidRPr="00A65C7D" w:rsidRDefault="00D9028D" w:rsidP="00A00991">
            <w:pPr>
              <w:numPr>
                <w:ilvl w:val="0"/>
                <w:numId w:val="1"/>
              </w:numPr>
              <w:ind w:left="0" w:firstLine="0"/>
              <w:rPr>
                <w:rFonts w:cs="Arial"/>
                <w:sz w:val="20"/>
              </w:rPr>
            </w:pPr>
          </w:p>
        </w:tc>
        <w:tc>
          <w:tcPr>
            <w:tcW w:w="1440" w:type="dxa"/>
          </w:tcPr>
          <w:p w14:paraId="5AE9FDC6" w14:textId="77777777" w:rsidR="00D9028D" w:rsidRDefault="00D9028D" w:rsidP="00D9028D">
            <w:pPr>
              <w:rPr>
                <w:rFonts w:cs="Arial"/>
                <w:sz w:val="20"/>
              </w:rPr>
            </w:pPr>
            <w:r>
              <w:rPr>
                <w:rFonts w:cs="Arial"/>
                <w:sz w:val="20"/>
              </w:rPr>
              <w:t>Procedural</w:t>
            </w:r>
          </w:p>
        </w:tc>
        <w:tc>
          <w:tcPr>
            <w:tcW w:w="8730" w:type="dxa"/>
          </w:tcPr>
          <w:p w14:paraId="5DB971EA" w14:textId="77777777" w:rsidR="00D9028D" w:rsidRDefault="00D9028D" w:rsidP="00D9028D">
            <w:pPr>
              <w:rPr>
                <w:rStyle w:val="Strong"/>
                <w:rFonts w:cs="Arial"/>
                <w:sz w:val="20"/>
              </w:rPr>
            </w:pPr>
            <w:r>
              <w:rPr>
                <w:rStyle w:val="Strong"/>
                <w:rFonts w:cs="Arial"/>
                <w:sz w:val="20"/>
              </w:rPr>
              <w:t>Public opportunity to speak on items not on the Agenda</w:t>
            </w:r>
          </w:p>
          <w:p w14:paraId="2E5407CF" w14:textId="77777777" w:rsidR="00E40629" w:rsidRPr="00555D62" w:rsidRDefault="00E40629" w:rsidP="00D9028D">
            <w:pPr>
              <w:rPr>
                <w:rStyle w:val="Strong"/>
                <w:rFonts w:cs="Arial"/>
                <w:sz w:val="14"/>
              </w:rPr>
            </w:pPr>
          </w:p>
          <w:p w14:paraId="68BC55F5" w14:textId="77777777" w:rsidR="00E40629" w:rsidRPr="009C1871" w:rsidRDefault="00E40629" w:rsidP="00D9028D">
            <w:pPr>
              <w:rPr>
                <w:rStyle w:val="Strong"/>
                <w:rFonts w:cs="Arial"/>
                <w:b w:val="0"/>
                <w:sz w:val="20"/>
              </w:rPr>
            </w:pPr>
            <w:r w:rsidRPr="00E40629">
              <w:rPr>
                <w:rStyle w:val="Strong"/>
                <w:rFonts w:cs="Arial"/>
                <w:sz w:val="20"/>
              </w:rPr>
              <w:t xml:space="preserve">Summary: </w:t>
            </w:r>
            <w:r w:rsidR="00162C4A">
              <w:rPr>
                <w:rStyle w:val="Strong"/>
                <w:rFonts w:cs="Arial"/>
                <w:b w:val="0"/>
                <w:sz w:val="20"/>
              </w:rPr>
              <w:t>Antonia Jimenez</w:t>
            </w:r>
            <w:r w:rsidRPr="00E40629">
              <w:rPr>
                <w:rStyle w:val="Strong"/>
                <w:rFonts w:cs="Arial"/>
                <w:b w:val="0"/>
                <w:sz w:val="20"/>
              </w:rPr>
              <w:t xml:space="preserve"> will provide the Public with an opportunity to speak on items not on the agenda.</w:t>
            </w:r>
          </w:p>
        </w:tc>
      </w:tr>
      <w:tr w:rsidR="00397A4F" w:rsidRPr="0023730E" w14:paraId="03676D6A" w14:textId="77777777" w:rsidTr="004F0830">
        <w:trPr>
          <w:trHeight w:val="144"/>
          <w:jc w:val="center"/>
        </w:trPr>
        <w:tc>
          <w:tcPr>
            <w:tcW w:w="625" w:type="dxa"/>
            <w:shd w:val="clear" w:color="auto" w:fill="1F497D" w:themeFill="text2"/>
          </w:tcPr>
          <w:p w14:paraId="09CC5608" w14:textId="77777777" w:rsidR="003458BF" w:rsidRPr="0023730E" w:rsidRDefault="003458BF" w:rsidP="00A00991">
            <w:pPr>
              <w:rPr>
                <w:rFonts w:cs="Arial"/>
                <w:b/>
                <w:color w:val="FFFFFF" w:themeColor="background1"/>
                <w:sz w:val="20"/>
              </w:rPr>
            </w:pPr>
          </w:p>
        </w:tc>
        <w:tc>
          <w:tcPr>
            <w:tcW w:w="1440" w:type="dxa"/>
            <w:shd w:val="clear" w:color="auto" w:fill="1F497D" w:themeFill="text2"/>
          </w:tcPr>
          <w:p w14:paraId="7F0D2773" w14:textId="77777777" w:rsidR="003458BF" w:rsidRPr="0023730E" w:rsidRDefault="003458BF" w:rsidP="00A43C9F">
            <w:pPr>
              <w:rPr>
                <w:rFonts w:cs="Arial"/>
                <w:b/>
                <w:color w:val="FFFFFF" w:themeColor="background1"/>
                <w:sz w:val="20"/>
              </w:rPr>
            </w:pPr>
          </w:p>
        </w:tc>
        <w:tc>
          <w:tcPr>
            <w:tcW w:w="8730" w:type="dxa"/>
            <w:shd w:val="clear" w:color="auto" w:fill="1F497D" w:themeFill="text2"/>
          </w:tcPr>
          <w:p w14:paraId="36AF6FF9" w14:textId="77777777" w:rsidR="003458BF" w:rsidRPr="009C1871" w:rsidRDefault="003458BF" w:rsidP="00A43C9F">
            <w:pPr>
              <w:jc w:val="center"/>
              <w:rPr>
                <w:rFonts w:cs="Arial"/>
                <w:b/>
                <w:color w:val="FFFFFF" w:themeColor="background1"/>
                <w:sz w:val="18"/>
              </w:rPr>
            </w:pPr>
            <w:r w:rsidRPr="009C1871">
              <w:rPr>
                <w:rFonts w:cs="Arial"/>
                <w:b/>
                <w:color w:val="FFFFFF" w:themeColor="background1"/>
                <w:sz w:val="18"/>
              </w:rPr>
              <w:t>JPA Board Action Items</w:t>
            </w:r>
          </w:p>
        </w:tc>
      </w:tr>
      <w:tr w:rsidR="00620F1A" w:rsidRPr="00A65C7D" w14:paraId="56E337DD" w14:textId="77777777" w:rsidTr="004F0830">
        <w:trPr>
          <w:trHeight w:val="1340"/>
          <w:jc w:val="center"/>
        </w:trPr>
        <w:tc>
          <w:tcPr>
            <w:tcW w:w="625" w:type="dxa"/>
          </w:tcPr>
          <w:p w14:paraId="31DD39B3" w14:textId="77777777" w:rsidR="00EA4117" w:rsidRPr="00A65C7D" w:rsidRDefault="00EA4117" w:rsidP="00A00991">
            <w:pPr>
              <w:numPr>
                <w:ilvl w:val="0"/>
                <w:numId w:val="1"/>
              </w:numPr>
              <w:ind w:left="0" w:firstLine="0"/>
              <w:rPr>
                <w:rFonts w:cs="Arial"/>
                <w:sz w:val="20"/>
              </w:rPr>
            </w:pPr>
          </w:p>
        </w:tc>
        <w:tc>
          <w:tcPr>
            <w:tcW w:w="1440" w:type="dxa"/>
          </w:tcPr>
          <w:p w14:paraId="0EFB58BA" w14:textId="77777777" w:rsidR="00EA4117" w:rsidRDefault="00EA4117" w:rsidP="00D9028D">
            <w:pPr>
              <w:rPr>
                <w:rFonts w:cs="Arial"/>
                <w:sz w:val="20"/>
              </w:rPr>
            </w:pPr>
            <w:r>
              <w:rPr>
                <w:rFonts w:cs="Arial"/>
                <w:sz w:val="20"/>
              </w:rPr>
              <w:t>Action</w:t>
            </w:r>
          </w:p>
        </w:tc>
        <w:tc>
          <w:tcPr>
            <w:tcW w:w="8730" w:type="dxa"/>
          </w:tcPr>
          <w:p w14:paraId="5B87A319" w14:textId="77777777" w:rsidR="00A6142F" w:rsidRDefault="00C8533A" w:rsidP="00EA4117">
            <w:pPr>
              <w:rPr>
                <w:rStyle w:val="Strong"/>
                <w:rFonts w:cs="Arial"/>
                <w:sz w:val="20"/>
              </w:rPr>
            </w:pPr>
            <w:r>
              <w:rPr>
                <w:rStyle w:val="Strong"/>
                <w:rFonts w:cs="Arial"/>
                <w:sz w:val="20"/>
              </w:rPr>
              <w:t xml:space="preserve">Approve the </w:t>
            </w:r>
            <w:r w:rsidR="00CB4F23">
              <w:rPr>
                <w:rStyle w:val="Strong"/>
                <w:rFonts w:cs="Arial"/>
                <w:sz w:val="20"/>
              </w:rPr>
              <w:t>Minutes</w:t>
            </w:r>
            <w:r w:rsidR="00355E0B">
              <w:rPr>
                <w:rStyle w:val="Strong"/>
                <w:rFonts w:cs="Arial"/>
                <w:sz w:val="20"/>
              </w:rPr>
              <w:t xml:space="preserve"> of the August</w:t>
            </w:r>
            <w:r w:rsidR="00EA4117">
              <w:rPr>
                <w:rStyle w:val="Strong"/>
                <w:rFonts w:cs="Arial"/>
                <w:sz w:val="20"/>
              </w:rPr>
              <w:t xml:space="preserve"> </w:t>
            </w:r>
            <w:r w:rsidR="003458BF">
              <w:rPr>
                <w:rStyle w:val="Strong"/>
                <w:rFonts w:cs="Arial"/>
                <w:sz w:val="20"/>
              </w:rPr>
              <w:t>2</w:t>
            </w:r>
            <w:r w:rsidR="00355E0B">
              <w:rPr>
                <w:rStyle w:val="Strong"/>
                <w:rFonts w:cs="Arial"/>
                <w:sz w:val="20"/>
              </w:rPr>
              <w:t>3</w:t>
            </w:r>
            <w:r w:rsidR="00EA4117">
              <w:rPr>
                <w:rStyle w:val="Strong"/>
                <w:rFonts w:cs="Arial"/>
                <w:sz w:val="20"/>
              </w:rPr>
              <w:t>, 201</w:t>
            </w:r>
            <w:r w:rsidR="00E1589D">
              <w:rPr>
                <w:rStyle w:val="Strong"/>
                <w:rFonts w:cs="Arial"/>
                <w:sz w:val="20"/>
              </w:rPr>
              <w:t>8</w:t>
            </w:r>
            <w:r w:rsidR="00EA4117">
              <w:rPr>
                <w:rStyle w:val="Strong"/>
                <w:rFonts w:cs="Arial"/>
                <w:sz w:val="20"/>
              </w:rPr>
              <w:t xml:space="preserve"> </w:t>
            </w:r>
            <w:r w:rsidR="00983D35">
              <w:rPr>
                <w:rStyle w:val="Strong"/>
                <w:rFonts w:cs="Arial"/>
                <w:sz w:val="20"/>
              </w:rPr>
              <w:t xml:space="preserve">CalACES </w:t>
            </w:r>
            <w:r w:rsidR="00162C4A" w:rsidRPr="00162C4A">
              <w:rPr>
                <w:rFonts w:cs="Arial"/>
                <w:b/>
                <w:bCs/>
                <w:sz w:val="20"/>
              </w:rPr>
              <w:t xml:space="preserve">JPA Board of Directors </w:t>
            </w:r>
            <w:r w:rsidR="00BE5D86">
              <w:rPr>
                <w:rFonts w:cs="Arial"/>
                <w:b/>
                <w:bCs/>
                <w:sz w:val="20"/>
              </w:rPr>
              <w:t xml:space="preserve">and </w:t>
            </w:r>
            <w:r w:rsidR="00162C4A" w:rsidRPr="00162C4A">
              <w:rPr>
                <w:rFonts w:cs="Arial"/>
                <w:b/>
                <w:bCs/>
                <w:sz w:val="20"/>
              </w:rPr>
              <w:t>update of Action Items</w:t>
            </w:r>
          </w:p>
          <w:p w14:paraId="7D88D384" w14:textId="77777777" w:rsidR="00C8533A" w:rsidRPr="00555D62" w:rsidRDefault="00C8533A" w:rsidP="00EA4117">
            <w:pPr>
              <w:rPr>
                <w:rStyle w:val="Strong"/>
                <w:rFonts w:cs="Arial"/>
                <w:sz w:val="14"/>
              </w:rPr>
            </w:pPr>
          </w:p>
          <w:p w14:paraId="05275C34" w14:textId="77777777" w:rsidR="009C1871" w:rsidRDefault="00EA4117" w:rsidP="00620F1A">
            <w:pPr>
              <w:spacing w:line="200" w:lineRule="exact"/>
              <w:rPr>
                <w:sz w:val="20"/>
                <w:szCs w:val="20"/>
              </w:rPr>
            </w:pPr>
            <w:r w:rsidRPr="00533730">
              <w:rPr>
                <w:b/>
                <w:sz w:val="20"/>
                <w:szCs w:val="20"/>
              </w:rPr>
              <w:t>Summary:</w:t>
            </w:r>
            <w:r w:rsidRPr="00533730">
              <w:rPr>
                <w:sz w:val="20"/>
                <w:szCs w:val="20"/>
              </w:rPr>
              <w:t xml:space="preserve">  The Consortium is seeking Board approval of the </w:t>
            </w:r>
            <w:r w:rsidR="00355E0B">
              <w:rPr>
                <w:bCs/>
                <w:sz w:val="20"/>
                <w:szCs w:val="20"/>
              </w:rPr>
              <w:t>August</w:t>
            </w:r>
            <w:r w:rsidR="00E1589D" w:rsidRPr="00E1589D">
              <w:rPr>
                <w:bCs/>
                <w:sz w:val="20"/>
                <w:szCs w:val="20"/>
              </w:rPr>
              <w:t xml:space="preserve"> 2</w:t>
            </w:r>
            <w:r w:rsidR="00355E0B">
              <w:rPr>
                <w:bCs/>
                <w:sz w:val="20"/>
                <w:szCs w:val="20"/>
              </w:rPr>
              <w:t>3</w:t>
            </w:r>
            <w:r w:rsidR="00E1589D" w:rsidRPr="00E1589D">
              <w:rPr>
                <w:bCs/>
                <w:sz w:val="20"/>
                <w:szCs w:val="20"/>
              </w:rPr>
              <w:t>, 2018</w:t>
            </w:r>
            <w:r w:rsidR="00E1589D">
              <w:rPr>
                <w:b/>
                <w:bCs/>
                <w:sz w:val="20"/>
                <w:szCs w:val="20"/>
              </w:rPr>
              <w:t xml:space="preserve"> </w:t>
            </w:r>
            <w:r w:rsidR="00162C4A" w:rsidRPr="00162C4A">
              <w:rPr>
                <w:sz w:val="20"/>
                <w:szCs w:val="20"/>
              </w:rPr>
              <w:t xml:space="preserve">JPA Board of Directors </w:t>
            </w:r>
            <w:r w:rsidR="00E1589D" w:rsidRPr="00E1589D">
              <w:rPr>
                <w:bCs/>
                <w:sz w:val="20"/>
                <w:szCs w:val="20"/>
              </w:rPr>
              <w:t>Meeting</w:t>
            </w:r>
            <w:r w:rsidR="007069EF" w:rsidRPr="007069EF">
              <w:rPr>
                <w:sz w:val="20"/>
                <w:szCs w:val="20"/>
              </w:rPr>
              <w:t xml:space="preserve"> </w:t>
            </w:r>
            <w:r w:rsidR="00090618">
              <w:rPr>
                <w:sz w:val="20"/>
                <w:szCs w:val="20"/>
              </w:rPr>
              <w:t>Minutes.</w:t>
            </w:r>
            <w:r w:rsidR="000D0617">
              <w:rPr>
                <w:sz w:val="20"/>
                <w:szCs w:val="20"/>
              </w:rPr>
              <w:t xml:space="preserve"> </w:t>
            </w:r>
            <w:r w:rsidR="000D0617" w:rsidRPr="000D0617">
              <w:rPr>
                <w:sz w:val="20"/>
                <w:szCs w:val="20"/>
              </w:rPr>
              <w:t xml:space="preserve">Prior to approval, </w:t>
            </w:r>
            <w:r w:rsidR="000D0617">
              <w:rPr>
                <w:sz w:val="20"/>
                <w:szCs w:val="20"/>
              </w:rPr>
              <w:t>John Boule</w:t>
            </w:r>
            <w:r w:rsidR="000D0617" w:rsidRPr="000D0617">
              <w:rPr>
                <w:sz w:val="20"/>
                <w:szCs w:val="20"/>
              </w:rPr>
              <w:t xml:space="preserve"> will review the status of any outstanding Action Items from the minutes.  </w:t>
            </w:r>
          </w:p>
          <w:p w14:paraId="5208E412" w14:textId="77777777" w:rsidR="00620F1A" w:rsidRPr="004F0830" w:rsidRDefault="00620F1A" w:rsidP="00620F1A">
            <w:pPr>
              <w:spacing w:line="200" w:lineRule="exact"/>
              <w:rPr>
                <w:sz w:val="10"/>
                <w:szCs w:val="20"/>
              </w:rPr>
            </w:pPr>
          </w:p>
          <w:p w14:paraId="3A2274AF" w14:textId="77777777" w:rsidR="00B56918" w:rsidRPr="00BA2914" w:rsidRDefault="00EA4117" w:rsidP="00620F1A">
            <w:pPr>
              <w:spacing w:line="200" w:lineRule="exact"/>
              <w:rPr>
                <w:rStyle w:val="Strong"/>
                <w:b w:val="0"/>
                <w:bCs w:val="0"/>
                <w:sz w:val="20"/>
                <w:szCs w:val="20"/>
              </w:rPr>
            </w:pPr>
            <w:r w:rsidRPr="00533730">
              <w:rPr>
                <w:sz w:val="20"/>
                <w:szCs w:val="20"/>
              </w:rPr>
              <w:t>(Handout)</w:t>
            </w:r>
          </w:p>
        </w:tc>
      </w:tr>
      <w:tr w:rsidR="00B32EFD" w:rsidRPr="00A65C7D" w14:paraId="26283258" w14:textId="77777777" w:rsidTr="004F0830">
        <w:trPr>
          <w:trHeight w:val="971"/>
          <w:jc w:val="center"/>
        </w:trPr>
        <w:tc>
          <w:tcPr>
            <w:tcW w:w="625" w:type="dxa"/>
          </w:tcPr>
          <w:p w14:paraId="65E2EE67" w14:textId="77777777" w:rsidR="00B32EFD" w:rsidRPr="00A65C7D" w:rsidRDefault="00B32EFD" w:rsidP="004F0830">
            <w:pPr>
              <w:numPr>
                <w:ilvl w:val="0"/>
                <w:numId w:val="1"/>
              </w:numPr>
              <w:tabs>
                <w:tab w:val="left" w:pos="360"/>
              </w:tabs>
              <w:ind w:left="360"/>
              <w:rPr>
                <w:rFonts w:cs="Arial"/>
                <w:sz w:val="20"/>
              </w:rPr>
            </w:pPr>
          </w:p>
        </w:tc>
        <w:tc>
          <w:tcPr>
            <w:tcW w:w="1440" w:type="dxa"/>
          </w:tcPr>
          <w:p w14:paraId="4DE0CC72" w14:textId="77777777" w:rsidR="00B32EFD" w:rsidRDefault="00B32EFD" w:rsidP="00D9028D">
            <w:pPr>
              <w:rPr>
                <w:rFonts w:cs="Arial"/>
                <w:sz w:val="20"/>
              </w:rPr>
            </w:pPr>
          </w:p>
        </w:tc>
        <w:tc>
          <w:tcPr>
            <w:tcW w:w="8730" w:type="dxa"/>
          </w:tcPr>
          <w:p w14:paraId="441001E3" w14:textId="77777777" w:rsidR="00B32EFD" w:rsidRDefault="006E40D3" w:rsidP="00121F00">
            <w:pPr>
              <w:rPr>
                <w:rFonts w:cs="Arial"/>
                <w:b/>
                <w:bCs/>
                <w:sz w:val="20"/>
              </w:rPr>
            </w:pPr>
            <w:r>
              <w:rPr>
                <w:rFonts w:cs="Arial"/>
                <w:b/>
                <w:bCs/>
                <w:sz w:val="20"/>
              </w:rPr>
              <w:t xml:space="preserve">(A) </w:t>
            </w:r>
            <w:r w:rsidR="00B32EFD">
              <w:rPr>
                <w:rFonts w:cs="Arial"/>
                <w:b/>
                <w:bCs/>
                <w:sz w:val="20"/>
              </w:rPr>
              <w:t xml:space="preserve">Approve First Data C-IV </w:t>
            </w:r>
            <w:r>
              <w:rPr>
                <w:rFonts w:cs="Arial"/>
                <w:b/>
                <w:bCs/>
                <w:sz w:val="20"/>
              </w:rPr>
              <w:t>Change Order CO-</w:t>
            </w:r>
            <w:r w:rsidRPr="006E40D3">
              <w:rPr>
                <w:rFonts w:cs="Arial"/>
                <w:b/>
                <w:bCs/>
                <w:sz w:val="20"/>
              </w:rPr>
              <w:t>031 Migration Planning, Revision 4</w:t>
            </w:r>
          </w:p>
          <w:p w14:paraId="35253E74" w14:textId="77777777" w:rsidR="00CE3A5F" w:rsidRDefault="00CE3A5F" w:rsidP="00121F00">
            <w:pPr>
              <w:rPr>
                <w:rFonts w:cs="Arial"/>
                <w:b/>
                <w:bCs/>
                <w:sz w:val="20"/>
              </w:rPr>
            </w:pPr>
          </w:p>
          <w:p w14:paraId="70D9AB93" w14:textId="4CEA3B2A" w:rsidR="00CE3A5F" w:rsidRDefault="00CE3A5F" w:rsidP="00121F00">
            <w:pPr>
              <w:rPr>
                <w:rFonts w:cs="Arial"/>
                <w:b/>
                <w:bCs/>
                <w:sz w:val="20"/>
              </w:rPr>
            </w:pPr>
            <w:r>
              <w:rPr>
                <w:rFonts w:cs="Arial"/>
                <w:b/>
                <w:bCs/>
                <w:sz w:val="20"/>
              </w:rPr>
              <w:t>Summary:</w:t>
            </w:r>
            <w:r w:rsidR="00A22E72">
              <w:rPr>
                <w:rFonts w:cs="Arial"/>
                <w:b/>
                <w:bCs/>
                <w:sz w:val="20"/>
              </w:rPr>
              <w:t xml:space="preserve"> </w:t>
            </w:r>
            <w:r w:rsidR="00A22E72" w:rsidRPr="00A22E72">
              <w:rPr>
                <w:rFonts w:cs="Arial"/>
                <w:bCs/>
                <w:sz w:val="20"/>
              </w:rPr>
              <w:t xml:space="preserve">In compliance with the State’s strategy to consolidate eligibility systems and Assembly Bill ABX1 16, to consolidate the SAWS from three systems to two, the Consortium, previously known as C-IV, </w:t>
            </w:r>
            <w:r w:rsidR="008C0E06">
              <w:rPr>
                <w:rFonts w:cs="Arial"/>
                <w:bCs/>
                <w:sz w:val="20"/>
              </w:rPr>
              <w:t>has been</w:t>
            </w:r>
            <w:r w:rsidR="00A22E72" w:rsidRPr="00A22E72">
              <w:rPr>
                <w:rFonts w:cs="Arial"/>
                <w:bCs/>
                <w:sz w:val="20"/>
              </w:rPr>
              <w:t xml:space="preserve"> involved in the joint development of the Los Angeles Eligibility Automated Determination Evaluation and Reporting (“LEADER”) Replacement System (“LRS”) since January 2013 and implemented an upgrade in the C-IV architecture to align with the LRS architecture in September 2014. In addition, the Consortium began conducting migration planning activities beginning in early Fiscal Year (“FY”) 2015/2016, which included development of the Migration Development and Implementation (“D&amp;I”) requirements, Statement of Work (“SOW”), contract amendment, Implementation Advance Planning Document (“IAPD”) and the subsequent Implementation Advance Planning Document Update (“IAPDU”).</w:t>
            </w:r>
            <w:r w:rsidR="00A22E72" w:rsidRPr="00A22E72">
              <w:rPr>
                <w:rFonts w:cs="Arial"/>
                <w:b/>
                <w:bCs/>
                <w:sz w:val="20"/>
              </w:rPr>
              <w:t xml:space="preserve">  </w:t>
            </w:r>
          </w:p>
          <w:p w14:paraId="69981286" w14:textId="77777777" w:rsidR="00CE3A5F" w:rsidRDefault="00CE3A5F" w:rsidP="00121F00">
            <w:pPr>
              <w:rPr>
                <w:rFonts w:cs="Arial"/>
                <w:b/>
                <w:bCs/>
                <w:sz w:val="20"/>
              </w:rPr>
            </w:pPr>
          </w:p>
          <w:p w14:paraId="0A0B7CB8" w14:textId="77777777" w:rsidR="00566B53" w:rsidRPr="00566B53" w:rsidRDefault="00566B53" w:rsidP="00566B53">
            <w:pPr>
              <w:rPr>
                <w:rFonts w:cs="Arial"/>
                <w:bCs/>
                <w:sz w:val="20"/>
              </w:rPr>
            </w:pPr>
            <w:r w:rsidRPr="00566B53">
              <w:rPr>
                <w:rFonts w:cs="Arial"/>
                <w:b/>
                <w:bCs/>
                <w:sz w:val="20"/>
              </w:rPr>
              <w:t xml:space="preserve">Revision 4. </w:t>
            </w:r>
            <w:r w:rsidRPr="00566B53">
              <w:rPr>
                <w:rFonts w:cs="Arial"/>
                <w:bCs/>
                <w:sz w:val="20"/>
              </w:rPr>
              <w:t xml:space="preserve">The CalACES migration planning as well as unified design and development activities have been extended through December 2018 service month with a schedule contingency option through March 2019 service month. As a result, the Consortium has requested that First Data extend related services.  </w:t>
            </w:r>
          </w:p>
          <w:p w14:paraId="75BC50BE" w14:textId="77777777" w:rsidR="00566B53" w:rsidRPr="00566B53" w:rsidRDefault="00566B53" w:rsidP="00566B53">
            <w:pPr>
              <w:rPr>
                <w:rFonts w:cs="Arial"/>
                <w:bCs/>
                <w:sz w:val="20"/>
              </w:rPr>
            </w:pPr>
          </w:p>
          <w:p w14:paraId="5472882D" w14:textId="77777777" w:rsidR="00566B53" w:rsidRPr="00566B53" w:rsidRDefault="00566B53" w:rsidP="00566B53">
            <w:pPr>
              <w:rPr>
                <w:rFonts w:cs="Arial"/>
                <w:bCs/>
                <w:sz w:val="20"/>
              </w:rPr>
            </w:pPr>
            <w:r w:rsidRPr="00566B53">
              <w:rPr>
                <w:rFonts w:cs="Arial"/>
                <w:bCs/>
                <w:sz w:val="20"/>
              </w:rPr>
              <w:t>This Change Order outlines the staffing requirements, costs, and timeline for First Data to perform Quality Assurance (“QA”) Services associated with the Consortium’s migration planning.</w:t>
            </w:r>
          </w:p>
          <w:p w14:paraId="48DF09A1" w14:textId="77777777" w:rsidR="00CE3A5F" w:rsidRDefault="00566B53" w:rsidP="00566B53">
            <w:pPr>
              <w:rPr>
                <w:rFonts w:cs="Arial"/>
                <w:b/>
                <w:bCs/>
                <w:sz w:val="20"/>
              </w:rPr>
            </w:pPr>
            <w:r w:rsidRPr="00566B53">
              <w:rPr>
                <w:rFonts w:cs="Arial"/>
                <w:b/>
                <w:bCs/>
                <w:sz w:val="20"/>
              </w:rPr>
              <w:t xml:space="preserve">  </w:t>
            </w:r>
          </w:p>
          <w:p w14:paraId="2F8132D1" w14:textId="77777777" w:rsidR="00CE3A5F" w:rsidRDefault="00CE3A5F" w:rsidP="00CE3A5F">
            <w:pPr>
              <w:rPr>
                <w:rStyle w:val="Strong"/>
                <w:rFonts w:cs="Arial"/>
                <w:sz w:val="20"/>
              </w:rPr>
            </w:pPr>
            <w:r>
              <w:rPr>
                <w:rStyle w:val="Strong"/>
                <w:rFonts w:cs="Arial"/>
                <w:sz w:val="20"/>
              </w:rPr>
              <w:t>Total Change Order Costs:</w:t>
            </w:r>
          </w:p>
          <w:p w14:paraId="0A8740CA" w14:textId="77777777" w:rsidR="00566B53" w:rsidRDefault="00566B53" w:rsidP="00CE3A5F">
            <w:pPr>
              <w:rPr>
                <w:rFonts w:cs="Arial"/>
                <w:bCs/>
                <w:color w:val="000000"/>
                <w:sz w:val="20"/>
                <w:szCs w:val="20"/>
              </w:rPr>
            </w:pPr>
            <w:r>
              <w:rPr>
                <w:noProof/>
              </w:rPr>
              <w:drawing>
                <wp:inline distT="0" distB="0" distL="0" distR="0" wp14:anchorId="45B6FB6C" wp14:editId="17D83F1F">
                  <wp:extent cx="5406390" cy="1404620"/>
                  <wp:effectExtent l="0" t="0" r="3810" b="508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6390" cy="1404620"/>
                          </a:xfrm>
                          <a:prstGeom prst="rect">
                            <a:avLst/>
                          </a:prstGeom>
                          <a:noFill/>
                          <a:ln>
                            <a:noFill/>
                          </a:ln>
                        </pic:spPr>
                      </pic:pic>
                    </a:graphicData>
                  </a:graphic>
                </wp:inline>
              </w:drawing>
            </w:r>
          </w:p>
          <w:p w14:paraId="01CD3617" w14:textId="77777777" w:rsidR="00CE3A5F" w:rsidRDefault="00CE3A5F" w:rsidP="00121F00">
            <w:pPr>
              <w:rPr>
                <w:rFonts w:cs="Arial"/>
                <w:bCs/>
                <w:sz w:val="20"/>
              </w:rPr>
            </w:pPr>
          </w:p>
          <w:p w14:paraId="38A0C661" w14:textId="50ECA8C7" w:rsidR="00CE3A5F" w:rsidRPr="00CE3A5F" w:rsidRDefault="00CE3A5F" w:rsidP="00121F00">
            <w:pPr>
              <w:rPr>
                <w:rFonts w:cs="Arial"/>
                <w:bCs/>
                <w:sz w:val="20"/>
              </w:rPr>
            </w:pPr>
            <w:r w:rsidRPr="006D5E08">
              <w:rPr>
                <w:rFonts w:cs="Arial"/>
                <w:bCs/>
                <w:sz w:val="20"/>
              </w:rPr>
              <w:t xml:space="preserve">All costs associated with this Change Order are covered through </w:t>
            </w:r>
            <w:r w:rsidR="008C0E06" w:rsidRPr="006D5E08">
              <w:rPr>
                <w:rFonts w:cs="Arial"/>
                <w:bCs/>
                <w:sz w:val="20"/>
              </w:rPr>
              <w:t xml:space="preserve">SAWS – LRS/C-IV Migration D&amp;I </w:t>
            </w:r>
            <w:r w:rsidRPr="006D5E08">
              <w:rPr>
                <w:rFonts w:cs="Arial"/>
                <w:bCs/>
                <w:sz w:val="20"/>
              </w:rPr>
              <w:t>funding and are accounted for in the FY 2018/19 CalACES Project Budget.</w:t>
            </w:r>
          </w:p>
          <w:p w14:paraId="0AE74FA9" w14:textId="77777777" w:rsidR="006E40D3" w:rsidRDefault="006E40D3" w:rsidP="00121F00">
            <w:pPr>
              <w:rPr>
                <w:rFonts w:cs="Arial"/>
                <w:b/>
                <w:bCs/>
                <w:sz w:val="20"/>
              </w:rPr>
            </w:pPr>
          </w:p>
          <w:p w14:paraId="66E7B765" w14:textId="77777777" w:rsidR="006E40D3" w:rsidRDefault="006E40D3" w:rsidP="00121F00">
            <w:pPr>
              <w:rPr>
                <w:rFonts w:cs="Arial"/>
                <w:b/>
                <w:bCs/>
                <w:sz w:val="20"/>
              </w:rPr>
            </w:pPr>
            <w:r>
              <w:rPr>
                <w:rFonts w:cs="Arial"/>
                <w:b/>
                <w:bCs/>
                <w:sz w:val="20"/>
              </w:rPr>
              <w:t>(B) Approve First Data C-IV Contract Amendment No. Sixty-Three &amp; Updates to Exhibit A</w:t>
            </w:r>
          </w:p>
          <w:p w14:paraId="627395F3" w14:textId="77777777" w:rsidR="006E40D3" w:rsidRDefault="006E40D3" w:rsidP="00121F00">
            <w:pPr>
              <w:rPr>
                <w:rFonts w:cs="Arial"/>
                <w:b/>
                <w:bCs/>
                <w:sz w:val="20"/>
              </w:rPr>
            </w:pPr>
          </w:p>
          <w:p w14:paraId="074C7993" w14:textId="77777777" w:rsidR="006E40D3" w:rsidRDefault="006E40D3" w:rsidP="00121F00">
            <w:pPr>
              <w:rPr>
                <w:rFonts w:cs="Arial"/>
                <w:bCs/>
                <w:sz w:val="20"/>
              </w:rPr>
            </w:pPr>
            <w:r>
              <w:rPr>
                <w:rFonts w:cs="Arial"/>
                <w:b/>
                <w:bCs/>
                <w:sz w:val="20"/>
              </w:rPr>
              <w:t>Summary:</w:t>
            </w:r>
            <w:r>
              <w:t xml:space="preserve"> </w:t>
            </w:r>
            <w:r w:rsidRPr="006E40D3">
              <w:rPr>
                <w:rFonts w:cs="Arial"/>
                <w:bCs/>
                <w:sz w:val="20"/>
              </w:rPr>
              <w:t>The following items are being requested to be amended into the First Data Agreement via Contract Amendment No. Sixty-Three:</w:t>
            </w:r>
          </w:p>
          <w:p w14:paraId="1BE0BE44" w14:textId="77777777" w:rsidR="006E40D3" w:rsidRPr="006E40D3" w:rsidRDefault="006E40D3" w:rsidP="006132F6">
            <w:pPr>
              <w:pStyle w:val="ListParagraph"/>
              <w:numPr>
                <w:ilvl w:val="0"/>
                <w:numId w:val="32"/>
              </w:numPr>
              <w:rPr>
                <w:rFonts w:cs="Arial"/>
                <w:bCs/>
                <w:sz w:val="20"/>
              </w:rPr>
            </w:pPr>
            <w:r>
              <w:rPr>
                <w:rFonts w:cs="Arial"/>
                <w:bCs/>
                <w:sz w:val="20"/>
              </w:rPr>
              <w:t>Change Order CO-031 – Migration Planning</w:t>
            </w:r>
            <w:r w:rsidR="00CE3A5F">
              <w:rPr>
                <w:rFonts w:cs="Arial"/>
                <w:bCs/>
                <w:sz w:val="20"/>
              </w:rPr>
              <w:t xml:space="preserve">, Revision 4 increases the Total Contract Value by </w:t>
            </w:r>
            <w:r w:rsidR="00CE3A5F" w:rsidRPr="006D5E08">
              <w:rPr>
                <w:rFonts w:cs="Arial"/>
                <w:bCs/>
                <w:sz w:val="20"/>
              </w:rPr>
              <w:t>$</w:t>
            </w:r>
            <w:r w:rsidR="00566B53" w:rsidRPr="006D5E08">
              <w:rPr>
                <w:rFonts w:cs="Arial"/>
                <w:bCs/>
                <w:sz w:val="20"/>
              </w:rPr>
              <w:t>616,692.</w:t>
            </w:r>
            <w:r w:rsidR="006132F6">
              <w:rPr>
                <w:rFonts w:cs="Arial"/>
                <w:bCs/>
                <w:sz w:val="20"/>
              </w:rPr>
              <w:t xml:space="preserve"> </w:t>
            </w:r>
            <w:r w:rsidR="006132F6" w:rsidRPr="006132F6">
              <w:rPr>
                <w:rFonts w:cs="Arial"/>
                <w:bCs/>
                <w:sz w:val="20"/>
              </w:rPr>
              <w:t xml:space="preserve">This Change Order outlines the staffing requirements, costs, and </w:t>
            </w:r>
            <w:r w:rsidR="006132F6" w:rsidRPr="006132F6">
              <w:rPr>
                <w:rFonts w:cs="Arial"/>
                <w:bCs/>
                <w:sz w:val="20"/>
              </w:rPr>
              <w:lastRenderedPageBreak/>
              <w:t xml:space="preserve">timeline for First Data to perform Quality Assurance (“QA”) Services associated with the Consortium’s migration planning.  </w:t>
            </w:r>
          </w:p>
          <w:p w14:paraId="17F00395" w14:textId="77777777" w:rsidR="006E40D3" w:rsidRDefault="006E40D3" w:rsidP="00121F00">
            <w:pPr>
              <w:rPr>
                <w:rFonts w:cs="Arial"/>
                <w:bCs/>
                <w:sz w:val="20"/>
              </w:rPr>
            </w:pPr>
          </w:p>
          <w:p w14:paraId="6DC62C8A" w14:textId="77777777" w:rsidR="006E40D3" w:rsidRPr="006E40D3" w:rsidRDefault="006E40D3" w:rsidP="00121F00">
            <w:pPr>
              <w:rPr>
                <w:rFonts w:cs="Arial"/>
                <w:b/>
                <w:bCs/>
                <w:sz w:val="20"/>
              </w:rPr>
            </w:pPr>
            <w:r w:rsidRPr="006E40D3">
              <w:rPr>
                <w:rFonts w:cs="Arial"/>
                <w:b/>
                <w:bCs/>
                <w:sz w:val="20"/>
              </w:rPr>
              <w:t xml:space="preserve">Amendment No. Sixty-Three increases the Total Contract Value by </w:t>
            </w:r>
            <w:r w:rsidRPr="006D5E08">
              <w:rPr>
                <w:rFonts w:cs="Arial"/>
                <w:b/>
                <w:bCs/>
                <w:sz w:val="20"/>
              </w:rPr>
              <w:t>$</w:t>
            </w:r>
            <w:r w:rsidR="00566B53" w:rsidRPr="006D5E08">
              <w:rPr>
                <w:rFonts w:cs="Arial"/>
                <w:b/>
                <w:bCs/>
                <w:sz w:val="20"/>
              </w:rPr>
              <w:t>616,692</w:t>
            </w:r>
            <w:r w:rsidRPr="006D5E08">
              <w:rPr>
                <w:rFonts w:cs="Arial"/>
                <w:b/>
                <w:bCs/>
                <w:sz w:val="20"/>
              </w:rPr>
              <w:t>.</w:t>
            </w:r>
          </w:p>
          <w:p w14:paraId="66A799EC" w14:textId="77777777" w:rsidR="006E40D3" w:rsidRDefault="006E40D3" w:rsidP="00121F00">
            <w:pPr>
              <w:rPr>
                <w:rFonts w:cs="Arial"/>
                <w:bCs/>
                <w:sz w:val="20"/>
              </w:rPr>
            </w:pPr>
          </w:p>
          <w:p w14:paraId="46C8F33C" w14:textId="77777777" w:rsidR="006E40D3" w:rsidRPr="006E40D3" w:rsidRDefault="006E40D3" w:rsidP="00121F00">
            <w:pPr>
              <w:rPr>
                <w:rFonts w:cs="Arial"/>
                <w:bCs/>
                <w:sz w:val="20"/>
              </w:rPr>
            </w:pPr>
            <w:r>
              <w:rPr>
                <w:rFonts w:cs="Arial"/>
                <w:bCs/>
                <w:sz w:val="20"/>
              </w:rPr>
              <w:t>(Handout)</w:t>
            </w:r>
          </w:p>
        </w:tc>
      </w:tr>
      <w:tr w:rsidR="00384A2A" w:rsidRPr="00A65C7D" w14:paraId="6FCB03D0" w14:textId="77777777" w:rsidTr="004F0830">
        <w:trPr>
          <w:trHeight w:val="971"/>
          <w:jc w:val="center"/>
        </w:trPr>
        <w:tc>
          <w:tcPr>
            <w:tcW w:w="625" w:type="dxa"/>
          </w:tcPr>
          <w:p w14:paraId="6F2022DF" w14:textId="77777777" w:rsidR="00384A2A" w:rsidRPr="00A65C7D" w:rsidRDefault="00384A2A" w:rsidP="004F0830">
            <w:pPr>
              <w:numPr>
                <w:ilvl w:val="0"/>
                <w:numId w:val="1"/>
              </w:numPr>
              <w:tabs>
                <w:tab w:val="left" w:pos="360"/>
              </w:tabs>
              <w:ind w:left="360"/>
              <w:rPr>
                <w:rFonts w:cs="Arial"/>
                <w:sz w:val="20"/>
              </w:rPr>
            </w:pPr>
          </w:p>
        </w:tc>
        <w:tc>
          <w:tcPr>
            <w:tcW w:w="1440" w:type="dxa"/>
          </w:tcPr>
          <w:p w14:paraId="3EE6BB19" w14:textId="77777777" w:rsidR="00384A2A" w:rsidRDefault="00384A2A" w:rsidP="00D9028D">
            <w:pPr>
              <w:rPr>
                <w:rFonts w:cs="Arial"/>
                <w:sz w:val="20"/>
              </w:rPr>
            </w:pPr>
            <w:r>
              <w:rPr>
                <w:rFonts w:cs="Arial"/>
                <w:sz w:val="20"/>
              </w:rPr>
              <w:t>Action</w:t>
            </w:r>
          </w:p>
        </w:tc>
        <w:tc>
          <w:tcPr>
            <w:tcW w:w="8730" w:type="dxa"/>
          </w:tcPr>
          <w:p w14:paraId="34A4921D" w14:textId="77777777" w:rsidR="00121F00" w:rsidRDefault="00355E0B" w:rsidP="00121F00">
            <w:pPr>
              <w:rPr>
                <w:rFonts w:cs="Arial"/>
                <w:b/>
                <w:bCs/>
                <w:sz w:val="20"/>
              </w:rPr>
            </w:pPr>
            <w:r w:rsidRPr="00355E0B">
              <w:rPr>
                <w:rFonts w:cs="Arial"/>
                <w:b/>
                <w:bCs/>
                <w:sz w:val="20"/>
              </w:rPr>
              <w:t xml:space="preserve">Approve </w:t>
            </w:r>
            <w:proofErr w:type="spellStart"/>
            <w:r w:rsidRPr="00355E0B">
              <w:rPr>
                <w:rFonts w:cs="Arial"/>
                <w:b/>
                <w:bCs/>
                <w:sz w:val="20"/>
              </w:rPr>
              <w:t>Vavrinek</w:t>
            </w:r>
            <w:proofErr w:type="spellEnd"/>
            <w:r w:rsidRPr="00355E0B">
              <w:rPr>
                <w:rFonts w:cs="Arial"/>
                <w:b/>
                <w:bCs/>
                <w:sz w:val="20"/>
              </w:rPr>
              <w:t>, Trine, Day &amp; Co (“VTD”) Contract for Financial Audit Services for fiscal years ending June 30, 2018, June 30, 2019 and June 30, 2020</w:t>
            </w:r>
            <w:r w:rsidR="008C0E06">
              <w:rPr>
                <w:rFonts w:cs="Arial"/>
                <w:b/>
                <w:bCs/>
                <w:sz w:val="20"/>
              </w:rPr>
              <w:t xml:space="preserve"> with the option to extend two (2) additional one (1) year terms</w:t>
            </w:r>
            <w:r w:rsidRPr="00355E0B">
              <w:rPr>
                <w:rFonts w:cs="Arial"/>
                <w:b/>
                <w:bCs/>
                <w:sz w:val="20"/>
              </w:rPr>
              <w:t>.</w:t>
            </w:r>
          </w:p>
          <w:p w14:paraId="288628D2" w14:textId="77777777" w:rsidR="00355E0B" w:rsidRPr="00035748" w:rsidRDefault="00355E0B" w:rsidP="00121F00">
            <w:pPr>
              <w:rPr>
                <w:rFonts w:cs="Arial"/>
                <w:b/>
                <w:bCs/>
                <w:sz w:val="20"/>
              </w:rPr>
            </w:pPr>
          </w:p>
          <w:p w14:paraId="3DD8C24D" w14:textId="77777777" w:rsidR="00121F00" w:rsidRPr="00035748" w:rsidRDefault="00121F00" w:rsidP="00121F00">
            <w:pPr>
              <w:rPr>
                <w:rFonts w:cs="Arial"/>
                <w:bCs/>
                <w:sz w:val="20"/>
              </w:rPr>
            </w:pPr>
            <w:r w:rsidRPr="00035748">
              <w:rPr>
                <w:rFonts w:cs="Arial"/>
                <w:b/>
                <w:bCs/>
                <w:sz w:val="20"/>
              </w:rPr>
              <w:t xml:space="preserve">Summary: </w:t>
            </w:r>
            <w:r w:rsidR="006178DF" w:rsidRPr="006178DF">
              <w:rPr>
                <w:rFonts w:cs="Arial"/>
                <w:bCs/>
                <w:sz w:val="20"/>
              </w:rPr>
              <w:t>San Bernardino County Auditor-Controller/Treasurer/Tax Collector, on behalf of the CalACES JPA, solicited Requests for Proposals during the month of June 2018 to procure audit services.  </w:t>
            </w:r>
            <w:proofErr w:type="spellStart"/>
            <w:r w:rsidR="006178DF" w:rsidRPr="006178DF">
              <w:rPr>
                <w:rFonts w:cs="Arial"/>
                <w:bCs/>
                <w:sz w:val="20"/>
              </w:rPr>
              <w:t>Vavrinek</w:t>
            </w:r>
            <w:proofErr w:type="spellEnd"/>
            <w:r w:rsidR="006178DF" w:rsidRPr="006178DF">
              <w:rPr>
                <w:rFonts w:cs="Arial"/>
                <w:bCs/>
                <w:sz w:val="20"/>
              </w:rPr>
              <w:t>, Trine, Day &amp; Co ("VTD") has been identified as the successful proposer.  The following summarizes the scope and compensation for the contract.</w:t>
            </w:r>
          </w:p>
          <w:p w14:paraId="3FA2DEC9" w14:textId="77777777" w:rsidR="00C26BE8" w:rsidRPr="00035748" w:rsidRDefault="00C26BE8" w:rsidP="00121F00">
            <w:pPr>
              <w:rPr>
                <w:rFonts w:cs="Arial"/>
                <w:bCs/>
                <w:sz w:val="20"/>
              </w:rPr>
            </w:pPr>
          </w:p>
          <w:p w14:paraId="6649A48D" w14:textId="77777777" w:rsidR="00121F00" w:rsidRDefault="00355E0B" w:rsidP="00355E0B">
            <w:pPr>
              <w:ind w:left="426"/>
              <w:rPr>
                <w:rFonts w:cs="Arial"/>
                <w:bCs/>
                <w:sz w:val="20"/>
              </w:rPr>
            </w:pPr>
            <w:r>
              <w:rPr>
                <w:rFonts w:cs="Arial"/>
                <w:bCs/>
                <w:sz w:val="20"/>
              </w:rPr>
              <w:t xml:space="preserve">A. </w:t>
            </w:r>
            <w:r w:rsidRPr="00355E0B">
              <w:rPr>
                <w:rFonts w:cs="Arial"/>
                <w:bCs/>
                <w:sz w:val="20"/>
              </w:rPr>
              <w:t xml:space="preserve">VENDOR shall conduct an audit of CalACES’ Basic Financial Statements for the purpose of the expression of an opinion about whether the financial statements are fairly presented, in all material respects, in conformity with generally accepted accounting principles; and a single audit as defined in the Uniform Guidance; for the fiscal years ending June 30, 2018 through June 30, 2020 with the option to extend two (2) additional one (1) year terms. </w:t>
            </w:r>
          </w:p>
          <w:p w14:paraId="323AA5C4" w14:textId="77777777" w:rsidR="00355E0B" w:rsidRDefault="00355E0B" w:rsidP="00121F00">
            <w:pPr>
              <w:rPr>
                <w:rFonts w:cs="Arial"/>
                <w:bCs/>
                <w:sz w:val="20"/>
              </w:rPr>
            </w:pPr>
          </w:p>
          <w:p w14:paraId="0EF6234D" w14:textId="77777777" w:rsidR="00355E0B" w:rsidRPr="00355E0B" w:rsidRDefault="00355E0B" w:rsidP="00355E0B">
            <w:pPr>
              <w:ind w:left="426"/>
              <w:rPr>
                <w:rFonts w:cs="Arial"/>
                <w:bCs/>
                <w:sz w:val="20"/>
              </w:rPr>
            </w:pPr>
            <w:r>
              <w:rPr>
                <w:rFonts w:cs="Arial"/>
                <w:bCs/>
                <w:sz w:val="20"/>
              </w:rPr>
              <w:t xml:space="preserve">B. </w:t>
            </w:r>
            <w:r w:rsidRPr="00355E0B">
              <w:rPr>
                <w:rFonts w:cs="Arial"/>
                <w:bCs/>
                <w:sz w:val="20"/>
              </w:rPr>
              <w:t> The compensation to VENDOR for the services outlined herein will be not more than: </w:t>
            </w:r>
          </w:p>
          <w:p w14:paraId="13B5054F" w14:textId="77777777" w:rsidR="00355E0B" w:rsidRPr="00355E0B" w:rsidRDefault="00355E0B" w:rsidP="00355E0B">
            <w:pPr>
              <w:ind w:left="786"/>
              <w:rPr>
                <w:rFonts w:cs="Arial"/>
                <w:bCs/>
                <w:sz w:val="20"/>
              </w:rPr>
            </w:pPr>
            <w:r w:rsidRPr="00355E0B">
              <w:rPr>
                <w:rFonts w:cs="Arial"/>
                <w:bCs/>
                <w:sz w:val="20"/>
              </w:rPr>
              <w:t>a.    $25,500 for the fiscal year ending June 30, 2018, to be paid in FY 2018/19.</w:t>
            </w:r>
          </w:p>
          <w:p w14:paraId="2299745A" w14:textId="77777777" w:rsidR="00355E0B" w:rsidRPr="00355E0B" w:rsidRDefault="00355E0B" w:rsidP="00355E0B">
            <w:pPr>
              <w:ind w:left="786"/>
              <w:rPr>
                <w:rFonts w:cs="Arial"/>
                <w:bCs/>
                <w:sz w:val="20"/>
              </w:rPr>
            </w:pPr>
            <w:r w:rsidRPr="00355E0B">
              <w:rPr>
                <w:rFonts w:cs="Arial"/>
                <w:bCs/>
                <w:sz w:val="20"/>
              </w:rPr>
              <w:t>b.    $26,265 for the fiscal year ending June 30, 2019, to be paid in FY 2019/20.</w:t>
            </w:r>
          </w:p>
          <w:p w14:paraId="74117390" w14:textId="687C7353" w:rsidR="00355E0B" w:rsidRDefault="00355E0B" w:rsidP="00355E0B">
            <w:pPr>
              <w:ind w:left="786"/>
              <w:rPr>
                <w:rFonts w:cs="Arial"/>
                <w:bCs/>
                <w:sz w:val="20"/>
              </w:rPr>
            </w:pPr>
            <w:r w:rsidRPr="00355E0B">
              <w:rPr>
                <w:rFonts w:cs="Arial"/>
                <w:bCs/>
                <w:sz w:val="20"/>
              </w:rPr>
              <w:t>c.    $27,053 for the fiscal year ending June 30, 2020, to be paid in FY 2020/21.</w:t>
            </w:r>
          </w:p>
          <w:p w14:paraId="5C8B5778" w14:textId="77777777" w:rsidR="006178DF" w:rsidRDefault="006178DF" w:rsidP="006178DF">
            <w:pPr>
              <w:rPr>
                <w:rFonts w:cs="Arial"/>
                <w:bCs/>
                <w:sz w:val="20"/>
              </w:rPr>
            </w:pPr>
          </w:p>
          <w:p w14:paraId="68A76FAE" w14:textId="77777777" w:rsidR="006178DF" w:rsidRPr="00121F00" w:rsidRDefault="006178DF" w:rsidP="006178DF">
            <w:pPr>
              <w:rPr>
                <w:rFonts w:cs="Arial"/>
                <w:bCs/>
                <w:sz w:val="20"/>
              </w:rPr>
            </w:pPr>
            <w:r w:rsidRPr="006178DF">
              <w:rPr>
                <w:rFonts w:cs="Arial"/>
                <w:bCs/>
                <w:sz w:val="20"/>
              </w:rPr>
              <w:t>All costs associated with this c</w:t>
            </w:r>
            <w:r>
              <w:rPr>
                <w:rFonts w:cs="Arial"/>
                <w:bCs/>
                <w:sz w:val="20"/>
              </w:rPr>
              <w:t xml:space="preserve">ontract are covered through </w:t>
            </w:r>
            <w:r w:rsidRPr="00CA7C79">
              <w:rPr>
                <w:rFonts w:cs="Arial"/>
                <w:bCs/>
                <w:sz w:val="20"/>
              </w:rPr>
              <w:t>CalACES Administrative funding and are already accounted for in the FY 2018/19 Administrative Budget approved January 26, 2018.</w:t>
            </w:r>
          </w:p>
          <w:p w14:paraId="7A746549" w14:textId="77777777" w:rsidR="00384A2A" w:rsidRPr="004F0830" w:rsidRDefault="00384A2A" w:rsidP="00AB74F9">
            <w:pPr>
              <w:rPr>
                <w:rStyle w:val="Strong"/>
                <w:rFonts w:cs="Arial"/>
                <w:sz w:val="10"/>
              </w:rPr>
            </w:pPr>
          </w:p>
          <w:p w14:paraId="5E5EA41E" w14:textId="77777777" w:rsidR="00384A2A" w:rsidRPr="00D27099" w:rsidRDefault="00D27099" w:rsidP="00AB74F9">
            <w:pPr>
              <w:rPr>
                <w:rStyle w:val="Strong"/>
                <w:rFonts w:cs="Arial"/>
                <w:b w:val="0"/>
                <w:sz w:val="20"/>
              </w:rPr>
            </w:pPr>
            <w:r>
              <w:rPr>
                <w:rStyle w:val="Strong"/>
                <w:rFonts w:cs="Arial"/>
                <w:b w:val="0"/>
                <w:sz w:val="20"/>
              </w:rPr>
              <w:t>(Handout)</w:t>
            </w:r>
          </w:p>
        </w:tc>
      </w:tr>
      <w:tr w:rsidR="00355E0B" w:rsidRPr="00A65C7D" w14:paraId="589A2457" w14:textId="77777777" w:rsidTr="004F0830">
        <w:trPr>
          <w:trHeight w:val="971"/>
          <w:jc w:val="center"/>
        </w:trPr>
        <w:tc>
          <w:tcPr>
            <w:tcW w:w="625" w:type="dxa"/>
          </w:tcPr>
          <w:p w14:paraId="5A5E3880" w14:textId="77777777" w:rsidR="00355E0B" w:rsidRPr="00A65C7D" w:rsidRDefault="00355E0B" w:rsidP="004F0830">
            <w:pPr>
              <w:numPr>
                <w:ilvl w:val="0"/>
                <w:numId w:val="1"/>
              </w:numPr>
              <w:tabs>
                <w:tab w:val="left" w:pos="360"/>
              </w:tabs>
              <w:ind w:left="360"/>
              <w:rPr>
                <w:rFonts w:cs="Arial"/>
                <w:sz w:val="20"/>
              </w:rPr>
            </w:pPr>
          </w:p>
        </w:tc>
        <w:tc>
          <w:tcPr>
            <w:tcW w:w="1440" w:type="dxa"/>
          </w:tcPr>
          <w:p w14:paraId="6BAA5CBD" w14:textId="77777777" w:rsidR="00355E0B" w:rsidRDefault="00355E0B" w:rsidP="00D9028D">
            <w:pPr>
              <w:rPr>
                <w:rFonts w:cs="Arial"/>
                <w:sz w:val="20"/>
              </w:rPr>
            </w:pPr>
          </w:p>
        </w:tc>
        <w:tc>
          <w:tcPr>
            <w:tcW w:w="8730" w:type="dxa"/>
          </w:tcPr>
          <w:p w14:paraId="01B4C17D" w14:textId="0961200E" w:rsidR="00355E0B" w:rsidRDefault="006178DF" w:rsidP="00121F00">
            <w:pPr>
              <w:rPr>
                <w:rFonts w:cs="Arial"/>
                <w:b/>
                <w:bCs/>
                <w:sz w:val="20"/>
              </w:rPr>
            </w:pPr>
            <w:r w:rsidRPr="006178DF">
              <w:rPr>
                <w:rFonts w:cs="Arial"/>
                <w:b/>
                <w:bCs/>
                <w:sz w:val="20"/>
              </w:rPr>
              <w:t xml:space="preserve">Approve Davis Farr LLP </w:t>
            </w:r>
            <w:r w:rsidR="001E0956">
              <w:rPr>
                <w:rFonts w:cs="Arial"/>
                <w:b/>
                <w:bCs/>
                <w:sz w:val="20"/>
              </w:rPr>
              <w:t xml:space="preserve">Contract </w:t>
            </w:r>
            <w:r w:rsidRPr="006178DF">
              <w:rPr>
                <w:rFonts w:cs="Arial"/>
                <w:b/>
                <w:bCs/>
                <w:sz w:val="20"/>
              </w:rPr>
              <w:t>for the annual SOC 1 Type 2 Report of the CalACES Joint Powers Authority for the fiscal years ending June 30, 2018 and June 30, 2019.</w:t>
            </w:r>
          </w:p>
          <w:p w14:paraId="0E6F9195" w14:textId="77777777" w:rsidR="006178DF" w:rsidRDefault="006178DF" w:rsidP="00121F00">
            <w:pPr>
              <w:rPr>
                <w:rFonts w:cs="Arial"/>
                <w:b/>
                <w:bCs/>
                <w:sz w:val="20"/>
              </w:rPr>
            </w:pPr>
          </w:p>
          <w:p w14:paraId="6930CB4F" w14:textId="77777777" w:rsidR="000D194A" w:rsidRDefault="006178DF" w:rsidP="00121F00">
            <w:pPr>
              <w:rPr>
                <w:rFonts w:cs="Arial"/>
                <w:b/>
                <w:bCs/>
                <w:sz w:val="20"/>
              </w:rPr>
            </w:pPr>
            <w:r w:rsidRPr="006D5E08">
              <w:rPr>
                <w:rFonts w:cs="Arial"/>
                <w:b/>
                <w:bCs/>
                <w:sz w:val="20"/>
              </w:rPr>
              <w:t>Summary:</w:t>
            </w:r>
            <w:r w:rsidR="000D194A">
              <w:rPr>
                <w:rFonts w:cs="Arial"/>
                <w:b/>
                <w:bCs/>
                <w:sz w:val="20"/>
              </w:rPr>
              <w:t xml:space="preserve"> </w:t>
            </w:r>
          </w:p>
          <w:p w14:paraId="31D796BE" w14:textId="6E1777F3" w:rsidR="006178DF" w:rsidRDefault="000D194A" w:rsidP="00121F00">
            <w:pPr>
              <w:rPr>
                <w:rFonts w:cs="Arial"/>
                <w:bCs/>
                <w:sz w:val="20"/>
              </w:rPr>
            </w:pPr>
            <w:r w:rsidRPr="000D194A">
              <w:rPr>
                <w:rFonts w:cs="Arial"/>
                <w:bCs/>
                <w:sz w:val="20"/>
              </w:rPr>
              <w:t>A.</w:t>
            </w:r>
            <w:r>
              <w:rPr>
                <w:rFonts w:cs="Arial"/>
                <w:b/>
                <w:bCs/>
                <w:sz w:val="20"/>
              </w:rPr>
              <w:t xml:space="preserve"> </w:t>
            </w:r>
            <w:r w:rsidRPr="000D194A">
              <w:rPr>
                <w:rFonts w:cs="Arial"/>
                <w:bCs/>
                <w:sz w:val="20"/>
              </w:rPr>
              <w:t>VENDOR shall provide SOC 1 Type 2 services for the C-IV and LEADER LRS systems for fiscal years ending June 30, 2018 through June 30, 2019 in accordance with Statement on Standards for Attestation Engagements No.1</w:t>
            </w:r>
            <w:r w:rsidR="002E4ACD">
              <w:rPr>
                <w:rFonts w:cs="Arial"/>
                <w:bCs/>
                <w:sz w:val="20"/>
              </w:rPr>
              <w:t>8</w:t>
            </w:r>
            <w:r w:rsidRPr="000D194A">
              <w:rPr>
                <w:rFonts w:cs="Arial"/>
                <w:bCs/>
                <w:sz w:val="20"/>
              </w:rPr>
              <w:t>, Reporting on Controls at a Service Organization (SOC 1 Type 2 Report).</w:t>
            </w:r>
          </w:p>
          <w:p w14:paraId="36BEC480" w14:textId="77777777" w:rsidR="000D194A" w:rsidRDefault="000D194A" w:rsidP="00121F00">
            <w:pPr>
              <w:rPr>
                <w:rFonts w:cs="Arial"/>
                <w:bCs/>
                <w:sz w:val="20"/>
              </w:rPr>
            </w:pPr>
          </w:p>
          <w:p w14:paraId="4F85354C" w14:textId="77777777" w:rsidR="000D194A" w:rsidRPr="006178DF" w:rsidRDefault="000D194A" w:rsidP="00121F00">
            <w:pPr>
              <w:rPr>
                <w:rFonts w:cs="Arial"/>
                <w:bCs/>
                <w:sz w:val="20"/>
              </w:rPr>
            </w:pPr>
            <w:r>
              <w:rPr>
                <w:rFonts w:cs="Arial"/>
                <w:bCs/>
                <w:sz w:val="20"/>
              </w:rPr>
              <w:t xml:space="preserve">B. </w:t>
            </w:r>
            <w:r w:rsidRPr="000D194A">
              <w:rPr>
                <w:rFonts w:cs="Arial"/>
                <w:bCs/>
                <w:sz w:val="20"/>
              </w:rPr>
              <w:t>The compensation to the VENDOR for services outlined in Section B (Services), will not exceed $74,780.00 for the SOC 1 Type 2 report for the fiscal year ending June 30, 2018 and will not exceed $76,300.00 for the fiscal year ending June 30, 2019.  The total compensation for the Term of Contract shall not exceed $151,080.00.</w:t>
            </w:r>
          </w:p>
          <w:p w14:paraId="445A736F" w14:textId="77777777" w:rsidR="00355E0B" w:rsidRDefault="00355E0B" w:rsidP="00121F00">
            <w:pPr>
              <w:rPr>
                <w:rFonts w:cs="Arial"/>
                <w:b/>
                <w:bCs/>
                <w:sz w:val="20"/>
              </w:rPr>
            </w:pPr>
          </w:p>
          <w:p w14:paraId="5D0B4675" w14:textId="680480B5" w:rsidR="00355E0B" w:rsidRDefault="000D194A" w:rsidP="00121F00">
            <w:pPr>
              <w:rPr>
                <w:rFonts w:cs="Arial"/>
                <w:b/>
                <w:bCs/>
                <w:sz w:val="20"/>
              </w:rPr>
            </w:pPr>
            <w:r w:rsidRPr="006D5E08">
              <w:rPr>
                <w:rFonts w:cs="Arial"/>
                <w:bCs/>
                <w:sz w:val="20"/>
              </w:rPr>
              <w:t>All costs associated with this contract are covered through</w:t>
            </w:r>
            <w:r w:rsidR="00CA7C79" w:rsidRPr="00CA7C79">
              <w:rPr>
                <w:rFonts w:cs="Arial"/>
                <w:bCs/>
                <w:sz w:val="20"/>
              </w:rPr>
              <w:t xml:space="preserve"> </w:t>
            </w:r>
            <w:r w:rsidR="00CA7C79" w:rsidRPr="006D5E08">
              <w:rPr>
                <w:rFonts w:cs="Arial"/>
                <w:bCs/>
                <w:sz w:val="20"/>
              </w:rPr>
              <w:t>CalACES Administrative funding and are already accounted for in the FY 2018/19 Administrative Budget approved January 26, 2018</w:t>
            </w:r>
          </w:p>
          <w:p w14:paraId="149AEE3E" w14:textId="77777777" w:rsidR="00355E0B" w:rsidRDefault="00355E0B" w:rsidP="00121F00">
            <w:pPr>
              <w:rPr>
                <w:rFonts w:cs="Arial"/>
                <w:b/>
                <w:bCs/>
                <w:sz w:val="20"/>
              </w:rPr>
            </w:pPr>
          </w:p>
          <w:p w14:paraId="16B27E0B" w14:textId="77777777" w:rsidR="00355E0B" w:rsidRPr="00035748" w:rsidRDefault="00355E0B" w:rsidP="00121F00">
            <w:pPr>
              <w:rPr>
                <w:rFonts w:cs="Arial"/>
                <w:b/>
                <w:bCs/>
                <w:sz w:val="20"/>
              </w:rPr>
            </w:pPr>
            <w:r>
              <w:rPr>
                <w:rStyle w:val="Strong"/>
                <w:rFonts w:cs="Arial"/>
                <w:b w:val="0"/>
                <w:sz w:val="20"/>
              </w:rPr>
              <w:t>(Handout)</w:t>
            </w:r>
          </w:p>
        </w:tc>
      </w:tr>
      <w:tr w:rsidR="006E0697" w:rsidRPr="00A65C7D" w14:paraId="229BA7F1" w14:textId="77777777" w:rsidTr="004F0830">
        <w:trPr>
          <w:trHeight w:val="971"/>
          <w:jc w:val="center"/>
        </w:trPr>
        <w:tc>
          <w:tcPr>
            <w:tcW w:w="625" w:type="dxa"/>
          </w:tcPr>
          <w:p w14:paraId="2C710E39" w14:textId="77777777" w:rsidR="006E0697" w:rsidRPr="00A65C7D" w:rsidRDefault="006E0697" w:rsidP="004F0830">
            <w:pPr>
              <w:numPr>
                <w:ilvl w:val="0"/>
                <w:numId w:val="1"/>
              </w:numPr>
              <w:tabs>
                <w:tab w:val="left" w:pos="360"/>
              </w:tabs>
              <w:ind w:left="360"/>
              <w:rPr>
                <w:rFonts w:cs="Arial"/>
                <w:sz w:val="20"/>
              </w:rPr>
            </w:pPr>
          </w:p>
        </w:tc>
        <w:tc>
          <w:tcPr>
            <w:tcW w:w="1440" w:type="dxa"/>
          </w:tcPr>
          <w:p w14:paraId="083B7AC6" w14:textId="77777777" w:rsidR="006E0697" w:rsidRDefault="006E0697" w:rsidP="00D9028D">
            <w:pPr>
              <w:rPr>
                <w:rFonts w:cs="Arial"/>
                <w:sz w:val="20"/>
              </w:rPr>
            </w:pPr>
            <w:r>
              <w:rPr>
                <w:rFonts w:cs="Arial"/>
                <w:sz w:val="20"/>
              </w:rPr>
              <w:t>Action</w:t>
            </w:r>
          </w:p>
        </w:tc>
        <w:tc>
          <w:tcPr>
            <w:tcW w:w="8730" w:type="dxa"/>
          </w:tcPr>
          <w:p w14:paraId="6CE1BE24" w14:textId="77777777" w:rsidR="006E0697" w:rsidRPr="00B1311F" w:rsidRDefault="00B1311F" w:rsidP="00121F00">
            <w:pPr>
              <w:rPr>
                <w:rFonts w:cs="Arial"/>
                <w:b/>
                <w:bCs/>
                <w:sz w:val="20"/>
                <w:szCs w:val="20"/>
              </w:rPr>
            </w:pPr>
            <w:r w:rsidRPr="006D5E08">
              <w:rPr>
                <w:rFonts w:cs="Arial"/>
                <w:b/>
                <w:bCs/>
                <w:sz w:val="20"/>
                <w:szCs w:val="20"/>
              </w:rPr>
              <w:t>Approve Memorandum of Understanding between Welfare Client Data Services (WCDS) and CalACES for shared services effective 09/27/2018 until the formation of the CalSAWS Joint Powers Authority.</w:t>
            </w:r>
          </w:p>
          <w:p w14:paraId="2B485E78" w14:textId="77777777" w:rsidR="00B1311F" w:rsidRPr="00B1311F" w:rsidRDefault="00B1311F" w:rsidP="00121F00">
            <w:pPr>
              <w:rPr>
                <w:rFonts w:cs="Arial"/>
                <w:b/>
                <w:bCs/>
                <w:sz w:val="20"/>
                <w:szCs w:val="20"/>
              </w:rPr>
            </w:pPr>
          </w:p>
          <w:p w14:paraId="125CF0F2" w14:textId="77777777" w:rsidR="00B1311F" w:rsidRPr="00B1311F" w:rsidRDefault="006E0697" w:rsidP="00B1311F">
            <w:pPr>
              <w:spacing w:line="259" w:lineRule="auto"/>
              <w:jc w:val="both"/>
              <w:rPr>
                <w:sz w:val="20"/>
                <w:szCs w:val="20"/>
              </w:rPr>
            </w:pPr>
            <w:r w:rsidRPr="00B1311F">
              <w:rPr>
                <w:rFonts w:cs="Arial"/>
                <w:b/>
                <w:bCs/>
                <w:sz w:val="20"/>
                <w:szCs w:val="20"/>
              </w:rPr>
              <w:t xml:space="preserve">Summary: </w:t>
            </w:r>
            <w:r w:rsidR="00B1311F" w:rsidRPr="00B1311F">
              <w:rPr>
                <w:sz w:val="20"/>
                <w:szCs w:val="20"/>
              </w:rPr>
              <w:t xml:space="preserve">The purpose of this MOU is to delineate the areas of understanding and agreement between CalACES and each WCDS County regarding matters related to the procurement, implementation, maintenance and operations of shared services for the benefit of the 58 Counties.  These shared services include the Online CalWORKs Appraisal Tool (“OCAT”) Rebuild as provided in Welfare and Institutions Code section 11325.15, the Foster Care Eligibility </w:t>
            </w:r>
            <w:r w:rsidR="00B1311F" w:rsidRPr="00B1311F">
              <w:rPr>
                <w:sz w:val="20"/>
                <w:szCs w:val="20"/>
              </w:rPr>
              <w:lastRenderedPageBreak/>
              <w:t>Determination and other services (“collectively, “Shared Services”) deemed necessary by the CalSAWS Leadership Team and CWDA.</w:t>
            </w:r>
          </w:p>
          <w:p w14:paraId="1294351B" w14:textId="77777777" w:rsidR="006E0697" w:rsidRDefault="006E0697" w:rsidP="00121F00">
            <w:pPr>
              <w:rPr>
                <w:rFonts w:cs="Arial"/>
                <w:bCs/>
                <w:sz w:val="20"/>
                <w:szCs w:val="20"/>
              </w:rPr>
            </w:pPr>
          </w:p>
          <w:p w14:paraId="5AC60155" w14:textId="77777777" w:rsidR="00B1311F" w:rsidRPr="00B1311F" w:rsidRDefault="00B1311F" w:rsidP="00121F00">
            <w:pPr>
              <w:rPr>
                <w:sz w:val="20"/>
                <w:szCs w:val="20"/>
              </w:rPr>
            </w:pPr>
            <w:r w:rsidRPr="00B1311F">
              <w:rPr>
                <w:sz w:val="20"/>
                <w:szCs w:val="20"/>
              </w:rPr>
              <w:t>This MOU is conditioned on CalACES and each of the WCDS Counties executing this MOU without modification.</w:t>
            </w:r>
          </w:p>
          <w:p w14:paraId="792E0061" w14:textId="77777777" w:rsidR="006E0697" w:rsidRPr="00B1311F" w:rsidRDefault="006E0697" w:rsidP="00121F00">
            <w:pPr>
              <w:rPr>
                <w:rFonts w:cs="Arial"/>
                <w:bCs/>
                <w:sz w:val="20"/>
                <w:szCs w:val="20"/>
              </w:rPr>
            </w:pPr>
          </w:p>
          <w:p w14:paraId="74D175A8" w14:textId="77777777" w:rsidR="006E0697" w:rsidRPr="00B1311F" w:rsidRDefault="006E0697" w:rsidP="00121F00">
            <w:pPr>
              <w:rPr>
                <w:rFonts w:cs="Arial"/>
                <w:bCs/>
                <w:sz w:val="20"/>
                <w:szCs w:val="20"/>
              </w:rPr>
            </w:pPr>
            <w:r w:rsidRPr="00B1311F">
              <w:rPr>
                <w:rFonts w:cs="Arial"/>
                <w:bCs/>
                <w:sz w:val="20"/>
                <w:szCs w:val="20"/>
              </w:rPr>
              <w:t>(Handout)</w:t>
            </w:r>
          </w:p>
        </w:tc>
      </w:tr>
      <w:tr w:rsidR="00397A4F" w:rsidRPr="00E6072B" w14:paraId="608D56F6" w14:textId="77777777" w:rsidTr="004F0830">
        <w:trPr>
          <w:trHeight w:val="287"/>
          <w:jc w:val="center"/>
        </w:trPr>
        <w:tc>
          <w:tcPr>
            <w:tcW w:w="625" w:type="dxa"/>
            <w:shd w:val="clear" w:color="auto" w:fill="1F497D" w:themeFill="text2"/>
          </w:tcPr>
          <w:p w14:paraId="48869068" w14:textId="77777777" w:rsidR="002D5DB2" w:rsidRPr="00E6072B" w:rsidRDefault="002D5DB2" w:rsidP="00A00991">
            <w:pPr>
              <w:rPr>
                <w:rFonts w:cs="Arial"/>
                <w:b/>
                <w:color w:val="FFFFFF" w:themeColor="background1"/>
              </w:rPr>
            </w:pPr>
            <w:r w:rsidRPr="00E6072B">
              <w:rPr>
                <w:rFonts w:cs="Arial"/>
                <w:b/>
                <w:color w:val="FFFFFF" w:themeColor="background1"/>
              </w:rPr>
              <w:lastRenderedPageBreak/>
              <w:t>#</w:t>
            </w:r>
          </w:p>
        </w:tc>
        <w:tc>
          <w:tcPr>
            <w:tcW w:w="1440" w:type="dxa"/>
            <w:shd w:val="clear" w:color="auto" w:fill="1F497D" w:themeFill="text2"/>
          </w:tcPr>
          <w:p w14:paraId="6D5EC709" w14:textId="77777777" w:rsidR="002D5DB2" w:rsidRPr="00E6072B" w:rsidRDefault="002D5DB2" w:rsidP="00A43C9F">
            <w:pPr>
              <w:rPr>
                <w:rFonts w:cs="Arial"/>
                <w:b/>
                <w:color w:val="FFFFFF" w:themeColor="background1"/>
              </w:rPr>
            </w:pPr>
            <w:r w:rsidRPr="00E6072B">
              <w:rPr>
                <w:rFonts w:cs="Arial"/>
                <w:b/>
                <w:color w:val="FFFFFF" w:themeColor="background1"/>
              </w:rPr>
              <w:t>Type of Item</w:t>
            </w:r>
          </w:p>
        </w:tc>
        <w:tc>
          <w:tcPr>
            <w:tcW w:w="8730" w:type="dxa"/>
            <w:shd w:val="clear" w:color="auto" w:fill="1F497D" w:themeFill="text2"/>
          </w:tcPr>
          <w:p w14:paraId="68069BA1" w14:textId="77777777" w:rsidR="002D5DB2" w:rsidRPr="00E6072B" w:rsidRDefault="002C1EDC" w:rsidP="002D5DB2">
            <w:pPr>
              <w:jc w:val="center"/>
              <w:rPr>
                <w:rFonts w:cs="Arial"/>
                <w:b/>
                <w:color w:val="FFFFFF" w:themeColor="background1"/>
              </w:rPr>
            </w:pPr>
            <w:r>
              <w:rPr>
                <w:rFonts w:cs="Arial"/>
                <w:b/>
                <w:color w:val="FFFFFF" w:themeColor="background1"/>
              </w:rPr>
              <w:t>JPA Board</w:t>
            </w:r>
            <w:r w:rsidR="002D5DB2">
              <w:rPr>
                <w:rFonts w:cs="Arial"/>
                <w:b/>
                <w:color w:val="FFFFFF" w:themeColor="background1"/>
              </w:rPr>
              <w:t xml:space="preserve"> Informational Items</w:t>
            </w:r>
          </w:p>
        </w:tc>
      </w:tr>
      <w:tr w:rsidR="00620F1A" w:rsidRPr="00A65C7D" w14:paraId="5A4D0D4D" w14:textId="77777777" w:rsidTr="004F0830">
        <w:trPr>
          <w:trHeight w:val="557"/>
          <w:jc w:val="center"/>
        </w:trPr>
        <w:tc>
          <w:tcPr>
            <w:tcW w:w="625" w:type="dxa"/>
          </w:tcPr>
          <w:p w14:paraId="294E15A7" w14:textId="77777777" w:rsidR="002D5DB2" w:rsidRPr="00A65C7D" w:rsidRDefault="002D5DB2" w:rsidP="004F0830">
            <w:pPr>
              <w:numPr>
                <w:ilvl w:val="0"/>
                <w:numId w:val="1"/>
              </w:numPr>
              <w:ind w:left="360"/>
              <w:rPr>
                <w:rFonts w:cs="Arial"/>
                <w:sz w:val="20"/>
              </w:rPr>
            </w:pPr>
          </w:p>
        </w:tc>
        <w:tc>
          <w:tcPr>
            <w:tcW w:w="1440" w:type="dxa"/>
          </w:tcPr>
          <w:p w14:paraId="33A16BEE" w14:textId="77777777" w:rsidR="002D5DB2" w:rsidRDefault="002D5DB2" w:rsidP="00F57A57">
            <w:pPr>
              <w:rPr>
                <w:rFonts w:cs="Arial"/>
                <w:sz w:val="20"/>
              </w:rPr>
            </w:pPr>
            <w:r>
              <w:rPr>
                <w:rFonts w:cs="Arial"/>
                <w:sz w:val="20"/>
              </w:rPr>
              <w:t>Informational</w:t>
            </w:r>
          </w:p>
        </w:tc>
        <w:tc>
          <w:tcPr>
            <w:tcW w:w="8730" w:type="dxa"/>
          </w:tcPr>
          <w:p w14:paraId="52B64F25" w14:textId="77777777" w:rsidR="002D5DB2" w:rsidRDefault="002D5DB2" w:rsidP="00F57A57">
            <w:pPr>
              <w:rPr>
                <w:rFonts w:cs="Arial"/>
                <w:b/>
                <w:bCs/>
                <w:sz w:val="20"/>
                <w:szCs w:val="20"/>
              </w:rPr>
            </w:pPr>
            <w:r w:rsidRPr="002D5DB2">
              <w:rPr>
                <w:rFonts w:cs="Arial"/>
                <w:b/>
                <w:bCs/>
                <w:sz w:val="20"/>
                <w:szCs w:val="20"/>
              </w:rPr>
              <w:t>CalSAWS</w:t>
            </w:r>
            <w:r w:rsidR="00DB5873">
              <w:rPr>
                <w:rFonts w:cs="Arial"/>
                <w:b/>
                <w:bCs/>
                <w:sz w:val="20"/>
                <w:szCs w:val="20"/>
              </w:rPr>
              <w:t xml:space="preserve"> Leadership Team</w:t>
            </w:r>
            <w:r w:rsidRPr="002D5DB2">
              <w:rPr>
                <w:rFonts w:cs="Arial"/>
                <w:b/>
                <w:bCs/>
                <w:sz w:val="20"/>
                <w:szCs w:val="20"/>
              </w:rPr>
              <w:t xml:space="preserve"> </w:t>
            </w:r>
            <w:r w:rsidR="00DB5873">
              <w:rPr>
                <w:rFonts w:cs="Arial"/>
                <w:b/>
                <w:bCs/>
                <w:sz w:val="20"/>
                <w:szCs w:val="20"/>
              </w:rPr>
              <w:t>Update</w:t>
            </w:r>
          </w:p>
          <w:p w14:paraId="3707156F" w14:textId="77777777" w:rsidR="002D5DB2" w:rsidRPr="00801A80" w:rsidRDefault="002D5DB2" w:rsidP="00F57A57">
            <w:pPr>
              <w:rPr>
                <w:rFonts w:cs="Arial"/>
                <w:b/>
                <w:bCs/>
                <w:sz w:val="10"/>
                <w:szCs w:val="20"/>
              </w:rPr>
            </w:pPr>
          </w:p>
          <w:p w14:paraId="25CE18BF" w14:textId="77777777" w:rsidR="002D5DB2" w:rsidRPr="0048474E" w:rsidRDefault="002D5DB2" w:rsidP="00F57A57">
            <w:pPr>
              <w:rPr>
                <w:rFonts w:cs="Arial"/>
                <w:bCs/>
                <w:sz w:val="20"/>
                <w:szCs w:val="20"/>
              </w:rPr>
            </w:pPr>
            <w:r>
              <w:rPr>
                <w:rFonts w:cs="Arial"/>
                <w:b/>
                <w:bCs/>
                <w:sz w:val="20"/>
                <w:szCs w:val="20"/>
              </w:rPr>
              <w:t>Summary:</w:t>
            </w:r>
            <w:r w:rsidR="0048474E">
              <w:rPr>
                <w:rFonts w:cs="Arial"/>
                <w:b/>
                <w:bCs/>
                <w:sz w:val="20"/>
                <w:szCs w:val="20"/>
              </w:rPr>
              <w:t xml:space="preserve"> </w:t>
            </w:r>
            <w:r w:rsidR="0048474E" w:rsidRPr="0048474E">
              <w:rPr>
                <w:rFonts w:cs="Arial"/>
                <w:bCs/>
                <w:sz w:val="20"/>
                <w:szCs w:val="20"/>
              </w:rPr>
              <w:t xml:space="preserve">Scott Pettygrove, Antonia Jimenez, </w:t>
            </w:r>
            <w:r w:rsidR="00437E01">
              <w:rPr>
                <w:rFonts w:cs="Arial"/>
                <w:bCs/>
                <w:sz w:val="20"/>
                <w:szCs w:val="20"/>
              </w:rPr>
              <w:t>and Brandon Nichols</w:t>
            </w:r>
            <w:r w:rsidR="0048474E" w:rsidRPr="0048474E">
              <w:rPr>
                <w:rFonts w:cs="Arial"/>
                <w:bCs/>
                <w:sz w:val="20"/>
                <w:szCs w:val="20"/>
              </w:rPr>
              <w:t xml:space="preserve"> will provide updates regarding recent activities and discussions of the CalSAWS </w:t>
            </w:r>
            <w:r w:rsidR="00612A21">
              <w:rPr>
                <w:rFonts w:cs="Arial"/>
                <w:bCs/>
                <w:sz w:val="20"/>
                <w:szCs w:val="20"/>
              </w:rPr>
              <w:t>Leadership</w:t>
            </w:r>
            <w:r w:rsidR="0048474E" w:rsidRPr="0048474E">
              <w:rPr>
                <w:rFonts w:cs="Arial"/>
                <w:bCs/>
                <w:sz w:val="20"/>
                <w:szCs w:val="20"/>
              </w:rPr>
              <w:t xml:space="preserve"> Team.</w:t>
            </w:r>
          </w:p>
          <w:p w14:paraId="6E980D8F" w14:textId="77777777" w:rsidR="002D5DB2" w:rsidRPr="002D5DB2" w:rsidRDefault="002D5DB2" w:rsidP="00F57A57">
            <w:pPr>
              <w:rPr>
                <w:rFonts w:cs="Arial"/>
                <w:bCs/>
                <w:sz w:val="20"/>
                <w:szCs w:val="20"/>
              </w:rPr>
            </w:pPr>
          </w:p>
        </w:tc>
      </w:tr>
      <w:tr w:rsidR="00620F1A" w:rsidRPr="00A65C7D" w14:paraId="361F04AA" w14:textId="77777777" w:rsidTr="004F0830">
        <w:trPr>
          <w:trHeight w:val="557"/>
          <w:jc w:val="center"/>
        </w:trPr>
        <w:tc>
          <w:tcPr>
            <w:tcW w:w="625" w:type="dxa"/>
          </w:tcPr>
          <w:p w14:paraId="5904219B" w14:textId="77777777" w:rsidR="000D0617" w:rsidRPr="00A65C7D" w:rsidRDefault="000D0617" w:rsidP="004F0830">
            <w:pPr>
              <w:numPr>
                <w:ilvl w:val="0"/>
                <w:numId w:val="1"/>
              </w:numPr>
              <w:ind w:left="360"/>
              <w:rPr>
                <w:rFonts w:cs="Arial"/>
                <w:sz w:val="20"/>
              </w:rPr>
            </w:pPr>
          </w:p>
        </w:tc>
        <w:tc>
          <w:tcPr>
            <w:tcW w:w="1440" w:type="dxa"/>
          </w:tcPr>
          <w:p w14:paraId="0E8A20F6" w14:textId="77777777" w:rsidR="000D0617" w:rsidRDefault="000D0617" w:rsidP="00F57A57">
            <w:pPr>
              <w:rPr>
                <w:rFonts w:cs="Arial"/>
                <w:sz w:val="20"/>
              </w:rPr>
            </w:pPr>
            <w:r>
              <w:rPr>
                <w:rFonts w:cs="Arial"/>
                <w:sz w:val="20"/>
              </w:rPr>
              <w:t>Informational</w:t>
            </w:r>
          </w:p>
        </w:tc>
        <w:tc>
          <w:tcPr>
            <w:tcW w:w="8730" w:type="dxa"/>
          </w:tcPr>
          <w:p w14:paraId="641F3530" w14:textId="77777777" w:rsidR="000D0617" w:rsidRDefault="000D0617" w:rsidP="00F57A57">
            <w:pPr>
              <w:rPr>
                <w:rFonts w:cs="Arial"/>
                <w:b/>
                <w:bCs/>
                <w:sz w:val="20"/>
                <w:szCs w:val="20"/>
              </w:rPr>
            </w:pPr>
            <w:r w:rsidRPr="000D0617">
              <w:rPr>
                <w:rFonts w:cs="Arial"/>
                <w:b/>
                <w:bCs/>
                <w:sz w:val="20"/>
                <w:szCs w:val="20"/>
              </w:rPr>
              <w:t>CalACES</w:t>
            </w:r>
            <w:r w:rsidR="00121F00">
              <w:rPr>
                <w:rFonts w:cs="Arial"/>
                <w:b/>
                <w:bCs/>
                <w:sz w:val="20"/>
                <w:szCs w:val="20"/>
              </w:rPr>
              <w:t>/CalSAWS</w:t>
            </w:r>
            <w:r w:rsidRPr="000D0617">
              <w:rPr>
                <w:rFonts w:cs="Arial"/>
                <w:b/>
                <w:bCs/>
                <w:sz w:val="20"/>
                <w:szCs w:val="20"/>
              </w:rPr>
              <w:t xml:space="preserve"> Planning</w:t>
            </w:r>
            <w:r w:rsidR="00121F00">
              <w:rPr>
                <w:rFonts w:cs="Arial"/>
                <w:b/>
                <w:bCs/>
                <w:sz w:val="20"/>
                <w:szCs w:val="20"/>
              </w:rPr>
              <w:t xml:space="preserve"> Update</w:t>
            </w:r>
          </w:p>
          <w:p w14:paraId="1C4858A4" w14:textId="77777777" w:rsidR="000D0617" w:rsidRPr="00801A80" w:rsidRDefault="000D0617" w:rsidP="00F57A57">
            <w:pPr>
              <w:rPr>
                <w:rFonts w:cs="Arial"/>
                <w:b/>
                <w:bCs/>
                <w:sz w:val="10"/>
                <w:szCs w:val="20"/>
              </w:rPr>
            </w:pPr>
          </w:p>
          <w:p w14:paraId="1E7D5C21" w14:textId="77777777" w:rsidR="006E6CE1" w:rsidRDefault="000D0617" w:rsidP="006E6CE1">
            <w:pPr>
              <w:rPr>
                <w:rFonts w:cs="Arial"/>
                <w:bCs/>
                <w:sz w:val="20"/>
                <w:szCs w:val="20"/>
              </w:rPr>
            </w:pPr>
            <w:r>
              <w:rPr>
                <w:rFonts w:cs="Arial"/>
                <w:b/>
                <w:bCs/>
                <w:sz w:val="20"/>
                <w:szCs w:val="20"/>
              </w:rPr>
              <w:t>Summary:</w:t>
            </w:r>
            <w:r w:rsidR="0048474E">
              <w:rPr>
                <w:rFonts w:cs="Arial"/>
                <w:b/>
                <w:bCs/>
                <w:sz w:val="20"/>
                <w:szCs w:val="20"/>
              </w:rPr>
              <w:t xml:space="preserve"> </w:t>
            </w:r>
            <w:r w:rsidR="00AA22E7">
              <w:rPr>
                <w:rFonts w:cs="Arial"/>
                <w:bCs/>
                <w:sz w:val="20"/>
                <w:szCs w:val="20"/>
              </w:rPr>
              <w:t>Karen Rapponotti, Laura Chavez,</w:t>
            </w:r>
            <w:r w:rsidR="00437E01">
              <w:rPr>
                <w:rFonts w:cs="Arial"/>
                <w:bCs/>
                <w:sz w:val="20"/>
                <w:szCs w:val="20"/>
              </w:rPr>
              <w:t xml:space="preserve"> and June Hutchison</w:t>
            </w:r>
            <w:r w:rsidR="0048474E">
              <w:rPr>
                <w:rFonts w:cs="Arial"/>
                <w:bCs/>
                <w:sz w:val="20"/>
                <w:szCs w:val="20"/>
              </w:rPr>
              <w:t xml:space="preserve"> will provide the following updates regarding the CalACES Extended Planning Project:</w:t>
            </w:r>
          </w:p>
          <w:p w14:paraId="4A441B94" w14:textId="77777777" w:rsidR="00BA707B" w:rsidRPr="00BA707B" w:rsidRDefault="00BA707B" w:rsidP="00BA707B">
            <w:pPr>
              <w:pStyle w:val="ListParagraph"/>
              <w:numPr>
                <w:ilvl w:val="0"/>
                <w:numId w:val="4"/>
              </w:numPr>
              <w:rPr>
                <w:rFonts w:cs="Arial"/>
                <w:bCs/>
                <w:sz w:val="20"/>
                <w:szCs w:val="20"/>
              </w:rPr>
            </w:pPr>
            <w:r w:rsidRPr="00BA707B">
              <w:rPr>
                <w:rFonts w:cs="Arial"/>
                <w:bCs/>
                <w:sz w:val="20"/>
                <w:szCs w:val="20"/>
              </w:rPr>
              <w:t>Workgroup (‘little g’) Update</w:t>
            </w:r>
          </w:p>
          <w:p w14:paraId="31E2E272" w14:textId="48ECAF96" w:rsidR="006C3A1C" w:rsidRDefault="00BA707B" w:rsidP="00BA707B">
            <w:pPr>
              <w:pStyle w:val="ListParagraph"/>
              <w:numPr>
                <w:ilvl w:val="0"/>
                <w:numId w:val="4"/>
              </w:numPr>
              <w:rPr>
                <w:rFonts w:cs="Arial"/>
                <w:bCs/>
                <w:sz w:val="20"/>
                <w:szCs w:val="20"/>
              </w:rPr>
            </w:pPr>
            <w:r w:rsidRPr="00BA707B">
              <w:rPr>
                <w:rFonts w:cs="Arial"/>
                <w:bCs/>
                <w:sz w:val="20"/>
                <w:szCs w:val="20"/>
              </w:rPr>
              <w:t>Ancillary Systems</w:t>
            </w:r>
          </w:p>
          <w:p w14:paraId="3B18DA5F" w14:textId="61931891" w:rsidR="00565C0C" w:rsidRDefault="00565C0C" w:rsidP="00BA707B">
            <w:pPr>
              <w:pStyle w:val="ListParagraph"/>
              <w:numPr>
                <w:ilvl w:val="0"/>
                <w:numId w:val="4"/>
              </w:numPr>
              <w:rPr>
                <w:rFonts w:cs="Arial"/>
                <w:bCs/>
                <w:sz w:val="20"/>
                <w:szCs w:val="20"/>
              </w:rPr>
            </w:pPr>
            <w:r>
              <w:rPr>
                <w:rFonts w:cs="Arial"/>
                <w:bCs/>
                <w:sz w:val="20"/>
                <w:szCs w:val="20"/>
              </w:rPr>
              <w:t>Prioritization of Design Gaps - DDCRs</w:t>
            </w:r>
            <w:bookmarkStart w:id="0" w:name="_GoBack"/>
            <w:bookmarkEnd w:id="0"/>
          </w:p>
          <w:p w14:paraId="6815F58B" w14:textId="77777777" w:rsidR="003E518D" w:rsidRPr="003E518D" w:rsidRDefault="003E518D" w:rsidP="003E518D">
            <w:pPr>
              <w:ind w:left="360"/>
              <w:rPr>
                <w:rFonts w:cs="Arial"/>
                <w:bCs/>
                <w:sz w:val="20"/>
                <w:szCs w:val="20"/>
              </w:rPr>
            </w:pPr>
          </w:p>
          <w:p w14:paraId="2D79D64D" w14:textId="77777777" w:rsidR="000D0617" w:rsidRPr="000D0617" w:rsidRDefault="0048474E" w:rsidP="00F57A57">
            <w:pPr>
              <w:rPr>
                <w:rFonts w:cs="Arial"/>
                <w:bCs/>
                <w:sz w:val="20"/>
                <w:szCs w:val="20"/>
              </w:rPr>
            </w:pPr>
            <w:r w:rsidRPr="00DB5873">
              <w:rPr>
                <w:rFonts w:cs="Arial"/>
                <w:bCs/>
                <w:sz w:val="20"/>
                <w:szCs w:val="20"/>
              </w:rPr>
              <w:t>(Handout)</w:t>
            </w:r>
          </w:p>
        </w:tc>
      </w:tr>
      <w:tr w:rsidR="00AB74F9" w:rsidRPr="00A65C7D" w14:paraId="284D58E2" w14:textId="77777777" w:rsidTr="004F0830">
        <w:trPr>
          <w:trHeight w:val="557"/>
          <w:jc w:val="center"/>
        </w:trPr>
        <w:tc>
          <w:tcPr>
            <w:tcW w:w="625" w:type="dxa"/>
          </w:tcPr>
          <w:p w14:paraId="5F02CC8A" w14:textId="77777777" w:rsidR="00AB74F9" w:rsidRPr="00A65C7D" w:rsidRDefault="00AB74F9" w:rsidP="004F0830">
            <w:pPr>
              <w:numPr>
                <w:ilvl w:val="0"/>
                <w:numId w:val="1"/>
              </w:numPr>
              <w:ind w:left="360"/>
              <w:rPr>
                <w:rFonts w:cs="Arial"/>
                <w:sz w:val="20"/>
              </w:rPr>
            </w:pPr>
          </w:p>
        </w:tc>
        <w:tc>
          <w:tcPr>
            <w:tcW w:w="1440" w:type="dxa"/>
          </w:tcPr>
          <w:p w14:paraId="096DC1B9" w14:textId="77777777" w:rsidR="00AB74F9" w:rsidRDefault="00AB74F9" w:rsidP="00F57A57">
            <w:pPr>
              <w:rPr>
                <w:rFonts w:cs="Arial"/>
                <w:sz w:val="20"/>
              </w:rPr>
            </w:pPr>
            <w:r>
              <w:rPr>
                <w:rFonts w:cs="Arial"/>
                <w:sz w:val="20"/>
              </w:rPr>
              <w:t>Informational</w:t>
            </w:r>
          </w:p>
        </w:tc>
        <w:tc>
          <w:tcPr>
            <w:tcW w:w="8730" w:type="dxa"/>
          </w:tcPr>
          <w:p w14:paraId="52AD85C9" w14:textId="77777777" w:rsidR="00AB74F9" w:rsidRDefault="00121F00" w:rsidP="00F57A57">
            <w:pPr>
              <w:rPr>
                <w:rFonts w:cs="Arial"/>
                <w:b/>
                <w:bCs/>
                <w:sz w:val="20"/>
                <w:szCs w:val="20"/>
              </w:rPr>
            </w:pPr>
            <w:r>
              <w:rPr>
                <w:rFonts w:cs="Arial"/>
                <w:b/>
                <w:bCs/>
                <w:sz w:val="20"/>
                <w:szCs w:val="20"/>
              </w:rPr>
              <w:t>Review Status of</w:t>
            </w:r>
            <w:r w:rsidR="00AB74F9" w:rsidRPr="00AB74F9">
              <w:rPr>
                <w:rFonts w:cs="Arial"/>
                <w:b/>
                <w:bCs/>
                <w:sz w:val="20"/>
                <w:szCs w:val="20"/>
              </w:rPr>
              <w:t xml:space="preserve"> LRS Cloud</w:t>
            </w:r>
            <w:r>
              <w:rPr>
                <w:rFonts w:cs="Arial"/>
                <w:b/>
                <w:bCs/>
                <w:sz w:val="20"/>
                <w:szCs w:val="20"/>
              </w:rPr>
              <w:t xml:space="preserve"> Proof of Concept</w:t>
            </w:r>
          </w:p>
          <w:p w14:paraId="65F256F8" w14:textId="77777777" w:rsidR="00BD2A75" w:rsidRDefault="00BD2A75" w:rsidP="00F57A57">
            <w:pPr>
              <w:rPr>
                <w:rFonts w:cs="Arial"/>
                <w:b/>
                <w:bCs/>
                <w:sz w:val="20"/>
                <w:szCs w:val="20"/>
              </w:rPr>
            </w:pPr>
          </w:p>
          <w:p w14:paraId="1CFF57F7" w14:textId="77777777" w:rsidR="00BD2A75" w:rsidRDefault="00BD2A75" w:rsidP="00F57A57">
            <w:pPr>
              <w:rPr>
                <w:rFonts w:cs="Arial"/>
                <w:bCs/>
                <w:sz w:val="20"/>
                <w:szCs w:val="20"/>
              </w:rPr>
            </w:pPr>
            <w:r>
              <w:rPr>
                <w:rFonts w:cs="Arial"/>
                <w:b/>
                <w:bCs/>
                <w:sz w:val="20"/>
                <w:szCs w:val="20"/>
              </w:rPr>
              <w:t>Summary:</w:t>
            </w:r>
            <w:r>
              <w:rPr>
                <w:rFonts w:cs="Arial"/>
                <w:bCs/>
                <w:sz w:val="20"/>
                <w:szCs w:val="20"/>
              </w:rPr>
              <w:t xml:space="preserve"> Tom Hartman,</w:t>
            </w:r>
            <w:r w:rsidR="00121F00">
              <w:rPr>
                <w:rFonts w:cs="Arial"/>
                <w:bCs/>
                <w:sz w:val="20"/>
                <w:szCs w:val="20"/>
              </w:rPr>
              <w:t xml:space="preserve"> Laura Chavez, Hayward Gee,</w:t>
            </w:r>
            <w:r>
              <w:rPr>
                <w:rFonts w:cs="Arial"/>
                <w:bCs/>
                <w:sz w:val="20"/>
                <w:szCs w:val="20"/>
              </w:rPr>
              <w:t xml:space="preserve"> S</w:t>
            </w:r>
            <w:r w:rsidR="00121F00">
              <w:rPr>
                <w:rFonts w:cs="Arial"/>
                <w:bCs/>
                <w:sz w:val="20"/>
                <w:szCs w:val="20"/>
              </w:rPr>
              <w:t>cot Bailey and Luz Esparza</w:t>
            </w:r>
            <w:r>
              <w:rPr>
                <w:rFonts w:cs="Arial"/>
                <w:bCs/>
                <w:sz w:val="20"/>
                <w:szCs w:val="20"/>
              </w:rPr>
              <w:t xml:space="preserve"> will update the Board on the</w:t>
            </w:r>
            <w:r w:rsidR="00C26BE8">
              <w:rPr>
                <w:rFonts w:cs="Arial"/>
                <w:bCs/>
                <w:sz w:val="20"/>
                <w:szCs w:val="20"/>
              </w:rPr>
              <w:t xml:space="preserve"> status of moving</w:t>
            </w:r>
            <w:r>
              <w:rPr>
                <w:rFonts w:cs="Arial"/>
                <w:bCs/>
                <w:sz w:val="20"/>
                <w:szCs w:val="20"/>
              </w:rPr>
              <w:t xml:space="preserve"> a replica of LRS to the Cloud.</w:t>
            </w:r>
          </w:p>
          <w:p w14:paraId="0ADE597A" w14:textId="77777777" w:rsidR="00BD2A75" w:rsidRPr="00801A80" w:rsidRDefault="00BD2A75" w:rsidP="00F57A57">
            <w:pPr>
              <w:rPr>
                <w:rFonts w:cs="Arial"/>
                <w:bCs/>
                <w:sz w:val="10"/>
                <w:szCs w:val="20"/>
              </w:rPr>
            </w:pPr>
          </w:p>
          <w:p w14:paraId="0F1B6062" w14:textId="77777777" w:rsidR="00801A80" w:rsidRPr="00BD2A75" w:rsidRDefault="00801A80" w:rsidP="00F57A57">
            <w:pPr>
              <w:rPr>
                <w:rFonts w:cs="Arial"/>
                <w:bCs/>
                <w:sz w:val="20"/>
                <w:szCs w:val="20"/>
              </w:rPr>
            </w:pPr>
            <w:r>
              <w:rPr>
                <w:rFonts w:cs="Arial"/>
                <w:bCs/>
                <w:sz w:val="20"/>
                <w:szCs w:val="20"/>
              </w:rPr>
              <w:t>(Handout)</w:t>
            </w:r>
          </w:p>
        </w:tc>
      </w:tr>
      <w:tr w:rsidR="00620F1A" w:rsidRPr="00A65C7D" w14:paraId="043E54A6" w14:textId="77777777" w:rsidTr="004F0830">
        <w:trPr>
          <w:trHeight w:val="557"/>
          <w:jc w:val="center"/>
        </w:trPr>
        <w:tc>
          <w:tcPr>
            <w:tcW w:w="625" w:type="dxa"/>
          </w:tcPr>
          <w:p w14:paraId="3A57A24E" w14:textId="77777777" w:rsidR="000D0617" w:rsidRPr="00A65C7D" w:rsidRDefault="000D0617" w:rsidP="004F0830">
            <w:pPr>
              <w:numPr>
                <w:ilvl w:val="0"/>
                <w:numId w:val="1"/>
              </w:numPr>
              <w:ind w:left="360"/>
              <w:rPr>
                <w:rFonts w:cs="Arial"/>
                <w:sz w:val="20"/>
              </w:rPr>
            </w:pPr>
          </w:p>
        </w:tc>
        <w:tc>
          <w:tcPr>
            <w:tcW w:w="1440" w:type="dxa"/>
          </w:tcPr>
          <w:p w14:paraId="4EFA59C2" w14:textId="77777777" w:rsidR="000D0617" w:rsidRDefault="000D0617" w:rsidP="00F57A57">
            <w:pPr>
              <w:rPr>
                <w:rFonts w:cs="Arial"/>
                <w:sz w:val="20"/>
              </w:rPr>
            </w:pPr>
            <w:r>
              <w:rPr>
                <w:rFonts w:cs="Arial"/>
                <w:sz w:val="20"/>
              </w:rPr>
              <w:t>Informational</w:t>
            </w:r>
          </w:p>
        </w:tc>
        <w:tc>
          <w:tcPr>
            <w:tcW w:w="8730" w:type="dxa"/>
          </w:tcPr>
          <w:p w14:paraId="755255FE" w14:textId="77777777" w:rsidR="000D0617" w:rsidRDefault="00501E43" w:rsidP="00F57A57">
            <w:pPr>
              <w:rPr>
                <w:rFonts w:cs="Arial"/>
                <w:b/>
                <w:bCs/>
                <w:sz w:val="20"/>
                <w:szCs w:val="20"/>
              </w:rPr>
            </w:pPr>
            <w:r>
              <w:rPr>
                <w:rFonts w:cs="Arial"/>
                <w:b/>
                <w:bCs/>
                <w:sz w:val="20"/>
                <w:szCs w:val="20"/>
              </w:rPr>
              <w:t>M&amp;</w:t>
            </w:r>
            <w:r w:rsidR="000D0617" w:rsidRPr="000D0617">
              <w:rPr>
                <w:rFonts w:cs="Arial"/>
                <w:b/>
                <w:bCs/>
                <w:sz w:val="20"/>
                <w:szCs w:val="20"/>
              </w:rPr>
              <w:t>O Application</w:t>
            </w:r>
            <w:r>
              <w:rPr>
                <w:rFonts w:cs="Arial"/>
                <w:b/>
                <w:bCs/>
                <w:sz w:val="20"/>
                <w:szCs w:val="20"/>
              </w:rPr>
              <w:t xml:space="preserve"> &amp; Policy</w:t>
            </w:r>
            <w:r w:rsidR="000D0617" w:rsidRPr="000D0617">
              <w:rPr>
                <w:rFonts w:cs="Arial"/>
                <w:b/>
                <w:bCs/>
                <w:sz w:val="20"/>
                <w:szCs w:val="20"/>
              </w:rPr>
              <w:t xml:space="preserve"> Update</w:t>
            </w:r>
          </w:p>
          <w:p w14:paraId="72B9EE67" w14:textId="77777777" w:rsidR="000D0617" w:rsidRPr="00801A80" w:rsidRDefault="000D0617" w:rsidP="00F57A57">
            <w:pPr>
              <w:rPr>
                <w:rFonts w:cs="Arial"/>
                <w:b/>
                <w:bCs/>
                <w:sz w:val="10"/>
                <w:szCs w:val="20"/>
              </w:rPr>
            </w:pPr>
          </w:p>
          <w:p w14:paraId="61FBCC71" w14:textId="77777777" w:rsidR="000D0617" w:rsidRDefault="000D0617" w:rsidP="00F57A57">
            <w:pPr>
              <w:rPr>
                <w:rFonts w:cs="Arial"/>
                <w:bCs/>
                <w:sz w:val="20"/>
                <w:szCs w:val="20"/>
              </w:rPr>
            </w:pPr>
            <w:r>
              <w:rPr>
                <w:rFonts w:cs="Arial"/>
                <w:b/>
                <w:bCs/>
                <w:sz w:val="20"/>
                <w:szCs w:val="20"/>
              </w:rPr>
              <w:t>Summary:</w:t>
            </w:r>
            <w:r w:rsidR="00302094">
              <w:rPr>
                <w:rFonts w:cs="Arial"/>
                <w:b/>
                <w:bCs/>
                <w:sz w:val="20"/>
                <w:szCs w:val="20"/>
              </w:rPr>
              <w:t xml:space="preserve"> </w:t>
            </w:r>
            <w:r w:rsidR="00302094">
              <w:rPr>
                <w:rFonts w:cs="Arial"/>
                <w:bCs/>
                <w:sz w:val="20"/>
                <w:szCs w:val="20"/>
              </w:rPr>
              <w:t>M</w:t>
            </w:r>
            <w:r w:rsidR="002C1EDC">
              <w:rPr>
                <w:rFonts w:cs="Arial"/>
                <w:bCs/>
                <w:sz w:val="20"/>
                <w:szCs w:val="20"/>
              </w:rPr>
              <w:t xml:space="preserve">ichele Peterson </w:t>
            </w:r>
            <w:r w:rsidR="00302094">
              <w:rPr>
                <w:rFonts w:cs="Arial"/>
                <w:bCs/>
                <w:sz w:val="20"/>
                <w:szCs w:val="20"/>
              </w:rPr>
              <w:t>and Kelly Young</w:t>
            </w:r>
            <w:r w:rsidR="00302094" w:rsidRPr="00302094">
              <w:rPr>
                <w:rFonts w:cs="Arial"/>
                <w:bCs/>
                <w:sz w:val="20"/>
                <w:szCs w:val="20"/>
              </w:rPr>
              <w:t xml:space="preserve"> will provide an update on recent M&amp;O Project activities.</w:t>
            </w:r>
          </w:p>
          <w:p w14:paraId="13DF01F7" w14:textId="77777777" w:rsidR="00B32EFD" w:rsidRPr="00B32EFD" w:rsidRDefault="00B32EFD" w:rsidP="00B32EFD">
            <w:pPr>
              <w:pStyle w:val="ListParagraph"/>
              <w:numPr>
                <w:ilvl w:val="0"/>
                <w:numId w:val="2"/>
              </w:numPr>
              <w:rPr>
                <w:rFonts w:cs="Arial"/>
                <w:bCs/>
                <w:sz w:val="20"/>
                <w:szCs w:val="20"/>
              </w:rPr>
            </w:pPr>
            <w:r w:rsidRPr="00B32EFD">
              <w:rPr>
                <w:rFonts w:cs="Arial"/>
                <w:bCs/>
                <w:sz w:val="20"/>
                <w:szCs w:val="20"/>
              </w:rPr>
              <w:t xml:space="preserve">Short Term Emergency Funding for Relative Caregiver </w:t>
            </w:r>
          </w:p>
          <w:p w14:paraId="6D5B1E52" w14:textId="77777777" w:rsidR="00B32EFD" w:rsidRPr="00B32EFD" w:rsidRDefault="00B32EFD" w:rsidP="00B32EFD">
            <w:pPr>
              <w:pStyle w:val="ListParagraph"/>
              <w:rPr>
                <w:rFonts w:cs="Arial"/>
                <w:bCs/>
                <w:sz w:val="20"/>
                <w:szCs w:val="20"/>
              </w:rPr>
            </w:pPr>
            <w:r w:rsidRPr="00B32EFD">
              <w:rPr>
                <w:rFonts w:cs="Arial"/>
                <w:bCs/>
                <w:sz w:val="20"/>
                <w:szCs w:val="20"/>
              </w:rPr>
              <w:t>(ACL 18-33)</w:t>
            </w:r>
          </w:p>
          <w:p w14:paraId="5BA71577" w14:textId="77777777" w:rsidR="00B32EFD" w:rsidRPr="00B32EFD" w:rsidRDefault="00B32EFD" w:rsidP="00B32EFD">
            <w:pPr>
              <w:pStyle w:val="ListParagraph"/>
              <w:numPr>
                <w:ilvl w:val="0"/>
                <w:numId w:val="2"/>
              </w:numPr>
              <w:rPr>
                <w:rFonts w:cs="Arial"/>
                <w:bCs/>
                <w:sz w:val="20"/>
                <w:szCs w:val="20"/>
              </w:rPr>
            </w:pPr>
            <w:r w:rsidRPr="00B32EFD">
              <w:rPr>
                <w:rFonts w:cs="Arial"/>
                <w:bCs/>
                <w:sz w:val="20"/>
                <w:szCs w:val="20"/>
              </w:rPr>
              <w:t>SSI (Supplemental Security Income) Cash Out</w:t>
            </w:r>
          </w:p>
          <w:p w14:paraId="33EF62CD" w14:textId="77777777" w:rsidR="00B32EFD" w:rsidRPr="00B32EFD" w:rsidRDefault="00B32EFD" w:rsidP="00B32EFD">
            <w:pPr>
              <w:pStyle w:val="ListParagraph"/>
              <w:numPr>
                <w:ilvl w:val="0"/>
                <w:numId w:val="2"/>
              </w:numPr>
              <w:rPr>
                <w:rFonts w:cs="Arial"/>
                <w:bCs/>
                <w:sz w:val="20"/>
                <w:szCs w:val="20"/>
              </w:rPr>
            </w:pPr>
            <w:r w:rsidRPr="00B32EFD">
              <w:rPr>
                <w:rFonts w:cs="Arial"/>
                <w:bCs/>
                <w:sz w:val="20"/>
                <w:szCs w:val="20"/>
              </w:rPr>
              <w:t>ABAWDs</w:t>
            </w:r>
          </w:p>
          <w:p w14:paraId="01AE33E2" w14:textId="77777777" w:rsidR="004B7E9B" w:rsidRDefault="00B32EFD" w:rsidP="00B32EFD">
            <w:pPr>
              <w:pStyle w:val="ListParagraph"/>
              <w:numPr>
                <w:ilvl w:val="0"/>
                <w:numId w:val="2"/>
              </w:numPr>
              <w:rPr>
                <w:rFonts w:cs="Arial"/>
                <w:bCs/>
                <w:sz w:val="20"/>
                <w:szCs w:val="20"/>
              </w:rPr>
            </w:pPr>
            <w:r w:rsidRPr="00B32EFD">
              <w:rPr>
                <w:rFonts w:cs="Arial"/>
                <w:bCs/>
                <w:sz w:val="20"/>
                <w:szCs w:val="20"/>
              </w:rPr>
              <w:t>Child Support SB 380</w:t>
            </w:r>
          </w:p>
          <w:p w14:paraId="13091DAD" w14:textId="77777777" w:rsidR="00B32EFD" w:rsidRPr="00B32EFD" w:rsidRDefault="00B32EFD" w:rsidP="00B32EFD">
            <w:pPr>
              <w:pStyle w:val="ListParagraph"/>
              <w:rPr>
                <w:rFonts w:cs="Arial"/>
                <w:bCs/>
                <w:sz w:val="20"/>
                <w:szCs w:val="20"/>
              </w:rPr>
            </w:pPr>
          </w:p>
          <w:p w14:paraId="5FC42EA5" w14:textId="77777777" w:rsidR="000D0617" w:rsidRPr="000D0617" w:rsidRDefault="000D0617" w:rsidP="00F57A57">
            <w:pPr>
              <w:rPr>
                <w:rFonts w:cs="Arial"/>
                <w:bCs/>
                <w:sz w:val="20"/>
                <w:szCs w:val="20"/>
              </w:rPr>
            </w:pPr>
            <w:r>
              <w:rPr>
                <w:rFonts w:cs="Arial"/>
                <w:bCs/>
                <w:sz w:val="20"/>
                <w:szCs w:val="20"/>
              </w:rPr>
              <w:t>(Handout)</w:t>
            </w:r>
          </w:p>
        </w:tc>
      </w:tr>
      <w:tr w:rsidR="00140C48" w:rsidRPr="00A65C7D" w14:paraId="1D83932D" w14:textId="77777777" w:rsidTr="004F0830">
        <w:trPr>
          <w:trHeight w:val="557"/>
          <w:jc w:val="center"/>
        </w:trPr>
        <w:tc>
          <w:tcPr>
            <w:tcW w:w="625" w:type="dxa"/>
          </w:tcPr>
          <w:p w14:paraId="66421C93" w14:textId="77777777" w:rsidR="00140C48" w:rsidRPr="00A65C7D" w:rsidRDefault="00140C48" w:rsidP="004F0830">
            <w:pPr>
              <w:numPr>
                <w:ilvl w:val="0"/>
                <w:numId w:val="1"/>
              </w:numPr>
              <w:ind w:left="360"/>
              <w:rPr>
                <w:rFonts w:cs="Arial"/>
                <w:sz w:val="20"/>
              </w:rPr>
            </w:pPr>
          </w:p>
        </w:tc>
        <w:tc>
          <w:tcPr>
            <w:tcW w:w="1440" w:type="dxa"/>
          </w:tcPr>
          <w:p w14:paraId="114F1D0E" w14:textId="77777777" w:rsidR="00140C48" w:rsidRDefault="00140C48" w:rsidP="00F57A57">
            <w:pPr>
              <w:rPr>
                <w:rFonts w:cs="Arial"/>
                <w:sz w:val="20"/>
              </w:rPr>
            </w:pPr>
            <w:r>
              <w:rPr>
                <w:rFonts w:cs="Arial"/>
                <w:sz w:val="20"/>
              </w:rPr>
              <w:t>Informational</w:t>
            </w:r>
          </w:p>
        </w:tc>
        <w:tc>
          <w:tcPr>
            <w:tcW w:w="8730" w:type="dxa"/>
          </w:tcPr>
          <w:p w14:paraId="231A59E9" w14:textId="77777777" w:rsidR="00140C48" w:rsidRDefault="00121F00" w:rsidP="00121F00">
            <w:pPr>
              <w:rPr>
                <w:rFonts w:cs="Arial"/>
                <w:b/>
                <w:bCs/>
                <w:sz w:val="20"/>
                <w:szCs w:val="20"/>
              </w:rPr>
            </w:pPr>
            <w:r w:rsidRPr="00121F00">
              <w:rPr>
                <w:rFonts w:cs="Arial"/>
                <w:b/>
                <w:bCs/>
                <w:sz w:val="20"/>
                <w:szCs w:val="20"/>
              </w:rPr>
              <w:t>2018 CalACES Conference Update (October 31, 2018 – November 2, 2018)</w:t>
            </w:r>
          </w:p>
          <w:p w14:paraId="44F7FF7C" w14:textId="77777777" w:rsidR="00121F00" w:rsidRPr="00121F00" w:rsidRDefault="000D194A" w:rsidP="00D119C1">
            <w:pPr>
              <w:pStyle w:val="ListParagraph"/>
              <w:numPr>
                <w:ilvl w:val="0"/>
                <w:numId w:val="2"/>
              </w:numPr>
              <w:rPr>
                <w:rFonts w:cs="Arial"/>
                <w:bCs/>
                <w:sz w:val="20"/>
                <w:szCs w:val="20"/>
              </w:rPr>
            </w:pPr>
            <w:r>
              <w:rPr>
                <w:rFonts w:cs="Arial"/>
                <w:bCs/>
                <w:sz w:val="20"/>
                <w:szCs w:val="20"/>
              </w:rPr>
              <w:t>Rooms are currently</w:t>
            </w:r>
            <w:r w:rsidR="006178DF">
              <w:rPr>
                <w:rFonts w:cs="Arial"/>
                <w:bCs/>
                <w:sz w:val="20"/>
                <w:szCs w:val="20"/>
              </w:rPr>
              <w:t xml:space="preserve"> </w:t>
            </w:r>
            <w:r w:rsidR="006132F6">
              <w:rPr>
                <w:rFonts w:cs="Arial"/>
                <w:bCs/>
                <w:sz w:val="20"/>
                <w:szCs w:val="20"/>
              </w:rPr>
              <w:t>available at $150 rate per night</w:t>
            </w:r>
            <w:r w:rsidR="006178DF">
              <w:rPr>
                <w:rFonts w:cs="Arial"/>
                <w:bCs/>
                <w:sz w:val="20"/>
                <w:szCs w:val="20"/>
              </w:rPr>
              <w:t>.</w:t>
            </w:r>
          </w:p>
          <w:p w14:paraId="79110897" w14:textId="77777777" w:rsidR="00140C48" w:rsidRPr="004F0830" w:rsidRDefault="00140C48" w:rsidP="00140C48">
            <w:pPr>
              <w:pStyle w:val="ListParagraph"/>
              <w:rPr>
                <w:rFonts w:cs="Arial"/>
                <w:bCs/>
                <w:sz w:val="10"/>
                <w:szCs w:val="20"/>
              </w:rPr>
            </w:pPr>
          </w:p>
        </w:tc>
      </w:tr>
      <w:tr w:rsidR="00620F1A" w:rsidRPr="00A65C7D" w14:paraId="7B29D2FF" w14:textId="77777777" w:rsidTr="004F0830">
        <w:trPr>
          <w:trHeight w:val="557"/>
          <w:jc w:val="center"/>
        </w:trPr>
        <w:tc>
          <w:tcPr>
            <w:tcW w:w="625" w:type="dxa"/>
          </w:tcPr>
          <w:p w14:paraId="5BB1E4D0" w14:textId="77777777" w:rsidR="000D0617" w:rsidRPr="00A65C7D" w:rsidRDefault="000D0617" w:rsidP="004F0830">
            <w:pPr>
              <w:numPr>
                <w:ilvl w:val="0"/>
                <w:numId w:val="1"/>
              </w:numPr>
              <w:ind w:left="360"/>
              <w:rPr>
                <w:rFonts w:cs="Arial"/>
                <w:sz w:val="20"/>
              </w:rPr>
            </w:pPr>
          </w:p>
        </w:tc>
        <w:tc>
          <w:tcPr>
            <w:tcW w:w="1440" w:type="dxa"/>
          </w:tcPr>
          <w:p w14:paraId="52A3D3A2" w14:textId="77777777" w:rsidR="000D0617" w:rsidRDefault="000D0617" w:rsidP="000D0617">
            <w:pPr>
              <w:rPr>
                <w:rFonts w:cs="Arial"/>
                <w:sz w:val="20"/>
              </w:rPr>
            </w:pPr>
            <w:r>
              <w:rPr>
                <w:rFonts w:cs="Arial"/>
                <w:sz w:val="20"/>
              </w:rPr>
              <w:t>Informational/</w:t>
            </w:r>
          </w:p>
          <w:p w14:paraId="71FAC00C" w14:textId="77777777" w:rsidR="000D0617" w:rsidRDefault="000D0617" w:rsidP="000D0617">
            <w:pPr>
              <w:rPr>
                <w:rFonts w:cs="Arial"/>
                <w:sz w:val="20"/>
              </w:rPr>
            </w:pPr>
            <w:r>
              <w:rPr>
                <w:rFonts w:cs="Arial"/>
                <w:sz w:val="20"/>
              </w:rPr>
              <w:t>Procedural</w:t>
            </w:r>
          </w:p>
        </w:tc>
        <w:tc>
          <w:tcPr>
            <w:tcW w:w="8730" w:type="dxa"/>
          </w:tcPr>
          <w:p w14:paraId="3BA6702A" w14:textId="77777777" w:rsidR="000D0617" w:rsidRPr="000D0617" w:rsidRDefault="000D0617" w:rsidP="00F57A57">
            <w:pPr>
              <w:rPr>
                <w:rFonts w:cs="Arial"/>
                <w:b/>
                <w:bCs/>
                <w:sz w:val="20"/>
                <w:szCs w:val="20"/>
              </w:rPr>
            </w:pPr>
            <w:r>
              <w:rPr>
                <w:rFonts w:cs="Arial"/>
                <w:b/>
                <w:bCs/>
                <w:sz w:val="20"/>
                <w:szCs w:val="20"/>
              </w:rPr>
              <w:t>Public Comment</w:t>
            </w:r>
          </w:p>
        </w:tc>
      </w:tr>
      <w:tr w:rsidR="004F0830" w:rsidRPr="00A65C7D" w14:paraId="66FBE82C" w14:textId="77777777" w:rsidTr="004F0830">
        <w:trPr>
          <w:trHeight w:val="557"/>
          <w:jc w:val="center"/>
        </w:trPr>
        <w:tc>
          <w:tcPr>
            <w:tcW w:w="625" w:type="dxa"/>
          </w:tcPr>
          <w:p w14:paraId="0E907561" w14:textId="77777777" w:rsidR="004F0830" w:rsidRPr="00A65C7D" w:rsidRDefault="004F0830" w:rsidP="004F0830">
            <w:pPr>
              <w:numPr>
                <w:ilvl w:val="0"/>
                <w:numId w:val="1"/>
              </w:numPr>
              <w:ind w:left="360"/>
              <w:rPr>
                <w:rFonts w:cs="Arial"/>
                <w:sz w:val="20"/>
              </w:rPr>
            </w:pPr>
          </w:p>
        </w:tc>
        <w:tc>
          <w:tcPr>
            <w:tcW w:w="1440" w:type="dxa"/>
          </w:tcPr>
          <w:p w14:paraId="56F3BDB7" w14:textId="77777777" w:rsidR="004F0830" w:rsidRDefault="004F0830" w:rsidP="004F0830">
            <w:pPr>
              <w:rPr>
                <w:rFonts w:cs="Arial"/>
                <w:sz w:val="20"/>
              </w:rPr>
            </w:pPr>
            <w:r>
              <w:rPr>
                <w:rFonts w:cs="Arial"/>
                <w:sz w:val="20"/>
              </w:rPr>
              <w:t>Informational/</w:t>
            </w:r>
          </w:p>
          <w:p w14:paraId="5FC1E727" w14:textId="77777777" w:rsidR="004F0830" w:rsidRDefault="004F0830" w:rsidP="004F0830">
            <w:pPr>
              <w:rPr>
                <w:rFonts w:cs="Arial"/>
                <w:sz w:val="20"/>
              </w:rPr>
            </w:pPr>
            <w:r>
              <w:rPr>
                <w:rFonts w:cs="Arial"/>
                <w:sz w:val="20"/>
              </w:rPr>
              <w:t>Procedural</w:t>
            </w:r>
          </w:p>
        </w:tc>
        <w:tc>
          <w:tcPr>
            <w:tcW w:w="8730" w:type="dxa"/>
          </w:tcPr>
          <w:p w14:paraId="2CCD9C8F" w14:textId="77777777" w:rsidR="004F0830" w:rsidRDefault="004F0830" w:rsidP="004F0830">
            <w:pPr>
              <w:rPr>
                <w:rFonts w:cs="Arial"/>
                <w:b/>
                <w:bCs/>
                <w:sz w:val="20"/>
                <w:szCs w:val="20"/>
              </w:rPr>
            </w:pPr>
            <w:r>
              <w:rPr>
                <w:rFonts w:cs="Arial"/>
                <w:b/>
                <w:bCs/>
                <w:sz w:val="20"/>
                <w:szCs w:val="20"/>
              </w:rPr>
              <w:t>Adjourn Meeting</w:t>
            </w:r>
          </w:p>
        </w:tc>
      </w:tr>
    </w:tbl>
    <w:p w14:paraId="6906D219" w14:textId="77777777" w:rsidR="008D2FD3" w:rsidRPr="008D2FD3" w:rsidRDefault="008D2FD3" w:rsidP="008D2FD3">
      <w:pPr>
        <w:tabs>
          <w:tab w:val="left" w:pos="2550"/>
        </w:tabs>
      </w:pPr>
    </w:p>
    <w:sectPr w:rsidR="008D2FD3" w:rsidRPr="008D2FD3" w:rsidSect="00A00991">
      <w:headerReference w:type="default" r:id="rId9"/>
      <w:footerReference w:type="default" r:id="rId10"/>
      <w:type w:val="continuous"/>
      <w:pgSz w:w="12240" w:h="15840" w:code="1"/>
      <w:pgMar w:top="187" w:right="1440" w:bottom="72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482EC" w14:textId="77777777" w:rsidR="004638FB" w:rsidRDefault="004638FB" w:rsidP="00225400">
      <w:pPr>
        <w:spacing w:after="0" w:line="240" w:lineRule="auto"/>
      </w:pPr>
      <w:r>
        <w:separator/>
      </w:r>
    </w:p>
  </w:endnote>
  <w:endnote w:type="continuationSeparator" w:id="0">
    <w:p w14:paraId="1501C5E4" w14:textId="77777777" w:rsidR="004638FB" w:rsidRDefault="004638FB" w:rsidP="0022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923498"/>
      <w:docPartObj>
        <w:docPartGallery w:val="Page Numbers (Bottom of Page)"/>
        <w:docPartUnique/>
      </w:docPartObj>
    </w:sdtPr>
    <w:sdtEndPr>
      <w:rPr>
        <w:noProof/>
      </w:rPr>
    </w:sdtEndPr>
    <w:sdtContent>
      <w:p w14:paraId="18EC6C84" w14:textId="7B937A27" w:rsidR="00BF04C3" w:rsidRDefault="00BF04C3">
        <w:pPr>
          <w:pStyle w:val="Footer"/>
          <w:jc w:val="right"/>
        </w:pPr>
        <w:r>
          <w:fldChar w:fldCharType="begin"/>
        </w:r>
        <w:r>
          <w:instrText xml:space="preserve"> PAGE   \* MERGEFORMAT </w:instrText>
        </w:r>
        <w:r>
          <w:fldChar w:fldCharType="separate"/>
        </w:r>
        <w:r w:rsidR="006D5E08">
          <w:rPr>
            <w:noProof/>
          </w:rPr>
          <w:t>3</w:t>
        </w:r>
        <w:r>
          <w:rPr>
            <w:noProof/>
          </w:rPr>
          <w:fldChar w:fldCharType="end"/>
        </w:r>
      </w:p>
    </w:sdtContent>
  </w:sdt>
  <w:p w14:paraId="410BB1A9" w14:textId="77777777" w:rsidR="00BF04C3" w:rsidRDefault="00BF0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C22BD" w14:textId="77777777" w:rsidR="004638FB" w:rsidRDefault="004638FB" w:rsidP="00225400">
      <w:pPr>
        <w:spacing w:after="0" w:line="240" w:lineRule="auto"/>
      </w:pPr>
      <w:r>
        <w:separator/>
      </w:r>
    </w:p>
  </w:footnote>
  <w:footnote w:type="continuationSeparator" w:id="0">
    <w:p w14:paraId="10C312A5" w14:textId="77777777" w:rsidR="004638FB" w:rsidRDefault="004638FB" w:rsidP="00225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93997" w14:textId="77777777" w:rsidR="00BF04C3" w:rsidRPr="00620F1A" w:rsidRDefault="00BF04C3" w:rsidP="00620F1A">
    <w:pPr>
      <w:pStyle w:val="Header"/>
      <w:jc w:val="center"/>
      <w:rPr>
        <w:b/>
        <w:bCs/>
      </w:rPr>
    </w:pPr>
    <w:r w:rsidRPr="00620F1A">
      <w:rPr>
        <w:b/>
        <w:bCs/>
      </w:rPr>
      <w:t>Executive Summary for the</w:t>
    </w:r>
  </w:p>
  <w:p w14:paraId="263337F1" w14:textId="77777777" w:rsidR="00BF04C3" w:rsidRPr="00620F1A" w:rsidRDefault="00BF04C3" w:rsidP="00620F1A">
    <w:pPr>
      <w:pStyle w:val="Header"/>
      <w:jc w:val="center"/>
      <w:rPr>
        <w:b/>
        <w:bCs/>
      </w:rPr>
    </w:pPr>
    <w:r w:rsidRPr="00620F1A">
      <w:rPr>
        <w:b/>
        <w:bCs/>
      </w:rPr>
      <w:t>California Automated Consortium Eligibility System (“CalACES”)</w:t>
    </w:r>
  </w:p>
  <w:p w14:paraId="15F5D0C0" w14:textId="77777777" w:rsidR="00BF04C3" w:rsidRDefault="00BF04C3" w:rsidP="00620F1A">
    <w:pPr>
      <w:pStyle w:val="Header"/>
      <w:jc w:val="center"/>
      <w:rPr>
        <w:b/>
        <w:bCs/>
      </w:rPr>
    </w:pPr>
    <w:r w:rsidRPr="00620F1A">
      <w:rPr>
        <w:b/>
        <w:bCs/>
      </w:rPr>
      <w:t>Meeting o</w:t>
    </w:r>
    <w:r w:rsidR="00BE5D86">
      <w:rPr>
        <w:b/>
        <w:bCs/>
      </w:rPr>
      <w:t>f</w:t>
    </w:r>
    <w:r w:rsidR="00355E0B">
      <w:rPr>
        <w:b/>
        <w:bCs/>
      </w:rPr>
      <w:t xml:space="preserve"> the Board of Directors - September</w:t>
    </w:r>
    <w:r w:rsidRPr="00620F1A">
      <w:rPr>
        <w:b/>
        <w:bCs/>
      </w:rPr>
      <w:t xml:space="preserve"> 2</w:t>
    </w:r>
    <w:r w:rsidR="00355E0B">
      <w:rPr>
        <w:b/>
        <w:bCs/>
      </w:rPr>
      <w:t>7</w:t>
    </w:r>
    <w:r w:rsidRPr="00620F1A">
      <w:rPr>
        <w:b/>
        <w:bCs/>
      </w:rPr>
      <w:t>, 2018</w:t>
    </w:r>
  </w:p>
  <w:p w14:paraId="12561212" w14:textId="77777777" w:rsidR="00BF04C3" w:rsidRDefault="00BF04C3" w:rsidP="00620F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2D53"/>
    <w:multiLevelType w:val="hybridMultilevel"/>
    <w:tmpl w:val="12F83C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26AF6"/>
    <w:multiLevelType w:val="hybridMultilevel"/>
    <w:tmpl w:val="5E3C9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6011EC"/>
    <w:multiLevelType w:val="hybridMultilevel"/>
    <w:tmpl w:val="7750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B3E21"/>
    <w:multiLevelType w:val="hybridMultilevel"/>
    <w:tmpl w:val="5DE23C42"/>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4" w15:restartNumberingAfterBreak="0">
    <w:nsid w:val="0AB02DAC"/>
    <w:multiLevelType w:val="hybridMultilevel"/>
    <w:tmpl w:val="C70A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41969"/>
    <w:multiLevelType w:val="hybridMultilevel"/>
    <w:tmpl w:val="247AB16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115349EA"/>
    <w:multiLevelType w:val="hybridMultilevel"/>
    <w:tmpl w:val="863C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C69C0"/>
    <w:multiLevelType w:val="hybridMultilevel"/>
    <w:tmpl w:val="56988E4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14355815"/>
    <w:multiLevelType w:val="hybridMultilevel"/>
    <w:tmpl w:val="6DD87C2E"/>
    <w:lvl w:ilvl="0" w:tplc="6BB44F90">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9131EA"/>
    <w:multiLevelType w:val="hybridMultilevel"/>
    <w:tmpl w:val="F2B6E224"/>
    <w:lvl w:ilvl="0" w:tplc="3BAA6D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A2281"/>
    <w:multiLevelType w:val="hybridMultilevel"/>
    <w:tmpl w:val="BA42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77257"/>
    <w:multiLevelType w:val="hybridMultilevel"/>
    <w:tmpl w:val="6660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F0783"/>
    <w:multiLevelType w:val="hybridMultilevel"/>
    <w:tmpl w:val="0C8EFAD2"/>
    <w:lvl w:ilvl="0" w:tplc="D81672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86CF4"/>
    <w:multiLevelType w:val="hybridMultilevel"/>
    <w:tmpl w:val="2B9C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C2418"/>
    <w:multiLevelType w:val="hybridMultilevel"/>
    <w:tmpl w:val="E760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27263"/>
    <w:multiLevelType w:val="hybridMultilevel"/>
    <w:tmpl w:val="3A3C7F2C"/>
    <w:lvl w:ilvl="0" w:tplc="13D64B8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7A1EE9"/>
    <w:multiLevelType w:val="hybridMultilevel"/>
    <w:tmpl w:val="8982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20845"/>
    <w:multiLevelType w:val="hybridMultilevel"/>
    <w:tmpl w:val="87EAB260"/>
    <w:lvl w:ilvl="0" w:tplc="586A4D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2A2802"/>
    <w:multiLevelType w:val="hybridMultilevel"/>
    <w:tmpl w:val="FDCC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C503C"/>
    <w:multiLevelType w:val="hybridMultilevel"/>
    <w:tmpl w:val="021E90E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125B7"/>
    <w:multiLevelType w:val="hybridMultilevel"/>
    <w:tmpl w:val="52306E20"/>
    <w:lvl w:ilvl="0" w:tplc="8830F9B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71527"/>
    <w:multiLevelType w:val="hybridMultilevel"/>
    <w:tmpl w:val="23C253CC"/>
    <w:lvl w:ilvl="0" w:tplc="CA6289F6">
      <w:start w:val="10"/>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8CA214B"/>
    <w:multiLevelType w:val="hybridMultilevel"/>
    <w:tmpl w:val="77C64FCA"/>
    <w:lvl w:ilvl="0" w:tplc="9E083BA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9203E5"/>
    <w:multiLevelType w:val="hybridMultilevel"/>
    <w:tmpl w:val="B44AF02E"/>
    <w:lvl w:ilvl="0" w:tplc="C89EE810">
      <w:start w:val="8"/>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4E241C"/>
    <w:multiLevelType w:val="hybridMultilevel"/>
    <w:tmpl w:val="DC9A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E93E8B"/>
    <w:multiLevelType w:val="hybridMultilevel"/>
    <w:tmpl w:val="0ABACCEC"/>
    <w:lvl w:ilvl="0" w:tplc="3094EB0E">
      <w:start w:val="6"/>
      <w:numFmt w:val="decimal"/>
      <w:lvlText w:val="%1."/>
      <w:lvlJc w:val="left"/>
      <w:pPr>
        <w:ind w:left="1224" w:hanging="122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058B6"/>
    <w:multiLevelType w:val="hybridMultilevel"/>
    <w:tmpl w:val="853A7F6A"/>
    <w:lvl w:ilvl="0" w:tplc="2A14A9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06E45"/>
    <w:multiLevelType w:val="hybridMultilevel"/>
    <w:tmpl w:val="CBC62A4E"/>
    <w:lvl w:ilvl="0" w:tplc="0409000F">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B57FFD"/>
    <w:multiLevelType w:val="hybridMultilevel"/>
    <w:tmpl w:val="5B66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450A9E"/>
    <w:multiLevelType w:val="hybridMultilevel"/>
    <w:tmpl w:val="FF0AB8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0" w15:restartNumberingAfterBreak="0">
    <w:nsid w:val="7DAE58BA"/>
    <w:multiLevelType w:val="hybridMultilevel"/>
    <w:tmpl w:val="2180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4177B"/>
    <w:multiLevelType w:val="hybridMultilevel"/>
    <w:tmpl w:val="67B06018"/>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997763"/>
    <w:multiLevelType w:val="hybridMultilevel"/>
    <w:tmpl w:val="C7E2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13"/>
  </w:num>
  <w:num w:numId="4">
    <w:abstractNumId w:val="0"/>
  </w:num>
  <w:num w:numId="5">
    <w:abstractNumId w:val="12"/>
  </w:num>
  <w:num w:numId="6">
    <w:abstractNumId w:val="3"/>
  </w:num>
  <w:num w:numId="7">
    <w:abstractNumId w:val="27"/>
  </w:num>
  <w:num w:numId="8">
    <w:abstractNumId w:val="23"/>
  </w:num>
  <w:num w:numId="9">
    <w:abstractNumId w:val="18"/>
  </w:num>
  <w:num w:numId="10">
    <w:abstractNumId w:val="16"/>
  </w:num>
  <w:num w:numId="11">
    <w:abstractNumId w:val="22"/>
  </w:num>
  <w:num w:numId="12">
    <w:abstractNumId w:val="14"/>
  </w:num>
  <w:num w:numId="13">
    <w:abstractNumId w:val="7"/>
  </w:num>
  <w:num w:numId="14">
    <w:abstractNumId w:val="8"/>
  </w:num>
  <w:num w:numId="15">
    <w:abstractNumId w:val="5"/>
  </w:num>
  <w:num w:numId="16">
    <w:abstractNumId w:val="29"/>
  </w:num>
  <w:num w:numId="17">
    <w:abstractNumId w:val="30"/>
  </w:num>
  <w:num w:numId="18">
    <w:abstractNumId w:val="20"/>
  </w:num>
  <w:num w:numId="19">
    <w:abstractNumId w:val="11"/>
  </w:num>
  <w:num w:numId="20">
    <w:abstractNumId w:val="10"/>
  </w:num>
  <w:num w:numId="21">
    <w:abstractNumId w:val="32"/>
  </w:num>
  <w:num w:numId="22">
    <w:abstractNumId w:val="24"/>
  </w:num>
  <w:num w:numId="23">
    <w:abstractNumId w:val="19"/>
  </w:num>
  <w:num w:numId="24">
    <w:abstractNumId w:val="6"/>
  </w:num>
  <w:num w:numId="25">
    <w:abstractNumId w:val="25"/>
  </w:num>
  <w:num w:numId="26">
    <w:abstractNumId w:val="26"/>
  </w:num>
  <w:num w:numId="27">
    <w:abstractNumId w:val="9"/>
  </w:num>
  <w:num w:numId="28">
    <w:abstractNumId w:val="15"/>
  </w:num>
  <w:num w:numId="29">
    <w:abstractNumId w:val="1"/>
  </w:num>
  <w:num w:numId="30">
    <w:abstractNumId w:val="4"/>
  </w:num>
  <w:num w:numId="31">
    <w:abstractNumId w:val="21"/>
  </w:num>
  <w:num w:numId="32">
    <w:abstractNumId w:val="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F9F"/>
    <w:rsid w:val="000003A1"/>
    <w:rsid w:val="00005804"/>
    <w:rsid w:val="000064BF"/>
    <w:rsid w:val="000178F1"/>
    <w:rsid w:val="00022237"/>
    <w:rsid w:val="00022A2B"/>
    <w:rsid w:val="00023AA0"/>
    <w:rsid w:val="00023E95"/>
    <w:rsid w:val="00024E7B"/>
    <w:rsid w:val="00031F5D"/>
    <w:rsid w:val="0003269D"/>
    <w:rsid w:val="00035748"/>
    <w:rsid w:val="000364BB"/>
    <w:rsid w:val="00036ED8"/>
    <w:rsid w:val="0003709B"/>
    <w:rsid w:val="0004085D"/>
    <w:rsid w:val="00040FD7"/>
    <w:rsid w:val="000420E7"/>
    <w:rsid w:val="000445C0"/>
    <w:rsid w:val="0004656B"/>
    <w:rsid w:val="000503F1"/>
    <w:rsid w:val="00051900"/>
    <w:rsid w:val="0005528F"/>
    <w:rsid w:val="00055437"/>
    <w:rsid w:val="00066CF9"/>
    <w:rsid w:val="00070F2F"/>
    <w:rsid w:val="00071861"/>
    <w:rsid w:val="00073C65"/>
    <w:rsid w:val="00076976"/>
    <w:rsid w:val="0007788F"/>
    <w:rsid w:val="00077B59"/>
    <w:rsid w:val="00080B16"/>
    <w:rsid w:val="00087B39"/>
    <w:rsid w:val="00090618"/>
    <w:rsid w:val="00090784"/>
    <w:rsid w:val="00091A0A"/>
    <w:rsid w:val="00093EB4"/>
    <w:rsid w:val="00095841"/>
    <w:rsid w:val="00096705"/>
    <w:rsid w:val="000A115C"/>
    <w:rsid w:val="000A1285"/>
    <w:rsid w:val="000A7599"/>
    <w:rsid w:val="000B149E"/>
    <w:rsid w:val="000B4E35"/>
    <w:rsid w:val="000C062D"/>
    <w:rsid w:val="000C2A08"/>
    <w:rsid w:val="000C2C99"/>
    <w:rsid w:val="000D0617"/>
    <w:rsid w:val="000D194A"/>
    <w:rsid w:val="000D3460"/>
    <w:rsid w:val="000D64B0"/>
    <w:rsid w:val="000D6BA5"/>
    <w:rsid w:val="000D7070"/>
    <w:rsid w:val="000D7485"/>
    <w:rsid w:val="000D7BA2"/>
    <w:rsid w:val="000E22C1"/>
    <w:rsid w:val="000E5448"/>
    <w:rsid w:val="000E7E8C"/>
    <w:rsid w:val="000F10AA"/>
    <w:rsid w:val="000F3A58"/>
    <w:rsid w:val="000F71B1"/>
    <w:rsid w:val="00100127"/>
    <w:rsid w:val="0010021C"/>
    <w:rsid w:val="00101F20"/>
    <w:rsid w:val="001030F0"/>
    <w:rsid w:val="00113D7B"/>
    <w:rsid w:val="00116191"/>
    <w:rsid w:val="00121F00"/>
    <w:rsid w:val="00131F74"/>
    <w:rsid w:val="00133293"/>
    <w:rsid w:val="00140C48"/>
    <w:rsid w:val="00145C82"/>
    <w:rsid w:val="00146F2F"/>
    <w:rsid w:val="00150AF1"/>
    <w:rsid w:val="0015108E"/>
    <w:rsid w:val="00151577"/>
    <w:rsid w:val="001524A6"/>
    <w:rsid w:val="00154CA5"/>
    <w:rsid w:val="0015728D"/>
    <w:rsid w:val="00157405"/>
    <w:rsid w:val="00160300"/>
    <w:rsid w:val="00162C4A"/>
    <w:rsid w:val="001639FB"/>
    <w:rsid w:val="001650C6"/>
    <w:rsid w:val="00174379"/>
    <w:rsid w:val="0017574A"/>
    <w:rsid w:val="0017679A"/>
    <w:rsid w:val="001830F4"/>
    <w:rsid w:val="0019028F"/>
    <w:rsid w:val="001A1456"/>
    <w:rsid w:val="001A248A"/>
    <w:rsid w:val="001A547E"/>
    <w:rsid w:val="001A7269"/>
    <w:rsid w:val="001B545D"/>
    <w:rsid w:val="001C10EE"/>
    <w:rsid w:val="001C3053"/>
    <w:rsid w:val="001C325E"/>
    <w:rsid w:val="001C3C2F"/>
    <w:rsid w:val="001D4B30"/>
    <w:rsid w:val="001D6526"/>
    <w:rsid w:val="001E0956"/>
    <w:rsid w:val="001E1053"/>
    <w:rsid w:val="001E37DC"/>
    <w:rsid w:val="001F0DB3"/>
    <w:rsid w:val="001F1325"/>
    <w:rsid w:val="001F48DC"/>
    <w:rsid w:val="00201300"/>
    <w:rsid w:val="00201C89"/>
    <w:rsid w:val="0020258E"/>
    <w:rsid w:val="00203FB1"/>
    <w:rsid w:val="00204DC2"/>
    <w:rsid w:val="0020644B"/>
    <w:rsid w:val="002077D1"/>
    <w:rsid w:val="00207E8B"/>
    <w:rsid w:val="00207F04"/>
    <w:rsid w:val="002127A8"/>
    <w:rsid w:val="00213326"/>
    <w:rsid w:val="002167FF"/>
    <w:rsid w:val="00216963"/>
    <w:rsid w:val="0021744D"/>
    <w:rsid w:val="00222110"/>
    <w:rsid w:val="00222A1E"/>
    <w:rsid w:val="002247BE"/>
    <w:rsid w:val="00225400"/>
    <w:rsid w:val="00227EA5"/>
    <w:rsid w:val="00227F9B"/>
    <w:rsid w:val="002315E0"/>
    <w:rsid w:val="00233CB1"/>
    <w:rsid w:val="00235B5A"/>
    <w:rsid w:val="002366F9"/>
    <w:rsid w:val="0023730E"/>
    <w:rsid w:val="00240D81"/>
    <w:rsid w:val="0024229D"/>
    <w:rsid w:val="00243CDB"/>
    <w:rsid w:val="00245C3E"/>
    <w:rsid w:val="00246CDF"/>
    <w:rsid w:val="00246DA3"/>
    <w:rsid w:val="0024773C"/>
    <w:rsid w:val="0024782A"/>
    <w:rsid w:val="00254F16"/>
    <w:rsid w:val="00256DD9"/>
    <w:rsid w:val="0026246A"/>
    <w:rsid w:val="00271F9F"/>
    <w:rsid w:val="002748D6"/>
    <w:rsid w:val="00275E17"/>
    <w:rsid w:val="00277DD4"/>
    <w:rsid w:val="002817BF"/>
    <w:rsid w:val="002825A7"/>
    <w:rsid w:val="0028305C"/>
    <w:rsid w:val="00286FB7"/>
    <w:rsid w:val="00292272"/>
    <w:rsid w:val="002926CC"/>
    <w:rsid w:val="00292FD9"/>
    <w:rsid w:val="00296DCD"/>
    <w:rsid w:val="002A2716"/>
    <w:rsid w:val="002A3D14"/>
    <w:rsid w:val="002A49B6"/>
    <w:rsid w:val="002A7A8F"/>
    <w:rsid w:val="002B2153"/>
    <w:rsid w:val="002B2D08"/>
    <w:rsid w:val="002B4009"/>
    <w:rsid w:val="002B6A65"/>
    <w:rsid w:val="002C1EDC"/>
    <w:rsid w:val="002C37D3"/>
    <w:rsid w:val="002D466E"/>
    <w:rsid w:val="002D5DB2"/>
    <w:rsid w:val="002E0C03"/>
    <w:rsid w:val="002E18DC"/>
    <w:rsid w:val="002E229E"/>
    <w:rsid w:val="002E4ACD"/>
    <w:rsid w:val="002F0539"/>
    <w:rsid w:val="002F0BA1"/>
    <w:rsid w:val="002F3DDA"/>
    <w:rsid w:val="00302094"/>
    <w:rsid w:val="0031103B"/>
    <w:rsid w:val="00314B14"/>
    <w:rsid w:val="00314C6C"/>
    <w:rsid w:val="00320055"/>
    <w:rsid w:val="00326376"/>
    <w:rsid w:val="00332211"/>
    <w:rsid w:val="00342183"/>
    <w:rsid w:val="003458BF"/>
    <w:rsid w:val="00347EFA"/>
    <w:rsid w:val="00351DD4"/>
    <w:rsid w:val="003524D9"/>
    <w:rsid w:val="00355CB8"/>
    <w:rsid w:val="00355E0B"/>
    <w:rsid w:val="00357A72"/>
    <w:rsid w:val="00360C06"/>
    <w:rsid w:val="0036242A"/>
    <w:rsid w:val="00364389"/>
    <w:rsid w:val="00364B6E"/>
    <w:rsid w:val="00365D56"/>
    <w:rsid w:val="00366594"/>
    <w:rsid w:val="0036749D"/>
    <w:rsid w:val="00371649"/>
    <w:rsid w:val="00372004"/>
    <w:rsid w:val="003727B2"/>
    <w:rsid w:val="0037370C"/>
    <w:rsid w:val="00374170"/>
    <w:rsid w:val="00375A02"/>
    <w:rsid w:val="00381B9E"/>
    <w:rsid w:val="00383328"/>
    <w:rsid w:val="00384A2A"/>
    <w:rsid w:val="00392C8F"/>
    <w:rsid w:val="00397A4F"/>
    <w:rsid w:val="00397BFD"/>
    <w:rsid w:val="003A2841"/>
    <w:rsid w:val="003A2FA4"/>
    <w:rsid w:val="003A4F3A"/>
    <w:rsid w:val="003A70F1"/>
    <w:rsid w:val="003A7323"/>
    <w:rsid w:val="003A7A56"/>
    <w:rsid w:val="003B4B8D"/>
    <w:rsid w:val="003C1C34"/>
    <w:rsid w:val="003C6D1F"/>
    <w:rsid w:val="003D0669"/>
    <w:rsid w:val="003D2611"/>
    <w:rsid w:val="003D3622"/>
    <w:rsid w:val="003D36AE"/>
    <w:rsid w:val="003D3711"/>
    <w:rsid w:val="003D5C2B"/>
    <w:rsid w:val="003D6B3A"/>
    <w:rsid w:val="003E518D"/>
    <w:rsid w:val="003F0841"/>
    <w:rsid w:val="003F4C74"/>
    <w:rsid w:val="00400860"/>
    <w:rsid w:val="004054DD"/>
    <w:rsid w:val="004114DC"/>
    <w:rsid w:val="00414A39"/>
    <w:rsid w:val="00414B4C"/>
    <w:rsid w:val="00414CEB"/>
    <w:rsid w:val="00415126"/>
    <w:rsid w:val="00421313"/>
    <w:rsid w:val="00425412"/>
    <w:rsid w:val="00431BA5"/>
    <w:rsid w:val="004332BF"/>
    <w:rsid w:val="0043472C"/>
    <w:rsid w:val="00434D18"/>
    <w:rsid w:val="004352A5"/>
    <w:rsid w:val="00435A6F"/>
    <w:rsid w:val="00436FAA"/>
    <w:rsid w:val="004377A4"/>
    <w:rsid w:val="00437E01"/>
    <w:rsid w:val="00442F50"/>
    <w:rsid w:val="0044501E"/>
    <w:rsid w:val="00450978"/>
    <w:rsid w:val="00450A50"/>
    <w:rsid w:val="00451D8F"/>
    <w:rsid w:val="00452651"/>
    <w:rsid w:val="00457B5D"/>
    <w:rsid w:val="004638FB"/>
    <w:rsid w:val="004659C7"/>
    <w:rsid w:val="00474EA6"/>
    <w:rsid w:val="00475D4F"/>
    <w:rsid w:val="00484093"/>
    <w:rsid w:val="0048474E"/>
    <w:rsid w:val="004904EE"/>
    <w:rsid w:val="00490814"/>
    <w:rsid w:val="0049242B"/>
    <w:rsid w:val="004941A2"/>
    <w:rsid w:val="00495239"/>
    <w:rsid w:val="004964E7"/>
    <w:rsid w:val="004A0117"/>
    <w:rsid w:val="004A032C"/>
    <w:rsid w:val="004A2022"/>
    <w:rsid w:val="004A3F32"/>
    <w:rsid w:val="004B3877"/>
    <w:rsid w:val="004B6386"/>
    <w:rsid w:val="004B7E9B"/>
    <w:rsid w:val="004C00E6"/>
    <w:rsid w:val="004C6CCE"/>
    <w:rsid w:val="004D19F3"/>
    <w:rsid w:val="004D430E"/>
    <w:rsid w:val="004D4474"/>
    <w:rsid w:val="004D4ED5"/>
    <w:rsid w:val="004D6F50"/>
    <w:rsid w:val="004D77D8"/>
    <w:rsid w:val="004E7028"/>
    <w:rsid w:val="004E7BC1"/>
    <w:rsid w:val="004F0830"/>
    <w:rsid w:val="004F0B35"/>
    <w:rsid w:val="004F244A"/>
    <w:rsid w:val="00501E43"/>
    <w:rsid w:val="00506A44"/>
    <w:rsid w:val="005071B5"/>
    <w:rsid w:val="00507E59"/>
    <w:rsid w:val="00510226"/>
    <w:rsid w:val="005102DE"/>
    <w:rsid w:val="00510BC0"/>
    <w:rsid w:val="0051116E"/>
    <w:rsid w:val="005137BB"/>
    <w:rsid w:val="00513991"/>
    <w:rsid w:val="005139DF"/>
    <w:rsid w:val="00513EA3"/>
    <w:rsid w:val="00517925"/>
    <w:rsid w:val="00520117"/>
    <w:rsid w:val="0052213A"/>
    <w:rsid w:val="0052300A"/>
    <w:rsid w:val="005234BC"/>
    <w:rsid w:val="005244CB"/>
    <w:rsid w:val="00525E07"/>
    <w:rsid w:val="00526570"/>
    <w:rsid w:val="00532A89"/>
    <w:rsid w:val="00533730"/>
    <w:rsid w:val="00534964"/>
    <w:rsid w:val="0053525C"/>
    <w:rsid w:val="00537A7C"/>
    <w:rsid w:val="00540B49"/>
    <w:rsid w:val="00542793"/>
    <w:rsid w:val="00544735"/>
    <w:rsid w:val="00545296"/>
    <w:rsid w:val="00553FD9"/>
    <w:rsid w:val="005542E5"/>
    <w:rsid w:val="00554C6E"/>
    <w:rsid w:val="005554FE"/>
    <w:rsid w:val="00555D62"/>
    <w:rsid w:val="00557978"/>
    <w:rsid w:val="00557993"/>
    <w:rsid w:val="00560297"/>
    <w:rsid w:val="005602E6"/>
    <w:rsid w:val="00560799"/>
    <w:rsid w:val="0056290F"/>
    <w:rsid w:val="00565C0C"/>
    <w:rsid w:val="00566B53"/>
    <w:rsid w:val="00567A98"/>
    <w:rsid w:val="005701EF"/>
    <w:rsid w:val="005715B0"/>
    <w:rsid w:val="00576EA5"/>
    <w:rsid w:val="00577177"/>
    <w:rsid w:val="005808B2"/>
    <w:rsid w:val="00580D03"/>
    <w:rsid w:val="00581104"/>
    <w:rsid w:val="0058217F"/>
    <w:rsid w:val="00583D6A"/>
    <w:rsid w:val="00584310"/>
    <w:rsid w:val="005852F3"/>
    <w:rsid w:val="00586186"/>
    <w:rsid w:val="00591A31"/>
    <w:rsid w:val="00591A5E"/>
    <w:rsid w:val="0059373D"/>
    <w:rsid w:val="00596C4A"/>
    <w:rsid w:val="00597226"/>
    <w:rsid w:val="005974DE"/>
    <w:rsid w:val="005A02B1"/>
    <w:rsid w:val="005A05C2"/>
    <w:rsid w:val="005A0D16"/>
    <w:rsid w:val="005A37A1"/>
    <w:rsid w:val="005A5A74"/>
    <w:rsid w:val="005B5513"/>
    <w:rsid w:val="005B7A21"/>
    <w:rsid w:val="005B7C59"/>
    <w:rsid w:val="005B7EF9"/>
    <w:rsid w:val="005C0A1B"/>
    <w:rsid w:val="005C5D5B"/>
    <w:rsid w:val="005D3D7E"/>
    <w:rsid w:val="005D7A0E"/>
    <w:rsid w:val="005E0367"/>
    <w:rsid w:val="005E3B1C"/>
    <w:rsid w:val="005E6FE4"/>
    <w:rsid w:val="005E7EB1"/>
    <w:rsid w:val="005F09B8"/>
    <w:rsid w:val="005F248A"/>
    <w:rsid w:val="005F4B8E"/>
    <w:rsid w:val="005F551C"/>
    <w:rsid w:val="005F7648"/>
    <w:rsid w:val="005F7E72"/>
    <w:rsid w:val="006005DF"/>
    <w:rsid w:val="006008BF"/>
    <w:rsid w:val="00611BBC"/>
    <w:rsid w:val="00611F21"/>
    <w:rsid w:val="00612A21"/>
    <w:rsid w:val="006132F6"/>
    <w:rsid w:val="00615AF4"/>
    <w:rsid w:val="00615FA7"/>
    <w:rsid w:val="00617129"/>
    <w:rsid w:val="006178DF"/>
    <w:rsid w:val="00620F1A"/>
    <w:rsid w:val="00622249"/>
    <w:rsid w:val="006227A8"/>
    <w:rsid w:val="0062290C"/>
    <w:rsid w:val="006272C9"/>
    <w:rsid w:val="0063594E"/>
    <w:rsid w:val="00635C5F"/>
    <w:rsid w:val="0063781E"/>
    <w:rsid w:val="006416B5"/>
    <w:rsid w:val="006438D8"/>
    <w:rsid w:val="00645840"/>
    <w:rsid w:val="00647EC8"/>
    <w:rsid w:val="00650CEE"/>
    <w:rsid w:val="00651AAD"/>
    <w:rsid w:val="00651D4F"/>
    <w:rsid w:val="006550A3"/>
    <w:rsid w:val="006567BC"/>
    <w:rsid w:val="006567C7"/>
    <w:rsid w:val="006630D9"/>
    <w:rsid w:val="006631ED"/>
    <w:rsid w:val="00664D2C"/>
    <w:rsid w:val="006655BC"/>
    <w:rsid w:val="00674D16"/>
    <w:rsid w:val="00677F19"/>
    <w:rsid w:val="00685348"/>
    <w:rsid w:val="00685360"/>
    <w:rsid w:val="006855BE"/>
    <w:rsid w:val="00686C74"/>
    <w:rsid w:val="00695B9B"/>
    <w:rsid w:val="006A2F48"/>
    <w:rsid w:val="006A7848"/>
    <w:rsid w:val="006A7B7F"/>
    <w:rsid w:val="006B3457"/>
    <w:rsid w:val="006C2CE8"/>
    <w:rsid w:val="006C307F"/>
    <w:rsid w:val="006C3A1C"/>
    <w:rsid w:val="006C7523"/>
    <w:rsid w:val="006D5E08"/>
    <w:rsid w:val="006E0697"/>
    <w:rsid w:val="006E0B35"/>
    <w:rsid w:val="006E156F"/>
    <w:rsid w:val="006E2875"/>
    <w:rsid w:val="006E3B37"/>
    <w:rsid w:val="006E40D3"/>
    <w:rsid w:val="006E4107"/>
    <w:rsid w:val="006E6BCE"/>
    <w:rsid w:val="006E6CE1"/>
    <w:rsid w:val="006E6DD1"/>
    <w:rsid w:val="006E7810"/>
    <w:rsid w:val="006E7D4C"/>
    <w:rsid w:val="006F094C"/>
    <w:rsid w:val="006F1E59"/>
    <w:rsid w:val="006F5ADD"/>
    <w:rsid w:val="006F5FFA"/>
    <w:rsid w:val="007043DF"/>
    <w:rsid w:val="007069EF"/>
    <w:rsid w:val="00706F91"/>
    <w:rsid w:val="007072FF"/>
    <w:rsid w:val="00712572"/>
    <w:rsid w:val="0071544D"/>
    <w:rsid w:val="0071546A"/>
    <w:rsid w:val="0072271F"/>
    <w:rsid w:val="00723014"/>
    <w:rsid w:val="00725105"/>
    <w:rsid w:val="00727518"/>
    <w:rsid w:val="007302EB"/>
    <w:rsid w:val="00731E83"/>
    <w:rsid w:val="00736EE9"/>
    <w:rsid w:val="00737399"/>
    <w:rsid w:val="007403FF"/>
    <w:rsid w:val="00745B23"/>
    <w:rsid w:val="007533EA"/>
    <w:rsid w:val="00760A06"/>
    <w:rsid w:val="007617D4"/>
    <w:rsid w:val="007624F2"/>
    <w:rsid w:val="00762856"/>
    <w:rsid w:val="007629DC"/>
    <w:rsid w:val="00763075"/>
    <w:rsid w:val="00770A46"/>
    <w:rsid w:val="00771865"/>
    <w:rsid w:val="00772260"/>
    <w:rsid w:val="007926AA"/>
    <w:rsid w:val="00792722"/>
    <w:rsid w:val="007945B5"/>
    <w:rsid w:val="007A0403"/>
    <w:rsid w:val="007A11CD"/>
    <w:rsid w:val="007A30BA"/>
    <w:rsid w:val="007A44EA"/>
    <w:rsid w:val="007A6264"/>
    <w:rsid w:val="007A630F"/>
    <w:rsid w:val="007C0400"/>
    <w:rsid w:val="007C4FA3"/>
    <w:rsid w:val="007C5DC8"/>
    <w:rsid w:val="007C63A9"/>
    <w:rsid w:val="007D3AE1"/>
    <w:rsid w:val="007D74DD"/>
    <w:rsid w:val="007D7D94"/>
    <w:rsid w:val="007E10F4"/>
    <w:rsid w:val="007E2101"/>
    <w:rsid w:val="007E2579"/>
    <w:rsid w:val="007E446A"/>
    <w:rsid w:val="007E5C02"/>
    <w:rsid w:val="007E73DC"/>
    <w:rsid w:val="007F436C"/>
    <w:rsid w:val="007F48E5"/>
    <w:rsid w:val="007F5914"/>
    <w:rsid w:val="007F5C94"/>
    <w:rsid w:val="007F66CC"/>
    <w:rsid w:val="00800FF2"/>
    <w:rsid w:val="00801A80"/>
    <w:rsid w:val="008065EC"/>
    <w:rsid w:val="00810760"/>
    <w:rsid w:val="0081232B"/>
    <w:rsid w:val="00812E33"/>
    <w:rsid w:val="00813218"/>
    <w:rsid w:val="0082086A"/>
    <w:rsid w:val="00823DD8"/>
    <w:rsid w:val="00830972"/>
    <w:rsid w:val="00832DE7"/>
    <w:rsid w:val="00832F76"/>
    <w:rsid w:val="008356B2"/>
    <w:rsid w:val="00835E13"/>
    <w:rsid w:val="00835EDA"/>
    <w:rsid w:val="00840004"/>
    <w:rsid w:val="0084439C"/>
    <w:rsid w:val="00844AE9"/>
    <w:rsid w:val="0084792E"/>
    <w:rsid w:val="008524C1"/>
    <w:rsid w:val="00855E9E"/>
    <w:rsid w:val="00860860"/>
    <w:rsid w:val="00860BA2"/>
    <w:rsid w:val="00873D29"/>
    <w:rsid w:val="008753A7"/>
    <w:rsid w:val="008803E6"/>
    <w:rsid w:val="008844CF"/>
    <w:rsid w:val="00885F55"/>
    <w:rsid w:val="00886F49"/>
    <w:rsid w:val="00891D9A"/>
    <w:rsid w:val="00893A91"/>
    <w:rsid w:val="00897AF9"/>
    <w:rsid w:val="008A0E53"/>
    <w:rsid w:val="008A6895"/>
    <w:rsid w:val="008B0899"/>
    <w:rsid w:val="008B39F8"/>
    <w:rsid w:val="008C0E06"/>
    <w:rsid w:val="008C104F"/>
    <w:rsid w:val="008D2FD3"/>
    <w:rsid w:val="008D5054"/>
    <w:rsid w:val="008D57A0"/>
    <w:rsid w:val="008E07E2"/>
    <w:rsid w:val="008E23DA"/>
    <w:rsid w:val="008E4F41"/>
    <w:rsid w:val="008E5427"/>
    <w:rsid w:val="008E7B1C"/>
    <w:rsid w:val="008F2A6D"/>
    <w:rsid w:val="008F2CD3"/>
    <w:rsid w:val="008F5D8B"/>
    <w:rsid w:val="008F6C57"/>
    <w:rsid w:val="008F77F0"/>
    <w:rsid w:val="008F78F5"/>
    <w:rsid w:val="00901FAC"/>
    <w:rsid w:val="00903452"/>
    <w:rsid w:val="0090560F"/>
    <w:rsid w:val="00907A25"/>
    <w:rsid w:val="00915CEA"/>
    <w:rsid w:val="00923548"/>
    <w:rsid w:val="00924895"/>
    <w:rsid w:val="00934023"/>
    <w:rsid w:val="00940488"/>
    <w:rsid w:val="00940C37"/>
    <w:rsid w:val="00943494"/>
    <w:rsid w:val="00945BA1"/>
    <w:rsid w:val="00946404"/>
    <w:rsid w:val="009574A0"/>
    <w:rsid w:val="00957E6D"/>
    <w:rsid w:val="009609B0"/>
    <w:rsid w:val="00961718"/>
    <w:rsid w:val="00961A3D"/>
    <w:rsid w:val="0096297C"/>
    <w:rsid w:val="0096778C"/>
    <w:rsid w:val="009720D6"/>
    <w:rsid w:val="00981257"/>
    <w:rsid w:val="0098184C"/>
    <w:rsid w:val="00983D35"/>
    <w:rsid w:val="00984381"/>
    <w:rsid w:val="00984951"/>
    <w:rsid w:val="0098601D"/>
    <w:rsid w:val="009872EA"/>
    <w:rsid w:val="009A018E"/>
    <w:rsid w:val="009A1CB2"/>
    <w:rsid w:val="009A30A7"/>
    <w:rsid w:val="009B05D4"/>
    <w:rsid w:val="009B1195"/>
    <w:rsid w:val="009B42E1"/>
    <w:rsid w:val="009B69A0"/>
    <w:rsid w:val="009C085B"/>
    <w:rsid w:val="009C1871"/>
    <w:rsid w:val="009D3D10"/>
    <w:rsid w:val="009D57A0"/>
    <w:rsid w:val="009D7A31"/>
    <w:rsid w:val="009E0D2F"/>
    <w:rsid w:val="009E3CC7"/>
    <w:rsid w:val="009E6819"/>
    <w:rsid w:val="009F6503"/>
    <w:rsid w:val="009F6BEC"/>
    <w:rsid w:val="009F76FB"/>
    <w:rsid w:val="009F7F85"/>
    <w:rsid w:val="00A00991"/>
    <w:rsid w:val="00A0511A"/>
    <w:rsid w:val="00A05566"/>
    <w:rsid w:val="00A1099A"/>
    <w:rsid w:val="00A10E4B"/>
    <w:rsid w:val="00A20D67"/>
    <w:rsid w:val="00A22E72"/>
    <w:rsid w:val="00A22EFD"/>
    <w:rsid w:val="00A26259"/>
    <w:rsid w:val="00A26D5C"/>
    <w:rsid w:val="00A31873"/>
    <w:rsid w:val="00A407CF"/>
    <w:rsid w:val="00A431F2"/>
    <w:rsid w:val="00A43C9F"/>
    <w:rsid w:val="00A55A8A"/>
    <w:rsid w:val="00A56259"/>
    <w:rsid w:val="00A5632C"/>
    <w:rsid w:val="00A6142F"/>
    <w:rsid w:val="00A62999"/>
    <w:rsid w:val="00A65C7D"/>
    <w:rsid w:val="00A70E71"/>
    <w:rsid w:val="00A74FA2"/>
    <w:rsid w:val="00A81254"/>
    <w:rsid w:val="00A86D5F"/>
    <w:rsid w:val="00A91B03"/>
    <w:rsid w:val="00A932FB"/>
    <w:rsid w:val="00A95656"/>
    <w:rsid w:val="00AA03B5"/>
    <w:rsid w:val="00AA22E7"/>
    <w:rsid w:val="00AA30F3"/>
    <w:rsid w:val="00AA56B3"/>
    <w:rsid w:val="00AA717E"/>
    <w:rsid w:val="00AB74F9"/>
    <w:rsid w:val="00AC7B52"/>
    <w:rsid w:val="00AD03EC"/>
    <w:rsid w:val="00AD281A"/>
    <w:rsid w:val="00AD297B"/>
    <w:rsid w:val="00AD38F1"/>
    <w:rsid w:val="00AD413D"/>
    <w:rsid w:val="00AD4E94"/>
    <w:rsid w:val="00AE0610"/>
    <w:rsid w:val="00AE1B40"/>
    <w:rsid w:val="00AE27C1"/>
    <w:rsid w:val="00AE3F84"/>
    <w:rsid w:val="00AE4983"/>
    <w:rsid w:val="00AE6508"/>
    <w:rsid w:val="00AE68C6"/>
    <w:rsid w:val="00AF17FE"/>
    <w:rsid w:val="00AF3C7F"/>
    <w:rsid w:val="00AF40E9"/>
    <w:rsid w:val="00B039A1"/>
    <w:rsid w:val="00B03F35"/>
    <w:rsid w:val="00B04B8C"/>
    <w:rsid w:val="00B0579F"/>
    <w:rsid w:val="00B1311F"/>
    <w:rsid w:val="00B16997"/>
    <w:rsid w:val="00B16E3D"/>
    <w:rsid w:val="00B229D5"/>
    <w:rsid w:val="00B3258F"/>
    <w:rsid w:val="00B32EFD"/>
    <w:rsid w:val="00B3447A"/>
    <w:rsid w:val="00B37314"/>
    <w:rsid w:val="00B37AF1"/>
    <w:rsid w:val="00B40C6D"/>
    <w:rsid w:val="00B448F6"/>
    <w:rsid w:val="00B56918"/>
    <w:rsid w:val="00B5787C"/>
    <w:rsid w:val="00B60379"/>
    <w:rsid w:val="00B61012"/>
    <w:rsid w:val="00B62EE7"/>
    <w:rsid w:val="00B65BD0"/>
    <w:rsid w:val="00B65CDE"/>
    <w:rsid w:val="00B67224"/>
    <w:rsid w:val="00B67C07"/>
    <w:rsid w:val="00B705DE"/>
    <w:rsid w:val="00B825BD"/>
    <w:rsid w:val="00B83EBD"/>
    <w:rsid w:val="00B84D12"/>
    <w:rsid w:val="00B84DFA"/>
    <w:rsid w:val="00B906F9"/>
    <w:rsid w:val="00B91426"/>
    <w:rsid w:val="00B9174D"/>
    <w:rsid w:val="00B97C34"/>
    <w:rsid w:val="00BA0B59"/>
    <w:rsid w:val="00BA2914"/>
    <w:rsid w:val="00BA3AB6"/>
    <w:rsid w:val="00BA6E9E"/>
    <w:rsid w:val="00BA7042"/>
    <w:rsid w:val="00BA707B"/>
    <w:rsid w:val="00BB0ECA"/>
    <w:rsid w:val="00BB1190"/>
    <w:rsid w:val="00BB410E"/>
    <w:rsid w:val="00BB4D5B"/>
    <w:rsid w:val="00BB578E"/>
    <w:rsid w:val="00BB7272"/>
    <w:rsid w:val="00BB78F1"/>
    <w:rsid w:val="00BC149E"/>
    <w:rsid w:val="00BD2A75"/>
    <w:rsid w:val="00BD2B2E"/>
    <w:rsid w:val="00BD3099"/>
    <w:rsid w:val="00BD5F41"/>
    <w:rsid w:val="00BE0385"/>
    <w:rsid w:val="00BE1CA7"/>
    <w:rsid w:val="00BE5D86"/>
    <w:rsid w:val="00BE7660"/>
    <w:rsid w:val="00BF04C3"/>
    <w:rsid w:val="00BF3297"/>
    <w:rsid w:val="00BF6934"/>
    <w:rsid w:val="00BF6EAE"/>
    <w:rsid w:val="00C027F5"/>
    <w:rsid w:val="00C03939"/>
    <w:rsid w:val="00C14FE1"/>
    <w:rsid w:val="00C1605A"/>
    <w:rsid w:val="00C16E82"/>
    <w:rsid w:val="00C20571"/>
    <w:rsid w:val="00C20AE5"/>
    <w:rsid w:val="00C24238"/>
    <w:rsid w:val="00C26BE8"/>
    <w:rsid w:val="00C30104"/>
    <w:rsid w:val="00C329FA"/>
    <w:rsid w:val="00C43CF7"/>
    <w:rsid w:val="00C45BA7"/>
    <w:rsid w:val="00C50A92"/>
    <w:rsid w:val="00C519B2"/>
    <w:rsid w:val="00C526A8"/>
    <w:rsid w:val="00C55CAA"/>
    <w:rsid w:val="00C56FE3"/>
    <w:rsid w:val="00C6146B"/>
    <w:rsid w:val="00C6358C"/>
    <w:rsid w:val="00C72197"/>
    <w:rsid w:val="00C729DC"/>
    <w:rsid w:val="00C74156"/>
    <w:rsid w:val="00C75449"/>
    <w:rsid w:val="00C76E4B"/>
    <w:rsid w:val="00C8379F"/>
    <w:rsid w:val="00C8533A"/>
    <w:rsid w:val="00CA24AC"/>
    <w:rsid w:val="00CA2E5B"/>
    <w:rsid w:val="00CA6059"/>
    <w:rsid w:val="00CA7472"/>
    <w:rsid w:val="00CA7C79"/>
    <w:rsid w:val="00CB2C03"/>
    <w:rsid w:val="00CB4F23"/>
    <w:rsid w:val="00CB52E7"/>
    <w:rsid w:val="00CC07BC"/>
    <w:rsid w:val="00CC1864"/>
    <w:rsid w:val="00CC18D9"/>
    <w:rsid w:val="00CC3683"/>
    <w:rsid w:val="00CC6BDC"/>
    <w:rsid w:val="00CC6F2F"/>
    <w:rsid w:val="00CC71D0"/>
    <w:rsid w:val="00CD0BB0"/>
    <w:rsid w:val="00CD165E"/>
    <w:rsid w:val="00CD4BE6"/>
    <w:rsid w:val="00CD5299"/>
    <w:rsid w:val="00CD7058"/>
    <w:rsid w:val="00CD708B"/>
    <w:rsid w:val="00CD77C4"/>
    <w:rsid w:val="00CE28F8"/>
    <w:rsid w:val="00CE3A5F"/>
    <w:rsid w:val="00CE4612"/>
    <w:rsid w:val="00CE5AFE"/>
    <w:rsid w:val="00CE6344"/>
    <w:rsid w:val="00CF13ED"/>
    <w:rsid w:val="00CF28C5"/>
    <w:rsid w:val="00D0011D"/>
    <w:rsid w:val="00D01685"/>
    <w:rsid w:val="00D0394E"/>
    <w:rsid w:val="00D1006B"/>
    <w:rsid w:val="00D10DAB"/>
    <w:rsid w:val="00D119C1"/>
    <w:rsid w:val="00D1507D"/>
    <w:rsid w:val="00D20FFF"/>
    <w:rsid w:val="00D2704A"/>
    <w:rsid w:val="00D27099"/>
    <w:rsid w:val="00D311F8"/>
    <w:rsid w:val="00D33377"/>
    <w:rsid w:val="00D34C02"/>
    <w:rsid w:val="00D36C8A"/>
    <w:rsid w:val="00D40599"/>
    <w:rsid w:val="00D45C51"/>
    <w:rsid w:val="00D5627D"/>
    <w:rsid w:val="00D639BD"/>
    <w:rsid w:val="00D64BBC"/>
    <w:rsid w:val="00D65B98"/>
    <w:rsid w:val="00D67F94"/>
    <w:rsid w:val="00D70574"/>
    <w:rsid w:val="00D733EC"/>
    <w:rsid w:val="00D7538E"/>
    <w:rsid w:val="00D75E2D"/>
    <w:rsid w:val="00D75F7E"/>
    <w:rsid w:val="00D84A0E"/>
    <w:rsid w:val="00D9028D"/>
    <w:rsid w:val="00D908B7"/>
    <w:rsid w:val="00D927D4"/>
    <w:rsid w:val="00D92D33"/>
    <w:rsid w:val="00D93208"/>
    <w:rsid w:val="00DA16EB"/>
    <w:rsid w:val="00DA6098"/>
    <w:rsid w:val="00DB2C56"/>
    <w:rsid w:val="00DB3343"/>
    <w:rsid w:val="00DB4CE6"/>
    <w:rsid w:val="00DB5873"/>
    <w:rsid w:val="00DB6563"/>
    <w:rsid w:val="00DB7827"/>
    <w:rsid w:val="00DB7FC7"/>
    <w:rsid w:val="00DD30BF"/>
    <w:rsid w:val="00DD6193"/>
    <w:rsid w:val="00DE0BAB"/>
    <w:rsid w:val="00DE187B"/>
    <w:rsid w:val="00DE2C84"/>
    <w:rsid w:val="00DE36BC"/>
    <w:rsid w:val="00DE3A7F"/>
    <w:rsid w:val="00DE451E"/>
    <w:rsid w:val="00DE5752"/>
    <w:rsid w:val="00DF0C14"/>
    <w:rsid w:val="00DF0D6B"/>
    <w:rsid w:val="00DF25D8"/>
    <w:rsid w:val="00DF2A75"/>
    <w:rsid w:val="00DF2CAD"/>
    <w:rsid w:val="00DF4848"/>
    <w:rsid w:val="00DF6D75"/>
    <w:rsid w:val="00DF73C3"/>
    <w:rsid w:val="00E03453"/>
    <w:rsid w:val="00E0376A"/>
    <w:rsid w:val="00E1589D"/>
    <w:rsid w:val="00E15B2E"/>
    <w:rsid w:val="00E16C06"/>
    <w:rsid w:val="00E227D8"/>
    <w:rsid w:val="00E254BA"/>
    <w:rsid w:val="00E272A7"/>
    <w:rsid w:val="00E27658"/>
    <w:rsid w:val="00E40629"/>
    <w:rsid w:val="00E41BB0"/>
    <w:rsid w:val="00E4383F"/>
    <w:rsid w:val="00E43FE1"/>
    <w:rsid w:val="00E50028"/>
    <w:rsid w:val="00E50CB1"/>
    <w:rsid w:val="00E53442"/>
    <w:rsid w:val="00E551F5"/>
    <w:rsid w:val="00E5558F"/>
    <w:rsid w:val="00E55B44"/>
    <w:rsid w:val="00E604C2"/>
    <w:rsid w:val="00E6072B"/>
    <w:rsid w:val="00E61EFC"/>
    <w:rsid w:val="00E648E4"/>
    <w:rsid w:val="00E670FF"/>
    <w:rsid w:val="00E67F5D"/>
    <w:rsid w:val="00E70E7F"/>
    <w:rsid w:val="00E74F82"/>
    <w:rsid w:val="00E77F8A"/>
    <w:rsid w:val="00E77FA6"/>
    <w:rsid w:val="00E80C4E"/>
    <w:rsid w:val="00E866C9"/>
    <w:rsid w:val="00E87154"/>
    <w:rsid w:val="00E871B9"/>
    <w:rsid w:val="00E873C9"/>
    <w:rsid w:val="00E91776"/>
    <w:rsid w:val="00E9662E"/>
    <w:rsid w:val="00EA4117"/>
    <w:rsid w:val="00EA4BD3"/>
    <w:rsid w:val="00EA64D4"/>
    <w:rsid w:val="00EA70FF"/>
    <w:rsid w:val="00EB408C"/>
    <w:rsid w:val="00EB443F"/>
    <w:rsid w:val="00EB5AE7"/>
    <w:rsid w:val="00EB65B5"/>
    <w:rsid w:val="00EC0B7A"/>
    <w:rsid w:val="00EC12E1"/>
    <w:rsid w:val="00EC1472"/>
    <w:rsid w:val="00EC5F11"/>
    <w:rsid w:val="00ED0A1F"/>
    <w:rsid w:val="00ED6817"/>
    <w:rsid w:val="00EE05FD"/>
    <w:rsid w:val="00EE35DC"/>
    <w:rsid w:val="00EE47A3"/>
    <w:rsid w:val="00EE4E37"/>
    <w:rsid w:val="00EE5A23"/>
    <w:rsid w:val="00EE64D0"/>
    <w:rsid w:val="00EF007A"/>
    <w:rsid w:val="00EF01C0"/>
    <w:rsid w:val="00EF2893"/>
    <w:rsid w:val="00EF29CD"/>
    <w:rsid w:val="00EF307C"/>
    <w:rsid w:val="00EF3F11"/>
    <w:rsid w:val="00EF4750"/>
    <w:rsid w:val="00F008C8"/>
    <w:rsid w:val="00F00D36"/>
    <w:rsid w:val="00F032FE"/>
    <w:rsid w:val="00F05E38"/>
    <w:rsid w:val="00F20D25"/>
    <w:rsid w:val="00F36800"/>
    <w:rsid w:val="00F4213F"/>
    <w:rsid w:val="00F44FD3"/>
    <w:rsid w:val="00F450B0"/>
    <w:rsid w:val="00F458AA"/>
    <w:rsid w:val="00F4679E"/>
    <w:rsid w:val="00F50FEB"/>
    <w:rsid w:val="00F5230B"/>
    <w:rsid w:val="00F53447"/>
    <w:rsid w:val="00F57A57"/>
    <w:rsid w:val="00F6623F"/>
    <w:rsid w:val="00F6714D"/>
    <w:rsid w:val="00F82ADE"/>
    <w:rsid w:val="00F84E94"/>
    <w:rsid w:val="00F9021F"/>
    <w:rsid w:val="00F965C1"/>
    <w:rsid w:val="00F97D8D"/>
    <w:rsid w:val="00FA008B"/>
    <w:rsid w:val="00FA2034"/>
    <w:rsid w:val="00FC1B53"/>
    <w:rsid w:val="00FD255D"/>
    <w:rsid w:val="00FD2ABD"/>
    <w:rsid w:val="00FD4F17"/>
    <w:rsid w:val="00FD55E9"/>
    <w:rsid w:val="00FD6392"/>
    <w:rsid w:val="00FD6BFC"/>
    <w:rsid w:val="00FE2A09"/>
    <w:rsid w:val="00FE3B6D"/>
    <w:rsid w:val="00FE54CF"/>
    <w:rsid w:val="00FF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8A16"/>
  <w15:docId w15:val="{87167A37-A37F-429A-BC34-448F74A9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32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55BC"/>
    <w:rPr>
      <w:rFonts w:ascii="Arial" w:hAnsi="Arial"/>
      <w:b/>
      <w:bCs/>
      <w:sz w:val="24"/>
    </w:rPr>
  </w:style>
  <w:style w:type="paragraph" w:styleId="ListParagraph">
    <w:name w:val="List Paragraph"/>
    <w:basedOn w:val="Normal"/>
    <w:link w:val="ListParagraphChar"/>
    <w:uiPriority w:val="34"/>
    <w:qFormat/>
    <w:rsid w:val="003A4F3A"/>
    <w:pPr>
      <w:ind w:left="720"/>
      <w:contextualSpacing/>
    </w:pPr>
  </w:style>
  <w:style w:type="paragraph" w:styleId="BalloonText">
    <w:name w:val="Balloon Text"/>
    <w:basedOn w:val="Normal"/>
    <w:link w:val="BalloonTextChar"/>
    <w:uiPriority w:val="99"/>
    <w:semiHidden/>
    <w:unhideWhenUsed/>
    <w:rsid w:val="00A31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873"/>
    <w:rPr>
      <w:rFonts w:ascii="Tahoma" w:hAnsi="Tahoma" w:cs="Tahoma"/>
      <w:sz w:val="16"/>
      <w:szCs w:val="16"/>
    </w:rPr>
  </w:style>
  <w:style w:type="paragraph" w:styleId="BodyTextIndent2">
    <w:name w:val="Body Text Indent 2"/>
    <w:basedOn w:val="Normal"/>
    <w:link w:val="BodyTextIndent2Char"/>
    <w:rsid w:val="00314C6C"/>
    <w:pPr>
      <w:spacing w:after="0" w:line="240" w:lineRule="auto"/>
      <w:ind w:left="720"/>
    </w:pPr>
    <w:rPr>
      <w:rFonts w:ascii="Book Antiqua" w:eastAsia="Times New Roman" w:hAnsi="Book Antiqua" w:cs="Times New Roman"/>
      <w:szCs w:val="20"/>
    </w:rPr>
  </w:style>
  <w:style w:type="character" w:customStyle="1" w:styleId="BodyTextIndent2Char">
    <w:name w:val="Body Text Indent 2 Char"/>
    <w:basedOn w:val="DefaultParagraphFont"/>
    <w:link w:val="BodyTextIndent2"/>
    <w:rsid w:val="00314C6C"/>
    <w:rPr>
      <w:rFonts w:ascii="Book Antiqua" w:eastAsia="Times New Roman" w:hAnsi="Book Antiqua" w:cs="Times New Roman"/>
      <w:szCs w:val="20"/>
    </w:rPr>
  </w:style>
  <w:style w:type="paragraph" w:styleId="Header">
    <w:name w:val="header"/>
    <w:basedOn w:val="Normal"/>
    <w:link w:val="HeaderChar"/>
    <w:uiPriority w:val="99"/>
    <w:unhideWhenUsed/>
    <w:rsid w:val="00225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400"/>
    <w:rPr>
      <w:rFonts w:ascii="Arial" w:hAnsi="Arial"/>
    </w:rPr>
  </w:style>
  <w:style w:type="paragraph" w:styleId="Footer">
    <w:name w:val="footer"/>
    <w:basedOn w:val="Normal"/>
    <w:link w:val="FooterChar"/>
    <w:uiPriority w:val="99"/>
    <w:unhideWhenUsed/>
    <w:rsid w:val="00225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400"/>
    <w:rPr>
      <w:rFonts w:ascii="Arial" w:hAnsi="Arial"/>
    </w:rPr>
  </w:style>
  <w:style w:type="character" w:customStyle="1" w:styleId="DWTNormChar">
    <w:name w:val="DWTNorm Char"/>
    <w:basedOn w:val="DefaultParagraphFont"/>
    <w:link w:val="DWTNorm"/>
    <w:locked/>
    <w:rsid w:val="005E7EB1"/>
    <w:rPr>
      <w:sz w:val="24"/>
    </w:rPr>
  </w:style>
  <w:style w:type="paragraph" w:customStyle="1" w:styleId="DWTNorm">
    <w:name w:val="DWTNorm"/>
    <w:basedOn w:val="Normal"/>
    <w:link w:val="DWTNormChar"/>
    <w:rsid w:val="005E7EB1"/>
    <w:pPr>
      <w:spacing w:after="240" w:line="240" w:lineRule="auto"/>
      <w:ind w:firstLine="720"/>
    </w:pPr>
    <w:rPr>
      <w:rFonts w:asciiTheme="minorHAnsi" w:hAnsiTheme="minorHAnsi"/>
      <w:sz w:val="24"/>
    </w:rPr>
  </w:style>
  <w:style w:type="character" w:styleId="CommentReference">
    <w:name w:val="annotation reference"/>
    <w:basedOn w:val="DefaultParagraphFont"/>
    <w:semiHidden/>
    <w:unhideWhenUsed/>
    <w:rsid w:val="003727B2"/>
    <w:rPr>
      <w:sz w:val="16"/>
      <w:szCs w:val="16"/>
    </w:rPr>
  </w:style>
  <w:style w:type="paragraph" w:styleId="CommentText">
    <w:name w:val="annotation text"/>
    <w:basedOn w:val="Normal"/>
    <w:link w:val="CommentTextChar"/>
    <w:semiHidden/>
    <w:unhideWhenUsed/>
    <w:rsid w:val="003727B2"/>
    <w:pPr>
      <w:spacing w:line="240" w:lineRule="auto"/>
    </w:pPr>
    <w:rPr>
      <w:sz w:val="20"/>
      <w:szCs w:val="20"/>
    </w:rPr>
  </w:style>
  <w:style w:type="character" w:customStyle="1" w:styleId="CommentTextChar">
    <w:name w:val="Comment Text Char"/>
    <w:basedOn w:val="DefaultParagraphFont"/>
    <w:link w:val="CommentText"/>
    <w:uiPriority w:val="99"/>
    <w:semiHidden/>
    <w:rsid w:val="003727B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727B2"/>
    <w:rPr>
      <w:b/>
      <w:bCs/>
    </w:rPr>
  </w:style>
  <w:style w:type="character" w:customStyle="1" w:styleId="CommentSubjectChar">
    <w:name w:val="Comment Subject Char"/>
    <w:basedOn w:val="CommentTextChar"/>
    <w:link w:val="CommentSubject"/>
    <w:uiPriority w:val="99"/>
    <w:semiHidden/>
    <w:rsid w:val="003727B2"/>
    <w:rPr>
      <w:rFonts w:ascii="Arial" w:hAnsi="Arial"/>
      <w:b/>
      <w:bCs/>
      <w:sz w:val="20"/>
      <w:szCs w:val="20"/>
    </w:rPr>
  </w:style>
  <w:style w:type="paragraph" w:styleId="Revision">
    <w:name w:val="Revision"/>
    <w:hidden/>
    <w:uiPriority w:val="99"/>
    <w:semiHidden/>
    <w:rsid w:val="00650CEE"/>
    <w:pPr>
      <w:spacing w:after="0" w:line="240" w:lineRule="auto"/>
    </w:pPr>
    <w:rPr>
      <w:rFonts w:ascii="Arial" w:hAnsi="Arial"/>
    </w:rPr>
  </w:style>
  <w:style w:type="character" w:styleId="Emphasis">
    <w:name w:val="Emphasis"/>
    <w:basedOn w:val="DefaultParagraphFont"/>
    <w:qFormat/>
    <w:rsid w:val="00E272A7"/>
    <w:rPr>
      <w:i/>
      <w:iCs/>
    </w:rPr>
  </w:style>
  <w:style w:type="character" w:customStyle="1" w:styleId="ListParagraphChar">
    <w:name w:val="List Paragraph Char"/>
    <w:basedOn w:val="DefaultParagraphFont"/>
    <w:link w:val="ListParagraph"/>
    <w:uiPriority w:val="34"/>
    <w:rsid w:val="009D7A31"/>
    <w:rPr>
      <w:rFonts w:ascii="Arial" w:hAnsi="Arial"/>
    </w:rPr>
  </w:style>
  <w:style w:type="paragraph" w:styleId="NormalWeb">
    <w:name w:val="Normal (Web)"/>
    <w:basedOn w:val="Normal"/>
    <w:rsid w:val="00A6142F"/>
    <w:pPr>
      <w:spacing w:after="0" w:line="240" w:lineRule="auto"/>
    </w:pPr>
    <w:rPr>
      <w:rFonts w:ascii="Times New Roman" w:eastAsia="Times New Roman" w:hAnsi="Times New Roman" w:cs="Times New Roman"/>
      <w:sz w:val="24"/>
      <w:szCs w:val="24"/>
    </w:rPr>
  </w:style>
  <w:style w:type="paragraph" w:customStyle="1" w:styleId="Informal1">
    <w:name w:val="Informal1"/>
    <w:rsid w:val="00F450B0"/>
    <w:pPr>
      <w:spacing w:before="60" w:after="60" w:line="240" w:lineRule="auto"/>
    </w:pPr>
    <w:rPr>
      <w:rFonts w:ascii="Times New Roman" w:eastAsia="Times New Roman" w:hAnsi="Times New Roman" w:cs="Times New Roman"/>
      <w:noProof/>
      <w:sz w:val="20"/>
      <w:szCs w:val="20"/>
    </w:rPr>
  </w:style>
  <w:style w:type="paragraph" w:styleId="BodyText">
    <w:name w:val="Body Text"/>
    <w:basedOn w:val="Normal"/>
    <w:link w:val="BodyTextChar"/>
    <w:uiPriority w:val="99"/>
    <w:semiHidden/>
    <w:unhideWhenUsed/>
    <w:rsid w:val="00451D8F"/>
    <w:pPr>
      <w:spacing w:after="120"/>
    </w:pPr>
  </w:style>
  <w:style w:type="character" w:customStyle="1" w:styleId="BodyTextChar">
    <w:name w:val="Body Text Char"/>
    <w:basedOn w:val="DefaultParagraphFont"/>
    <w:link w:val="BodyText"/>
    <w:uiPriority w:val="99"/>
    <w:semiHidden/>
    <w:rsid w:val="00451D8F"/>
    <w:rPr>
      <w:rFonts w:ascii="Arial" w:hAnsi="Arial"/>
    </w:rPr>
  </w:style>
  <w:style w:type="character" w:styleId="Hyperlink">
    <w:name w:val="Hyperlink"/>
    <w:basedOn w:val="DefaultParagraphFont"/>
    <w:uiPriority w:val="99"/>
    <w:unhideWhenUsed/>
    <w:rsid w:val="008C0E06"/>
    <w:rPr>
      <w:color w:val="0000FF" w:themeColor="hyperlink"/>
      <w:u w:val="single"/>
    </w:rPr>
  </w:style>
  <w:style w:type="character" w:styleId="UnresolvedMention">
    <w:name w:val="Unresolved Mention"/>
    <w:basedOn w:val="DefaultParagraphFont"/>
    <w:uiPriority w:val="99"/>
    <w:semiHidden/>
    <w:unhideWhenUsed/>
    <w:rsid w:val="008C0E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9530">
      <w:bodyDiv w:val="1"/>
      <w:marLeft w:val="0"/>
      <w:marRight w:val="0"/>
      <w:marTop w:val="0"/>
      <w:marBottom w:val="0"/>
      <w:divBdr>
        <w:top w:val="none" w:sz="0" w:space="0" w:color="auto"/>
        <w:left w:val="none" w:sz="0" w:space="0" w:color="auto"/>
        <w:bottom w:val="none" w:sz="0" w:space="0" w:color="auto"/>
        <w:right w:val="none" w:sz="0" w:space="0" w:color="auto"/>
      </w:divBdr>
    </w:div>
    <w:div w:id="94985093">
      <w:bodyDiv w:val="1"/>
      <w:marLeft w:val="0"/>
      <w:marRight w:val="0"/>
      <w:marTop w:val="0"/>
      <w:marBottom w:val="0"/>
      <w:divBdr>
        <w:top w:val="none" w:sz="0" w:space="0" w:color="auto"/>
        <w:left w:val="none" w:sz="0" w:space="0" w:color="auto"/>
        <w:bottom w:val="none" w:sz="0" w:space="0" w:color="auto"/>
        <w:right w:val="none" w:sz="0" w:space="0" w:color="auto"/>
      </w:divBdr>
      <w:divsChild>
        <w:div w:id="1548183606">
          <w:marLeft w:val="0"/>
          <w:marRight w:val="0"/>
          <w:marTop w:val="0"/>
          <w:marBottom w:val="0"/>
          <w:divBdr>
            <w:top w:val="none" w:sz="0" w:space="0" w:color="auto"/>
            <w:left w:val="none" w:sz="0" w:space="0" w:color="auto"/>
            <w:bottom w:val="none" w:sz="0" w:space="0" w:color="auto"/>
            <w:right w:val="none" w:sz="0" w:space="0" w:color="auto"/>
          </w:divBdr>
          <w:divsChild>
            <w:div w:id="19851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4047">
      <w:bodyDiv w:val="1"/>
      <w:marLeft w:val="0"/>
      <w:marRight w:val="0"/>
      <w:marTop w:val="0"/>
      <w:marBottom w:val="0"/>
      <w:divBdr>
        <w:top w:val="none" w:sz="0" w:space="0" w:color="auto"/>
        <w:left w:val="none" w:sz="0" w:space="0" w:color="auto"/>
        <w:bottom w:val="none" w:sz="0" w:space="0" w:color="auto"/>
        <w:right w:val="none" w:sz="0" w:space="0" w:color="auto"/>
      </w:divBdr>
    </w:div>
    <w:div w:id="126093008">
      <w:bodyDiv w:val="1"/>
      <w:marLeft w:val="0"/>
      <w:marRight w:val="0"/>
      <w:marTop w:val="0"/>
      <w:marBottom w:val="0"/>
      <w:divBdr>
        <w:top w:val="none" w:sz="0" w:space="0" w:color="auto"/>
        <w:left w:val="none" w:sz="0" w:space="0" w:color="auto"/>
        <w:bottom w:val="none" w:sz="0" w:space="0" w:color="auto"/>
        <w:right w:val="none" w:sz="0" w:space="0" w:color="auto"/>
      </w:divBdr>
    </w:div>
    <w:div w:id="145635148">
      <w:bodyDiv w:val="1"/>
      <w:marLeft w:val="0"/>
      <w:marRight w:val="0"/>
      <w:marTop w:val="0"/>
      <w:marBottom w:val="0"/>
      <w:divBdr>
        <w:top w:val="none" w:sz="0" w:space="0" w:color="auto"/>
        <w:left w:val="none" w:sz="0" w:space="0" w:color="auto"/>
        <w:bottom w:val="none" w:sz="0" w:space="0" w:color="auto"/>
        <w:right w:val="none" w:sz="0" w:space="0" w:color="auto"/>
      </w:divBdr>
    </w:div>
    <w:div w:id="178742566">
      <w:bodyDiv w:val="1"/>
      <w:marLeft w:val="0"/>
      <w:marRight w:val="0"/>
      <w:marTop w:val="0"/>
      <w:marBottom w:val="0"/>
      <w:divBdr>
        <w:top w:val="none" w:sz="0" w:space="0" w:color="auto"/>
        <w:left w:val="none" w:sz="0" w:space="0" w:color="auto"/>
        <w:bottom w:val="none" w:sz="0" w:space="0" w:color="auto"/>
        <w:right w:val="none" w:sz="0" w:space="0" w:color="auto"/>
      </w:divBdr>
    </w:div>
    <w:div w:id="181356838">
      <w:bodyDiv w:val="1"/>
      <w:marLeft w:val="0"/>
      <w:marRight w:val="0"/>
      <w:marTop w:val="0"/>
      <w:marBottom w:val="0"/>
      <w:divBdr>
        <w:top w:val="none" w:sz="0" w:space="0" w:color="auto"/>
        <w:left w:val="none" w:sz="0" w:space="0" w:color="auto"/>
        <w:bottom w:val="none" w:sz="0" w:space="0" w:color="auto"/>
        <w:right w:val="none" w:sz="0" w:space="0" w:color="auto"/>
      </w:divBdr>
    </w:div>
    <w:div w:id="202180770">
      <w:bodyDiv w:val="1"/>
      <w:marLeft w:val="0"/>
      <w:marRight w:val="0"/>
      <w:marTop w:val="0"/>
      <w:marBottom w:val="0"/>
      <w:divBdr>
        <w:top w:val="none" w:sz="0" w:space="0" w:color="auto"/>
        <w:left w:val="none" w:sz="0" w:space="0" w:color="auto"/>
        <w:bottom w:val="none" w:sz="0" w:space="0" w:color="auto"/>
        <w:right w:val="none" w:sz="0" w:space="0" w:color="auto"/>
      </w:divBdr>
    </w:div>
    <w:div w:id="318508681">
      <w:bodyDiv w:val="1"/>
      <w:marLeft w:val="0"/>
      <w:marRight w:val="0"/>
      <w:marTop w:val="0"/>
      <w:marBottom w:val="0"/>
      <w:divBdr>
        <w:top w:val="none" w:sz="0" w:space="0" w:color="auto"/>
        <w:left w:val="none" w:sz="0" w:space="0" w:color="auto"/>
        <w:bottom w:val="none" w:sz="0" w:space="0" w:color="auto"/>
        <w:right w:val="none" w:sz="0" w:space="0" w:color="auto"/>
      </w:divBdr>
      <w:divsChild>
        <w:div w:id="516774071">
          <w:marLeft w:val="806"/>
          <w:marRight w:val="0"/>
          <w:marTop w:val="200"/>
          <w:marBottom w:val="0"/>
          <w:divBdr>
            <w:top w:val="none" w:sz="0" w:space="0" w:color="auto"/>
            <w:left w:val="none" w:sz="0" w:space="0" w:color="auto"/>
            <w:bottom w:val="none" w:sz="0" w:space="0" w:color="auto"/>
            <w:right w:val="none" w:sz="0" w:space="0" w:color="auto"/>
          </w:divBdr>
        </w:div>
        <w:div w:id="585966664">
          <w:marLeft w:val="806"/>
          <w:marRight w:val="0"/>
          <w:marTop w:val="200"/>
          <w:marBottom w:val="0"/>
          <w:divBdr>
            <w:top w:val="none" w:sz="0" w:space="0" w:color="auto"/>
            <w:left w:val="none" w:sz="0" w:space="0" w:color="auto"/>
            <w:bottom w:val="none" w:sz="0" w:space="0" w:color="auto"/>
            <w:right w:val="none" w:sz="0" w:space="0" w:color="auto"/>
          </w:divBdr>
        </w:div>
        <w:div w:id="1351952410">
          <w:marLeft w:val="806"/>
          <w:marRight w:val="0"/>
          <w:marTop w:val="200"/>
          <w:marBottom w:val="0"/>
          <w:divBdr>
            <w:top w:val="none" w:sz="0" w:space="0" w:color="auto"/>
            <w:left w:val="none" w:sz="0" w:space="0" w:color="auto"/>
            <w:bottom w:val="none" w:sz="0" w:space="0" w:color="auto"/>
            <w:right w:val="none" w:sz="0" w:space="0" w:color="auto"/>
          </w:divBdr>
        </w:div>
      </w:divsChild>
    </w:div>
    <w:div w:id="336352651">
      <w:bodyDiv w:val="1"/>
      <w:marLeft w:val="0"/>
      <w:marRight w:val="0"/>
      <w:marTop w:val="0"/>
      <w:marBottom w:val="0"/>
      <w:divBdr>
        <w:top w:val="none" w:sz="0" w:space="0" w:color="auto"/>
        <w:left w:val="none" w:sz="0" w:space="0" w:color="auto"/>
        <w:bottom w:val="none" w:sz="0" w:space="0" w:color="auto"/>
        <w:right w:val="none" w:sz="0" w:space="0" w:color="auto"/>
      </w:divBdr>
    </w:div>
    <w:div w:id="364067538">
      <w:bodyDiv w:val="1"/>
      <w:marLeft w:val="0"/>
      <w:marRight w:val="0"/>
      <w:marTop w:val="0"/>
      <w:marBottom w:val="0"/>
      <w:divBdr>
        <w:top w:val="none" w:sz="0" w:space="0" w:color="auto"/>
        <w:left w:val="none" w:sz="0" w:space="0" w:color="auto"/>
        <w:bottom w:val="none" w:sz="0" w:space="0" w:color="auto"/>
        <w:right w:val="none" w:sz="0" w:space="0" w:color="auto"/>
      </w:divBdr>
    </w:div>
    <w:div w:id="421879564">
      <w:bodyDiv w:val="1"/>
      <w:marLeft w:val="0"/>
      <w:marRight w:val="0"/>
      <w:marTop w:val="0"/>
      <w:marBottom w:val="0"/>
      <w:divBdr>
        <w:top w:val="none" w:sz="0" w:space="0" w:color="auto"/>
        <w:left w:val="none" w:sz="0" w:space="0" w:color="auto"/>
        <w:bottom w:val="none" w:sz="0" w:space="0" w:color="auto"/>
        <w:right w:val="none" w:sz="0" w:space="0" w:color="auto"/>
      </w:divBdr>
    </w:div>
    <w:div w:id="429005864">
      <w:bodyDiv w:val="1"/>
      <w:marLeft w:val="0"/>
      <w:marRight w:val="0"/>
      <w:marTop w:val="0"/>
      <w:marBottom w:val="0"/>
      <w:divBdr>
        <w:top w:val="none" w:sz="0" w:space="0" w:color="auto"/>
        <w:left w:val="none" w:sz="0" w:space="0" w:color="auto"/>
        <w:bottom w:val="none" w:sz="0" w:space="0" w:color="auto"/>
        <w:right w:val="none" w:sz="0" w:space="0" w:color="auto"/>
      </w:divBdr>
    </w:div>
    <w:div w:id="436222236">
      <w:bodyDiv w:val="1"/>
      <w:marLeft w:val="0"/>
      <w:marRight w:val="0"/>
      <w:marTop w:val="0"/>
      <w:marBottom w:val="0"/>
      <w:divBdr>
        <w:top w:val="none" w:sz="0" w:space="0" w:color="auto"/>
        <w:left w:val="none" w:sz="0" w:space="0" w:color="auto"/>
        <w:bottom w:val="none" w:sz="0" w:space="0" w:color="auto"/>
        <w:right w:val="none" w:sz="0" w:space="0" w:color="auto"/>
      </w:divBdr>
    </w:div>
    <w:div w:id="452138676">
      <w:bodyDiv w:val="1"/>
      <w:marLeft w:val="0"/>
      <w:marRight w:val="0"/>
      <w:marTop w:val="0"/>
      <w:marBottom w:val="0"/>
      <w:divBdr>
        <w:top w:val="none" w:sz="0" w:space="0" w:color="auto"/>
        <w:left w:val="none" w:sz="0" w:space="0" w:color="auto"/>
        <w:bottom w:val="none" w:sz="0" w:space="0" w:color="auto"/>
        <w:right w:val="none" w:sz="0" w:space="0" w:color="auto"/>
      </w:divBdr>
    </w:div>
    <w:div w:id="454368882">
      <w:bodyDiv w:val="1"/>
      <w:marLeft w:val="0"/>
      <w:marRight w:val="0"/>
      <w:marTop w:val="0"/>
      <w:marBottom w:val="0"/>
      <w:divBdr>
        <w:top w:val="none" w:sz="0" w:space="0" w:color="auto"/>
        <w:left w:val="none" w:sz="0" w:space="0" w:color="auto"/>
        <w:bottom w:val="none" w:sz="0" w:space="0" w:color="auto"/>
        <w:right w:val="none" w:sz="0" w:space="0" w:color="auto"/>
      </w:divBdr>
    </w:div>
    <w:div w:id="457334682">
      <w:bodyDiv w:val="1"/>
      <w:marLeft w:val="0"/>
      <w:marRight w:val="0"/>
      <w:marTop w:val="0"/>
      <w:marBottom w:val="0"/>
      <w:divBdr>
        <w:top w:val="none" w:sz="0" w:space="0" w:color="auto"/>
        <w:left w:val="none" w:sz="0" w:space="0" w:color="auto"/>
        <w:bottom w:val="none" w:sz="0" w:space="0" w:color="auto"/>
        <w:right w:val="none" w:sz="0" w:space="0" w:color="auto"/>
      </w:divBdr>
    </w:div>
    <w:div w:id="462775975">
      <w:bodyDiv w:val="1"/>
      <w:marLeft w:val="0"/>
      <w:marRight w:val="0"/>
      <w:marTop w:val="0"/>
      <w:marBottom w:val="0"/>
      <w:divBdr>
        <w:top w:val="none" w:sz="0" w:space="0" w:color="auto"/>
        <w:left w:val="none" w:sz="0" w:space="0" w:color="auto"/>
        <w:bottom w:val="none" w:sz="0" w:space="0" w:color="auto"/>
        <w:right w:val="none" w:sz="0" w:space="0" w:color="auto"/>
      </w:divBdr>
    </w:div>
    <w:div w:id="497502687">
      <w:bodyDiv w:val="1"/>
      <w:marLeft w:val="0"/>
      <w:marRight w:val="0"/>
      <w:marTop w:val="0"/>
      <w:marBottom w:val="0"/>
      <w:divBdr>
        <w:top w:val="none" w:sz="0" w:space="0" w:color="auto"/>
        <w:left w:val="none" w:sz="0" w:space="0" w:color="auto"/>
        <w:bottom w:val="none" w:sz="0" w:space="0" w:color="auto"/>
        <w:right w:val="none" w:sz="0" w:space="0" w:color="auto"/>
      </w:divBdr>
    </w:div>
    <w:div w:id="513959723">
      <w:bodyDiv w:val="1"/>
      <w:marLeft w:val="0"/>
      <w:marRight w:val="0"/>
      <w:marTop w:val="0"/>
      <w:marBottom w:val="0"/>
      <w:divBdr>
        <w:top w:val="none" w:sz="0" w:space="0" w:color="auto"/>
        <w:left w:val="none" w:sz="0" w:space="0" w:color="auto"/>
        <w:bottom w:val="none" w:sz="0" w:space="0" w:color="auto"/>
        <w:right w:val="none" w:sz="0" w:space="0" w:color="auto"/>
      </w:divBdr>
    </w:div>
    <w:div w:id="544413532">
      <w:bodyDiv w:val="1"/>
      <w:marLeft w:val="0"/>
      <w:marRight w:val="0"/>
      <w:marTop w:val="0"/>
      <w:marBottom w:val="0"/>
      <w:divBdr>
        <w:top w:val="none" w:sz="0" w:space="0" w:color="auto"/>
        <w:left w:val="none" w:sz="0" w:space="0" w:color="auto"/>
        <w:bottom w:val="none" w:sz="0" w:space="0" w:color="auto"/>
        <w:right w:val="none" w:sz="0" w:space="0" w:color="auto"/>
      </w:divBdr>
    </w:div>
    <w:div w:id="576549729">
      <w:bodyDiv w:val="1"/>
      <w:marLeft w:val="0"/>
      <w:marRight w:val="0"/>
      <w:marTop w:val="0"/>
      <w:marBottom w:val="0"/>
      <w:divBdr>
        <w:top w:val="none" w:sz="0" w:space="0" w:color="auto"/>
        <w:left w:val="none" w:sz="0" w:space="0" w:color="auto"/>
        <w:bottom w:val="none" w:sz="0" w:space="0" w:color="auto"/>
        <w:right w:val="none" w:sz="0" w:space="0" w:color="auto"/>
      </w:divBdr>
    </w:div>
    <w:div w:id="633684117">
      <w:bodyDiv w:val="1"/>
      <w:marLeft w:val="0"/>
      <w:marRight w:val="0"/>
      <w:marTop w:val="0"/>
      <w:marBottom w:val="0"/>
      <w:divBdr>
        <w:top w:val="none" w:sz="0" w:space="0" w:color="auto"/>
        <w:left w:val="none" w:sz="0" w:space="0" w:color="auto"/>
        <w:bottom w:val="none" w:sz="0" w:space="0" w:color="auto"/>
        <w:right w:val="none" w:sz="0" w:space="0" w:color="auto"/>
      </w:divBdr>
    </w:div>
    <w:div w:id="735904608">
      <w:bodyDiv w:val="1"/>
      <w:marLeft w:val="0"/>
      <w:marRight w:val="0"/>
      <w:marTop w:val="0"/>
      <w:marBottom w:val="0"/>
      <w:divBdr>
        <w:top w:val="none" w:sz="0" w:space="0" w:color="auto"/>
        <w:left w:val="none" w:sz="0" w:space="0" w:color="auto"/>
        <w:bottom w:val="none" w:sz="0" w:space="0" w:color="auto"/>
        <w:right w:val="none" w:sz="0" w:space="0" w:color="auto"/>
      </w:divBdr>
    </w:div>
    <w:div w:id="765463837">
      <w:bodyDiv w:val="1"/>
      <w:marLeft w:val="0"/>
      <w:marRight w:val="0"/>
      <w:marTop w:val="0"/>
      <w:marBottom w:val="0"/>
      <w:divBdr>
        <w:top w:val="none" w:sz="0" w:space="0" w:color="auto"/>
        <w:left w:val="none" w:sz="0" w:space="0" w:color="auto"/>
        <w:bottom w:val="none" w:sz="0" w:space="0" w:color="auto"/>
        <w:right w:val="none" w:sz="0" w:space="0" w:color="auto"/>
      </w:divBdr>
    </w:div>
    <w:div w:id="792331870">
      <w:bodyDiv w:val="1"/>
      <w:marLeft w:val="0"/>
      <w:marRight w:val="0"/>
      <w:marTop w:val="0"/>
      <w:marBottom w:val="0"/>
      <w:divBdr>
        <w:top w:val="none" w:sz="0" w:space="0" w:color="auto"/>
        <w:left w:val="none" w:sz="0" w:space="0" w:color="auto"/>
        <w:bottom w:val="none" w:sz="0" w:space="0" w:color="auto"/>
        <w:right w:val="none" w:sz="0" w:space="0" w:color="auto"/>
      </w:divBdr>
    </w:div>
    <w:div w:id="804618236">
      <w:bodyDiv w:val="1"/>
      <w:marLeft w:val="0"/>
      <w:marRight w:val="0"/>
      <w:marTop w:val="0"/>
      <w:marBottom w:val="0"/>
      <w:divBdr>
        <w:top w:val="none" w:sz="0" w:space="0" w:color="auto"/>
        <w:left w:val="none" w:sz="0" w:space="0" w:color="auto"/>
        <w:bottom w:val="none" w:sz="0" w:space="0" w:color="auto"/>
        <w:right w:val="none" w:sz="0" w:space="0" w:color="auto"/>
      </w:divBdr>
    </w:div>
    <w:div w:id="855845971">
      <w:bodyDiv w:val="1"/>
      <w:marLeft w:val="0"/>
      <w:marRight w:val="0"/>
      <w:marTop w:val="0"/>
      <w:marBottom w:val="0"/>
      <w:divBdr>
        <w:top w:val="none" w:sz="0" w:space="0" w:color="auto"/>
        <w:left w:val="none" w:sz="0" w:space="0" w:color="auto"/>
        <w:bottom w:val="none" w:sz="0" w:space="0" w:color="auto"/>
        <w:right w:val="none" w:sz="0" w:space="0" w:color="auto"/>
      </w:divBdr>
    </w:div>
    <w:div w:id="873346974">
      <w:bodyDiv w:val="1"/>
      <w:marLeft w:val="0"/>
      <w:marRight w:val="0"/>
      <w:marTop w:val="0"/>
      <w:marBottom w:val="0"/>
      <w:divBdr>
        <w:top w:val="none" w:sz="0" w:space="0" w:color="auto"/>
        <w:left w:val="none" w:sz="0" w:space="0" w:color="auto"/>
        <w:bottom w:val="none" w:sz="0" w:space="0" w:color="auto"/>
        <w:right w:val="none" w:sz="0" w:space="0" w:color="auto"/>
      </w:divBdr>
    </w:div>
    <w:div w:id="878400489">
      <w:bodyDiv w:val="1"/>
      <w:marLeft w:val="0"/>
      <w:marRight w:val="0"/>
      <w:marTop w:val="0"/>
      <w:marBottom w:val="0"/>
      <w:divBdr>
        <w:top w:val="none" w:sz="0" w:space="0" w:color="auto"/>
        <w:left w:val="none" w:sz="0" w:space="0" w:color="auto"/>
        <w:bottom w:val="none" w:sz="0" w:space="0" w:color="auto"/>
        <w:right w:val="none" w:sz="0" w:space="0" w:color="auto"/>
      </w:divBdr>
    </w:div>
    <w:div w:id="908537142">
      <w:bodyDiv w:val="1"/>
      <w:marLeft w:val="0"/>
      <w:marRight w:val="0"/>
      <w:marTop w:val="0"/>
      <w:marBottom w:val="0"/>
      <w:divBdr>
        <w:top w:val="none" w:sz="0" w:space="0" w:color="auto"/>
        <w:left w:val="none" w:sz="0" w:space="0" w:color="auto"/>
        <w:bottom w:val="none" w:sz="0" w:space="0" w:color="auto"/>
        <w:right w:val="none" w:sz="0" w:space="0" w:color="auto"/>
      </w:divBdr>
    </w:div>
    <w:div w:id="917249836">
      <w:bodyDiv w:val="1"/>
      <w:marLeft w:val="0"/>
      <w:marRight w:val="0"/>
      <w:marTop w:val="0"/>
      <w:marBottom w:val="0"/>
      <w:divBdr>
        <w:top w:val="none" w:sz="0" w:space="0" w:color="auto"/>
        <w:left w:val="none" w:sz="0" w:space="0" w:color="auto"/>
        <w:bottom w:val="none" w:sz="0" w:space="0" w:color="auto"/>
        <w:right w:val="none" w:sz="0" w:space="0" w:color="auto"/>
      </w:divBdr>
    </w:div>
    <w:div w:id="976105640">
      <w:bodyDiv w:val="1"/>
      <w:marLeft w:val="0"/>
      <w:marRight w:val="0"/>
      <w:marTop w:val="0"/>
      <w:marBottom w:val="0"/>
      <w:divBdr>
        <w:top w:val="none" w:sz="0" w:space="0" w:color="auto"/>
        <w:left w:val="none" w:sz="0" w:space="0" w:color="auto"/>
        <w:bottom w:val="none" w:sz="0" w:space="0" w:color="auto"/>
        <w:right w:val="none" w:sz="0" w:space="0" w:color="auto"/>
      </w:divBdr>
    </w:div>
    <w:div w:id="1022972845">
      <w:bodyDiv w:val="1"/>
      <w:marLeft w:val="0"/>
      <w:marRight w:val="0"/>
      <w:marTop w:val="0"/>
      <w:marBottom w:val="0"/>
      <w:divBdr>
        <w:top w:val="none" w:sz="0" w:space="0" w:color="auto"/>
        <w:left w:val="none" w:sz="0" w:space="0" w:color="auto"/>
        <w:bottom w:val="none" w:sz="0" w:space="0" w:color="auto"/>
        <w:right w:val="none" w:sz="0" w:space="0" w:color="auto"/>
      </w:divBdr>
    </w:div>
    <w:div w:id="1028682478">
      <w:bodyDiv w:val="1"/>
      <w:marLeft w:val="0"/>
      <w:marRight w:val="0"/>
      <w:marTop w:val="0"/>
      <w:marBottom w:val="0"/>
      <w:divBdr>
        <w:top w:val="none" w:sz="0" w:space="0" w:color="auto"/>
        <w:left w:val="none" w:sz="0" w:space="0" w:color="auto"/>
        <w:bottom w:val="none" w:sz="0" w:space="0" w:color="auto"/>
        <w:right w:val="none" w:sz="0" w:space="0" w:color="auto"/>
      </w:divBdr>
    </w:div>
    <w:div w:id="1035429750">
      <w:bodyDiv w:val="1"/>
      <w:marLeft w:val="0"/>
      <w:marRight w:val="0"/>
      <w:marTop w:val="0"/>
      <w:marBottom w:val="0"/>
      <w:divBdr>
        <w:top w:val="none" w:sz="0" w:space="0" w:color="auto"/>
        <w:left w:val="none" w:sz="0" w:space="0" w:color="auto"/>
        <w:bottom w:val="none" w:sz="0" w:space="0" w:color="auto"/>
        <w:right w:val="none" w:sz="0" w:space="0" w:color="auto"/>
      </w:divBdr>
    </w:div>
    <w:div w:id="1041319309">
      <w:bodyDiv w:val="1"/>
      <w:marLeft w:val="0"/>
      <w:marRight w:val="0"/>
      <w:marTop w:val="0"/>
      <w:marBottom w:val="0"/>
      <w:divBdr>
        <w:top w:val="none" w:sz="0" w:space="0" w:color="auto"/>
        <w:left w:val="none" w:sz="0" w:space="0" w:color="auto"/>
        <w:bottom w:val="none" w:sz="0" w:space="0" w:color="auto"/>
        <w:right w:val="none" w:sz="0" w:space="0" w:color="auto"/>
      </w:divBdr>
    </w:div>
    <w:div w:id="1129326525">
      <w:bodyDiv w:val="1"/>
      <w:marLeft w:val="0"/>
      <w:marRight w:val="0"/>
      <w:marTop w:val="0"/>
      <w:marBottom w:val="0"/>
      <w:divBdr>
        <w:top w:val="none" w:sz="0" w:space="0" w:color="auto"/>
        <w:left w:val="none" w:sz="0" w:space="0" w:color="auto"/>
        <w:bottom w:val="none" w:sz="0" w:space="0" w:color="auto"/>
        <w:right w:val="none" w:sz="0" w:space="0" w:color="auto"/>
      </w:divBdr>
    </w:div>
    <w:div w:id="1167136230">
      <w:bodyDiv w:val="1"/>
      <w:marLeft w:val="0"/>
      <w:marRight w:val="0"/>
      <w:marTop w:val="0"/>
      <w:marBottom w:val="0"/>
      <w:divBdr>
        <w:top w:val="none" w:sz="0" w:space="0" w:color="auto"/>
        <w:left w:val="none" w:sz="0" w:space="0" w:color="auto"/>
        <w:bottom w:val="none" w:sz="0" w:space="0" w:color="auto"/>
        <w:right w:val="none" w:sz="0" w:space="0" w:color="auto"/>
      </w:divBdr>
    </w:div>
    <w:div w:id="1168248959">
      <w:bodyDiv w:val="1"/>
      <w:marLeft w:val="0"/>
      <w:marRight w:val="0"/>
      <w:marTop w:val="0"/>
      <w:marBottom w:val="0"/>
      <w:divBdr>
        <w:top w:val="none" w:sz="0" w:space="0" w:color="auto"/>
        <w:left w:val="none" w:sz="0" w:space="0" w:color="auto"/>
        <w:bottom w:val="none" w:sz="0" w:space="0" w:color="auto"/>
        <w:right w:val="none" w:sz="0" w:space="0" w:color="auto"/>
      </w:divBdr>
    </w:div>
    <w:div w:id="1222132004">
      <w:bodyDiv w:val="1"/>
      <w:marLeft w:val="0"/>
      <w:marRight w:val="0"/>
      <w:marTop w:val="0"/>
      <w:marBottom w:val="0"/>
      <w:divBdr>
        <w:top w:val="none" w:sz="0" w:space="0" w:color="auto"/>
        <w:left w:val="none" w:sz="0" w:space="0" w:color="auto"/>
        <w:bottom w:val="none" w:sz="0" w:space="0" w:color="auto"/>
        <w:right w:val="none" w:sz="0" w:space="0" w:color="auto"/>
      </w:divBdr>
    </w:div>
    <w:div w:id="1283880121">
      <w:bodyDiv w:val="1"/>
      <w:marLeft w:val="0"/>
      <w:marRight w:val="0"/>
      <w:marTop w:val="0"/>
      <w:marBottom w:val="0"/>
      <w:divBdr>
        <w:top w:val="none" w:sz="0" w:space="0" w:color="auto"/>
        <w:left w:val="none" w:sz="0" w:space="0" w:color="auto"/>
        <w:bottom w:val="none" w:sz="0" w:space="0" w:color="auto"/>
        <w:right w:val="none" w:sz="0" w:space="0" w:color="auto"/>
      </w:divBdr>
    </w:div>
    <w:div w:id="1355571800">
      <w:bodyDiv w:val="1"/>
      <w:marLeft w:val="0"/>
      <w:marRight w:val="0"/>
      <w:marTop w:val="0"/>
      <w:marBottom w:val="0"/>
      <w:divBdr>
        <w:top w:val="none" w:sz="0" w:space="0" w:color="auto"/>
        <w:left w:val="none" w:sz="0" w:space="0" w:color="auto"/>
        <w:bottom w:val="none" w:sz="0" w:space="0" w:color="auto"/>
        <w:right w:val="none" w:sz="0" w:space="0" w:color="auto"/>
      </w:divBdr>
    </w:div>
    <w:div w:id="1369640522">
      <w:bodyDiv w:val="1"/>
      <w:marLeft w:val="0"/>
      <w:marRight w:val="0"/>
      <w:marTop w:val="0"/>
      <w:marBottom w:val="0"/>
      <w:divBdr>
        <w:top w:val="none" w:sz="0" w:space="0" w:color="auto"/>
        <w:left w:val="none" w:sz="0" w:space="0" w:color="auto"/>
        <w:bottom w:val="none" w:sz="0" w:space="0" w:color="auto"/>
        <w:right w:val="none" w:sz="0" w:space="0" w:color="auto"/>
      </w:divBdr>
    </w:div>
    <w:div w:id="1385258119">
      <w:bodyDiv w:val="1"/>
      <w:marLeft w:val="0"/>
      <w:marRight w:val="0"/>
      <w:marTop w:val="0"/>
      <w:marBottom w:val="0"/>
      <w:divBdr>
        <w:top w:val="none" w:sz="0" w:space="0" w:color="auto"/>
        <w:left w:val="none" w:sz="0" w:space="0" w:color="auto"/>
        <w:bottom w:val="none" w:sz="0" w:space="0" w:color="auto"/>
        <w:right w:val="none" w:sz="0" w:space="0" w:color="auto"/>
      </w:divBdr>
    </w:div>
    <w:div w:id="1403064261">
      <w:bodyDiv w:val="1"/>
      <w:marLeft w:val="0"/>
      <w:marRight w:val="0"/>
      <w:marTop w:val="0"/>
      <w:marBottom w:val="0"/>
      <w:divBdr>
        <w:top w:val="none" w:sz="0" w:space="0" w:color="auto"/>
        <w:left w:val="none" w:sz="0" w:space="0" w:color="auto"/>
        <w:bottom w:val="none" w:sz="0" w:space="0" w:color="auto"/>
        <w:right w:val="none" w:sz="0" w:space="0" w:color="auto"/>
      </w:divBdr>
    </w:div>
    <w:div w:id="1406877827">
      <w:bodyDiv w:val="1"/>
      <w:marLeft w:val="0"/>
      <w:marRight w:val="0"/>
      <w:marTop w:val="0"/>
      <w:marBottom w:val="0"/>
      <w:divBdr>
        <w:top w:val="none" w:sz="0" w:space="0" w:color="auto"/>
        <w:left w:val="none" w:sz="0" w:space="0" w:color="auto"/>
        <w:bottom w:val="none" w:sz="0" w:space="0" w:color="auto"/>
        <w:right w:val="none" w:sz="0" w:space="0" w:color="auto"/>
      </w:divBdr>
    </w:div>
    <w:div w:id="1466436154">
      <w:bodyDiv w:val="1"/>
      <w:marLeft w:val="0"/>
      <w:marRight w:val="0"/>
      <w:marTop w:val="0"/>
      <w:marBottom w:val="0"/>
      <w:divBdr>
        <w:top w:val="none" w:sz="0" w:space="0" w:color="auto"/>
        <w:left w:val="none" w:sz="0" w:space="0" w:color="auto"/>
        <w:bottom w:val="none" w:sz="0" w:space="0" w:color="auto"/>
        <w:right w:val="none" w:sz="0" w:space="0" w:color="auto"/>
      </w:divBdr>
    </w:div>
    <w:div w:id="1476602708">
      <w:bodyDiv w:val="1"/>
      <w:marLeft w:val="0"/>
      <w:marRight w:val="0"/>
      <w:marTop w:val="0"/>
      <w:marBottom w:val="0"/>
      <w:divBdr>
        <w:top w:val="none" w:sz="0" w:space="0" w:color="auto"/>
        <w:left w:val="none" w:sz="0" w:space="0" w:color="auto"/>
        <w:bottom w:val="none" w:sz="0" w:space="0" w:color="auto"/>
        <w:right w:val="none" w:sz="0" w:space="0" w:color="auto"/>
      </w:divBdr>
    </w:div>
    <w:div w:id="1536384040">
      <w:bodyDiv w:val="1"/>
      <w:marLeft w:val="0"/>
      <w:marRight w:val="0"/>
      <w:marTop w:val="0"/>
      <w:marBottom w:val="0"/>
      <w:divBdr>
        <w:top w:val="none" w:sz="0" w:space="0" w:color="auto"/>
        <w:left w:val="none" w:sz="0" w:space="0" w:color="auto"/>
        <w:bottom w:val="none" w:sz="0" w:space="0" w:color="auto"/>
        <w:right w:val="none" w:sz="0" w:space="0" w:color="auto"/>
      </w:divBdr>
    </w:div>
    <w:div w:id="1567953578">
      <w:bodyDiv w:val="1"/>
      <w:marLeft w:val="0"/>
      <w:marRight w:val="0"/>
      <w:marTop w:val="0"/>
      <w:marBottom w:val="0"/>
      <w:divBdr>
        <w:top w:val="none" w:sz="0" w:space="0" w:color="auto"/>
        <w:left w:val="none" w:sz="0" w:space="0" w:color="auto"/>
        <w:bottom w:val="none" w:sz="0" w:space="0" w:color="auto"/>
        <w:right w:val="none" w:sz="0" w:space="0" w:color="auto"/>
      </w:divBdr>
    </w:div>
    <w:div w:id="1645307487">
      <w:bodyDiv w:val="1"/>
      <w:marLeft w:val="0"/>
      <w:marRight w:val="0"/>
      <w:marTop w:val="0"/>
      <w:marBottom w:val="0"/>
      <w:divBdr>
        <w:top w:val="none" w:sz="0" w:space="0" w:color="auto"/>
        <w:left w:val="none" w:sz="0" w:space="0" w:color="auto"/>
        <w:bottom w:val="none" w:sz="0" w:space="0" w:color="auto"/>
        <w:right w:val="none" w:sz="0" w:space="0" w:color="auto"/>
      </w:divBdr>
    </w:div>
    <w:div w:id="1663653102">
      <w:bodyDiv w:val="1"/>
      <w:marLeft w:val="0"/>
      <w:marRight w:val="0"/>
      <w:marTop w:val="0"/>
      <w:marBottom w:val="0"/>
      <w:divBdr>
        <w:top w:val="none" w:sz="0" w:space="0" w:color="auto"/>
        <w:left w:val="none" w:sz="0" w:space="0" w:color="auto"/>
        <w:bottom w:val="none" w:sz="0" w:space="0" w:color="auto"/>
        <w:right w:val="none" w:sz="0" w:space="0" w:color="auto"/>
      </w:divBdr>
    </w:div>
    <w:div w:id="1748334801">
      <w:bodyDiv w:val="1"/>
      <w:marLeft w:val="0"/>
      <w:marRight w:val="0"/>
      <w:marTop w:val="0"/>
      <w:marBottom w:val="0"/>
      <w:divBdr>
        <w:top w:val="none" w:sz="0" w:space="0" w:color="auto"/>
        <w:left w:val="none" w:sz="0" w:space="0" w:color="auto"/>
        <w:bottom w:val="none" w:sz="0" w:space="0" w:color="auto"/>
        <w:right w:val="none" w:sz="0" w:space="0" w:color="auto"/>
      </w:divBdr>
    </w:div>
    <w:div w:id="1811940184">
      <w:bodyDiv w:val="1"/>
      <w:marLeft w:val="0"/>
      <w:marRight w:val="0"/>
      <w:marTop w:val="0"/>
      <w:marBottom w:val="0"/>
      <w:divBdr>
        <w:top w:val="none" w:sz="0" w:space="0" w:color="auto"/>
        <w:left w:val="none" w:sz="0" w:space="0" w:color="auto"/>
        <w:bottom w:val="none" w:sz="0" w:space="0" w:color="auto"/>
        <w:right w:val="none" w:sz="0" w:space="0" w:color="auto"/>
      </w:divBdr>
    </w:div>
    <w:div w:id="1890531552">
      <w:bodyDiv w:val="1"/>
      <w:marLeft w:val="0"/>
      <w:marRight w:val="0"/>
      <w:marTop w:val="0"/>
      <w:marBottom w:val="0"/>
      <w:divBdr>
        <w:top w:val="none" w:sz="0" w:space="0" w:color="auto"/>
        <w:left w:val="none" w:sz="0" w:space="0" w:color="auto"/>
        <w:bottom w:val="none" w:sz="0" w:space="0" w:color="auto"/>
        <w:right w:val="none" w:sz="0" w:space="0" w:color="auto"/>
      </w:divBdr>
    </w:div>
    <w:div w:id="1894270685">
      <w:bodyDiv w:val="1"/>
      <w:marLeft w:val="0"/>
      <w:marRight w:val="0"/>
      <w:marTop w:val="0"/>
      <w:marBottom w:val="0"/>
      <w:divBdr>
        <w:top w:val="none" w:sz="0" w:space="0" w:color="auto"/>
        <w:left w:val="none" w:sz="0" w:space="0" w:color="auto"/>
        <w:bottom w:val="none" w:sz="0" w:space="0" w:color="auto"/>
        <w:right w:val="none" w:sz="0" w:space="0" w:color="auto"/>
      </w:divBdr>
    </w:div>
    <w:div w:id="1894416165">
      <w:bodyDiv w:val="1"/>
      <w:marLeft w:val="0"/>
      <w:marRight w:val="0"/>
      <w:marTop w:val="0"/>
      <w:marBottom w:val="0"/>
      <w:divBdr>
        <w:top w:val="none" w:sz="0" w:space="0" w:color="auto"/>
        <w:left w:val="none" w:sz="0" w:space="0" w:color="auto"/>
        <w:bottom w:val="none" w:sz="0" w:space="0" w:color="auto"/>
        <w:right w:val="none" w:sz="0" w:space="0" w:color="auto"/>
      </w:divBdr>
    </w:div>
    <w:div w:id="1903522244">
      <w:bodyDiv w:val="1"/>
      <w:marLeft w:val="0"/>
      <w:marRight w:val="0"/>
      <w:marTop w:val="0"/>
      <w:marBottom w:val="0"/>
      <w:divBdr>
        <w:top w:val="none" w:sz="0" w:space="0" w:color="auto"/>
        <w:left w:val="none" w:sz="0" w:space="0" w:color="auto"/>
        <w:bottom w:val="none" w:sz="0" w:space="0" w:color="auto"/>
        <w:right w:val="none" w:sz="0" w:space="0" w:color="auto"/>
      </w:divBdr>
    </w:div>
    <w:div w:id="1904638810">
      <w:bodyDiv w:val="1"/>
      <w:marLeft w:val="0"/>
      <w:marRight w:val="0"/>
      <w:marTop w:val="0"/>
      <w:marBottom w:val="0"/>
      <w:divBdr>
        <w:top w:val="none" w:sz="0" w:space="0" w:color="auto"/>
        <w:left w:val="none" w:sz="0" w:space="0" w:color="auto"/>
        <w:bottom w:val="none" w:sz="0" w:space="0" w:color="auto"/>
        <w:right w:val="none" w:sz="0" w:space="0" w:color="auto"/>
      </w:divBdr>
    </w:div>
    <w:div w:id="1918123907">
      <w:bodyDiv w:val="1"/>
      <w:marLeft w:val="0"/>
      <w:marRight w:val="0"/>
      <w:marTop w:val="0"/>
      <w:marBottom w:val="0"/>
      <w:divBdr>
        <w:top w:val="none" w:sz="0" w:space="0" w:color="auto"/>
        <w:left w:val="none" w:sz="0" w:space="0" w:color="auto"/>
        <w:bottom w:val="none" w:sz="0" w:space="0" w:color="auto"/>
        <w:right w:val="none" w:sz="0" w:space="0" w:color="auto"/>
      </w:divBdr>
    </w:div>
    <w:div w:id="1988628350">
      <w:bodyDiv w:val="1"/>
      <w:marLeft w:val="0"/>
      <w:marRight w:val="0"/>
      <w:marTop w:val="0"/>
      <w:marBottom w:val="0"/>
      <w:divBdr>
        <w:top w:val="none" w:sz="0" w:space="0" w:color="auto"/>
        <w:left w:val="none" w:sz="0" w:space="0" w:color="auto"/>
        <w:bottom w:val="none" w:sz="0" w:space="0" w:color="auto"/>
        <w:right w:val="none" w:sz="0" w:space="0" w:color="auto"/>
      </w:divBdr>
    </w:div>
    <w:div w:id="2000841654">
      <w:bodyDiv w:val="1"/>
      <w:marLeft w:val="0"/>
      <w:marRight w:val="0"/>
      <w:marTop w:val="0"/>
      <w:marBottom w:val="0"/>
      <w:divBdr>
        <w:top w:val="none" w:sz="0" w:space="0" w:color="auto"/>
        <w:left w:val="none" w:sz="0" w:space="0" w:color="auto"/>
        <w:bottom w:val="none" w:sz="0" w:space="0" w:color="auto"/>
        <w:right w:val="none" w:sz="0" w:space="0" w:color="auto"/>
      </w:divBdr>
    </w:div>
    <w:div w:id="2027906890">
      <w:bodyDiv w:val="1"/>
      <w:marLeft w:val="0"/>
      <w:marRight w:val="0"/>
      <w:marTop w:val="0"/>
      <w:marBottom w:val="0"/>
      <w:divBdr>
        <w:top w:val="none" w:sz="0" w:space="0" w:color="auto"/>
        <w:left w:val="none" w:sz="0" w:space="0" w:color="auto"/>
        <w:bottom w:val="none" w:sz="0" w:space="0" w:color="auto"/>
        <w:right w:val="none" w:sz="0" w:space="0" w:color="auto"/>
      </w:divBdr>
    </w:div>
    <w:div w:id="2038382083">
      <w:bodyDiv w:val="1"/>
      <w:marLeft w:val="0"/>
      <w:marRight w:val="0"/>
      <w:marTop w:val="0"/>
      <w:marBottom w:val="0"/>
      <w:divBdr>
        <w:top w:val="none" w:sz="0" w:space="0" w:color="auto"/>
        <w:left w:val="none" w:sz="0" w:space="0" w:color="auto"/>
        <w:bottom w:val="none" w:sz="0" w:space="0" w:color="auto"/>
        <w:right w:val="none" w:sz="0" w:space="0" w:color="auto"/>
      </w:divBdr>
    </w:div>
    <w:div w:id="2045669569">
      <w:bodyDiv w:val="1"/>
      <w:marLeft w:val="0"/>
      <w:marRight w:val="0"/>
      <w:marTop w:val="0"/>
      <w:marBottom w:val="0"/>
      <w:divBdr>
        <w:top w:val="none" w:sz="0" w:space="0" w:color="auto"/>
        <w:left w:val="none" w:sz="0" w:space="0" w:color="auto"/>
        <w:bottom w:val="none" w:sz="0" w:space="0" w:color="auto"/>
        <w:right w:val="none" w:sz="0" w:space="0" w:color="auto"/>
      </w:divBdr>
    </w:div>
    <w:div w:id="2053268206">
      <w:bodyDiv w:val="1"/>
      <w:marLeft w:val="0"/>
      <w:marRight w:val="0"/>
      <w:marTop w:val="0"/>
      <w:marBottom w:val="0"/>
      <w:divBdr>
        <w:top w:val="none" w:sz="0" w:space="0" w:color="auto"/>
        <w:left w:val="none" w:sz="0" w:space="0" w:color="auto"/>
        <w:bottom w:val="none" w:sz="0" w:space="0" w:color="auto"/>
        <w:right w:val="none" w:sz="0" w:space="0" w:color="auto"/>
      </w:divBdr>
    </w:div>
    <w:div w:id="2083140219">
      <w:bodyDiv w:val="1"/>
      <w:marLeft w:val="0"/>
      <w:marRight w:val="0"/>
      <w:marTop w:val="0"/>
      <w:marBottom w:val="0"/>
      <w:divBdr>
        <w:top w:val="none" w:sz="0" w:space="0" w:color="auto"/>
        <w:left w:val="none" w:sz="0" w:space="0" w:color="auto"/>
        <w:bottom w:val="none" w:sz="0" w:space="0" w:color="auto"/>
        <w:right w:val="none" w:sz="0" w:space="0" w:color="auto"/>
      </w:divBdr>
    </w:div>
    <w:div w:id="2090737006">
      <w:bodyDiv w:val="1"/>
      <w:marLeft w:val="0"/>
      <w:marRight w:val="0"/>
      <w:marTop w:val="0"/>
      <w:marBottom w:val="0"/>
      <w:divBdr>
        <w:top w:val="none" w:sz="0" w:space="0" w:color="auto"/>
        <w:left w:val="none" w:sz="0" w:space="0" w:color="auto"/>
        <w:bottom w:val="none" w:sz="0" w:space="0" w:color="auto"/>
        <w:right w:val="none" w:sz="0" w:space="0" w:color="auto"/>
      </w:divBdr>
    </w:div>
    <w:div w:id="2097824058">
      <w:bodyDiv w:val="1"/>
      <w:marLeft w:val="0"/>
      <w:marRight w:val="0"/>
      <w:marTop w:val="0"/>
      <w:marBottom w:val="0"/>
      <w:divBdr>
        <w:top w:val="none" w:sz="0" w:space="0" w:color="auto"/>
        <w:left w:val="none" w:sz="0" w:space="0" w:color="auto"/>
        <w:bottom w:val="none" w:sz="0" w:space="0" w:color="auto"/>
        <w:right w:val="none" w:sz="0" w:space="0" w:color="auto"/>
      </w:divBdr>
    </w:div>
    <w:div w:id="2103528788">
      <w:bodyDiv w:val="1"/>
      <w:marLeft w:val="0"/>
      <w:marRight w:val="0"/>
      <w:marTop w:val="0"/>
      <w:marBottom w:val="0"/>
      <w:divBdr>
        <w:top w:val="none" w:sz="0" w:space="0" w:color="auto"/>
        <w:left w:val="none" w:sz="0" w:space="0" w:color="auto"/>
        <w:bottom w:val="none" w:sz="0" w:space="0" w:color="auto"/>
        <w:right w:val="none" w:sz="0" w:space="0" w:color="auto"/>
      </w:divBdr>
    </w:div>
    <w:div w:id="2105373432">
      <w:bodyDiv w:val="1"/>
      <w:marLeft w:val="0"/>
      <w:marRight w:val="0"/>
      <w:marTop w:val="0"/>
      <w:marBottom w:val="0"/>
      <w:divBdr>
        <w:top w:val="none" w:sz="0" w:space="0" w:color="auto"/>
        <w:left w:val="none" w:sz="0" w:space="0" w:color="auto"/>
        <w:bottom w:val="none" w:sz="0" w:space="0" w:color="auto"/>
        <w:right w:val="none" w:sz="0" w:space="0" w:color="auto"/>
      </w:divBdr>
    </w:div>
    <w:div w:id="2114129440">
      <w:bodyDiv w:val="1"/>
      <w:marLeft w:val="0"/>
      <w:marRight w:val="0"/>
      <w:marTop w:val="0"/>
      <w:marBottom w:val="0"/>
      <w:divBdr>
        <w:top w:val="none" w:sz="0" w:space="0" w:color="auto"/>
        <w:left w:val="none" w:sz="0" w:space="0" w:color="auto"/>
        <w:bottom w:val="none" w:sz="0" w:space="0" w:color="auto"/>
        <w:right w:val="none" w:sz="0" w:space="0" w:color="auto"/>
      </w:divBdr>
    </w:div>
    <w:div w:id="2126074336">
      <w:bodyDiv w:val="1"/>
      <w:marLeft w:val="0"/>
      <w:marRight w:val="0"/>
      <w:marTop w:val="0"/>
      <w:marBottom w:val="0"/>
      <w:divBdr>
        <w:top w:val="none" w:sz="0" w:space="0" w:color="auto"/>
        <w:left w:val="none" w:sz="0" w:space="0" w:color="auto"/>
        <w:bottom w:val="none" w:sz="0" w:space="0" w:color="auto"/>
        <w:right w:val="none" w:sz="0" w:space="0" w:color="auto"/>
      </w:divBdr>
    </w:div>
    <w:div w:id="21431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CB9487F17E0E4D9E56E929BF36E5A5" ma:contentTypeVersion="11" ma:contentTypeDescription="Create a new document." ma:contentTypeScope="" ma:versionID="d2beb5f791d639a85d9b078d4356c3a6">
  <xsd:schema xmlns:xsd="http://www.w3.org/2001/XMLSchema" xmlns:xs="http://www.w3.org/2001/XMLSchema" xmlns:p="http://schemas.microsoft.com/office/2006/metadata/properties" xmlns:ns2="f7e036ba-a3b0-4cdc-b69c-3ff0c66abd9d" xmlns:ns3="c71bc280-77be-4226-9682-3896b2a5d823" targetNamespace="http://schemas.microsoft.com/office/2006/metadata/properties" ma:root="true" ma:fieldsID="a5175cc1ccf4ca5c3a2b7eff99579075" ns2:_="" ns3:_="">
    <xsd:import namespace="f7e036ba-a3b0-4cdc-b69c-3ff0c66abd9d"/>
    <xsd:import namespace="c71bc280-77be-4226-9682-3896b2a5d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036ba-a3b0-4cdc-b69c-3ff0c66ab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bc280-77be-4226-9682-3896b2a5d8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A89FE-857A-44A9-9064-9AA1BE467870}">
  <ds:schemaRefs>
    <ds:schemaRef ds:uri="http://schemas.openxmlformats.org/officeDocument/2006/bibliography"/>
  </ds:schemaRefs>
</ds:datastoreItem>
</file>

<file path=customXml/itemProps2.xml><?xml version="1.0" encoding="utf-8"?>
<ds:datastoreItem xmlns:ds="http://schemas.openxmlformats.org/officeDocument/2006/customXml" ds:itemID="{4FE3F636-51C2-42DA-94EB-F075C473AAD6}"/>
</file>

<file path=customXml/itemProps3.xml><?xml version="1.0" encoding="utf-8"?>
<ds:datastoreItem xmlns:ds="http://schemas.openxmlformats.org/officeDocument/2006/customXml" ds:itemID="{29C5B022-79D7-4298-AE5E-1C729FE49B22}"/>
</file>

<file path=customXml/itemProps4.xml><?xml version="1.0" encoding="utf-8"?>
<ds:datastoreItem xmlns:ds="http://schemas.openxmlformats.org/officeDocument/2006/customXml" ds:itemID="{DD52B8E9-F3CA-4D5D-BE88-D511F13155FB}"/>
</file>

<file path=docProps/app.xml><?xml version="1.0" encoding="utf-8"?>
<Properties xmlns="http://schemas.openxmlformats.org/officeDocument/2006/extended-properties" xmlns:vt="http://schemas.openxmlformats.org/officeDocument/2006/docPropsVTypes">
  <Template>Normal.dotm</Template>
  <TotalTime>298</TotalTime>
  <Pages>3</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C-IV Project</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Leslie Johnson</dc:creator>
  <cp:lastModifiedBy>Raychelle Menefee</cp:lastModifiedBy>
  <cp:revision>20</cp:revision>
  <cp:lastPrinted>2018-04-02T22:15:00Z</cp:lastPrinted>
  <dcterms:created xsi:type="dcterms:W3CDTF">2018-09-05T23:02:00Z</dcterms:created>
  <dcterms:modified xsi:type="dcterms:W3CDTF">2018-09-21T16:49:00Z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0x01010004CB9487F17E0E4D9E56E929BF36E5A5</vt:lpwstr>
  </property>
</Properties>
</file>