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A06B4" w14:textId="6B6B2D79" w:rsidR="5D2293DF" w:rsidRDefault="5D2293DF" w:rsidP="490BFA4B">
      <w:pPr>
        <w:spacing w:line="257" w:lineRule="auto"/>
        <w:jc w:val="center"/>
      </w:pPr>
      <w:bookmarkStart w:id="0" w:name="_GoBack"/>
      <w:bookmarkEnd w:id="0"/>
      <w:r w:rsidRPr="490BFA4B">
        <w:rPr>
          <w:rFonts w:ascii="Century Gothic" w:eastAsia="Century Gothic" w:hAnsi="Century Gothic" w:cs="Century Gothic"/>
          <w:color w:val="1A3292"/>
          <w:sz w:val="96"/>
          <w:szCs w:val="96"/>
        </w:rPr>
        <w:t>Cal</w:t>
      </w:r>
      <w:r w:rsidRPr="490BFA4B">
        <w:rPr>
          <w:rFonts w:ascii="Century Gothic" w:eastAsia="Century Gothic" w:hAnsi="Century Gothic" w:cs="Century Gothic"/>
          <w:b/>
          <w:bCs/>
          <w:color w:val="1A3292"/>
          <w:sz w:val="96"/>
          <w:szCs w:val="96"/>
        </w:rPr>
        <w:t>SAWS</w:t>
      </w:r>
    </w:p>
    <w:p w14:paraId="3F57D271" w14:textId="26E8DC07" w:rsidR="5D2293DF" w:rsidRDefault="5D2293DF">
      <w:r w:rsidRPr="490BF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D4553E" w14:textId="41833E1B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AMENDED, RESTATED AND REVISED LEADER REPLACEMENT SYSTEM AGREEMENT</w:t>
      </w:r>
    </w:p>
    <w:p w14:paraId="7501C6C7" w14:textId="1C6BB47E" w:rsidR="5D2293DF" w:rsidRDefault="5D2293DF" w:rsidP="490BFA4B">
      <w:pPr>
        <w:spacing w:line="257" w:lineRule="auto"/>
      </w:pPr>
      <w:r w:rsidRPr="490BFA4B">
        <w:rPr>
          <w:rFonts w:ascii="Calibri" w:eastAsia="Calibri" w:hAnsi="Calibri" w:cs="Calibri"/>
        </w:rPr>
        <w:t xml:space="preserve"> </w:t>
      </w:r>
    </w:p>
    <w:p w14:paraId="48C4B03D" w14:textId="33E6B7E4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Exhibit</w:t>
      </w:r>
      <w:r w:rsidR="002941E1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AA</w:t>
      </w:r>
      <w:r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(Statement of Work for CalSAWS</w:t>
      </w:r>
      <w:r w:rsidR="002941E1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Analytics Cloud Enablement</w:t>
      </w:r>
      <w:r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Project)</w:t>
      </w:r>
    </w:p>
    <w:p w14:paraId="4FC166C7" w14:textId="65E32AF1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714C9CFD" w14:textId="3EA66F0C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Schedule </w:t>
      </w:r>
      <w:r w:rsidR="002078A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2</w:t>
      </w:r>
      <w:r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- Contractor Assumptions</w:t>
      </w:r>
    </w:p>
    <w:p w14:paraId="33B3CC69" w14:textId="1C21D8E4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3E94FD29" w14:textId="48220F23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5DEF2D1D" w14:textId="6CA41F9E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6865A65C" w14:textId="350D5711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1DE2BBF6" w14:textId="48894350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789AAC76" w14:textId="5750C3F4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532B9E94" w14:textId="3EAEA7CC" w:rsidR="5D2293DF" w:rsidRDefault="5D2293DF" w:rsidP="490BFA4B">
      <w:pPr>
        <w:jc w:val="center"/>
      </w:pPr>
      <w:r w:rsidRPr="490BFA4B">
        <w:rPr>
          <w:rFonts w:ascii="Times New Roman" w:eastAsia="Times New Roman" w:hAnsi="Times New Roman" w:cs="Times New Roman"/>
          <w:b/>
          <w:bCs/>
          <w:sz w:val="24"/>
          <w:szCs w:val="24"/>
        </w:rPr>
        <w:t>CalSAWS Consortium,</w:t>
      </w:r>
    </w:p>
    <w:p w14:paraId="6A07FBDC" w14:textId="08D49B30" w:rsidR="5D2293DF" w:rsidRDefault="5D2293DF" w:rsidP="490BFA4B">
      <w:pPr>
        <w:jc w:val="center"/>
      </w:pPr>
      <w:r w:rsidRPr="490BFA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California Joint Powers Authority</w:t>
      </w:r>
    </w:p>
    <w:p w14:paraId="03A1D76A" w14:textId="5D4ACC24" w:rsidR="00E22E22" w:rsidRDefault="002941E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br w:type="page"/>
      </w:r>
      <w:r w:rsidR="00E22E22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 xml:space="preserve">The GDN resources will have access to the </w:t>
      </w:r>
      <w:r w:rsidR="00D35BE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Production Jira </w:t>
      </w:r>
      <w:r w:rsidR="00E22E2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from the established Secure Bay as defined in Exhibit Y of the </w:t>
      </w:r>
      <w:r w:rsidR="005800D3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Base </w:t>
      </w:r>
      <w:r w:rsidR="00E22E22">
        <w:rPr>
          <w:rFonts w:ascii="Times New Roman" w:eastAsia="MS Mincho" w:hAnsi="Times New Roman" w:cs="Times New Roman"/>
          <w:color w:val="000000"/>
          <w:sz w:val="24"/>
          <w:szCs w:val="24"/>
        </w:rPr>
        <w:t>Agreement.</w:t>
      </w:r>
    </w:p>
    <w:p w14:paraId="72D1A631" w14:textId="236C4FB0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Code baseline freezes during the re-platforming/migration period will be adhered to where possible.</w:t>
      </w:r>
    </w:p>
    <w:p w14:paraId="6FE197D7" w14:textId="1986766B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Any application enhancements including code retrofit or functional changes (if necessary) to support the </w:t>
      </w:r>
      <w:r w:rsidR="005800D3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D522A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are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not included in the scope of this 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>Statement of Work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</w:t>
      </w:r>
    </w:p>
    <w:p w14:paraId="3C8AFEA1" w14:textId="580FF63E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Support for 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efects not introduced by the analytics re-platforming will be addressed per current maintenance and operations processes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the LRS System </w:t>
      </w:r>
      <w:r w:rsidR="003512A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in accordance with 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</w:t>
      </w:r>
      <w:r w:rsidR="003512A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LRS Maintenance and Operations (“M&amp;O”) Services Plan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3B573324" w14:textId="77777777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Timestamps will be made available in the analytics data sources to account for a delta and incremental ingest.</w:t>
      </w:r>
    </w:p>
    <w:p w14:paraId="281D8E61" w14:textId="372A6757" w:rsidR="005F2347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This 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tatement of 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>W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ork does not include 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>scope associated with</w:t>
      </w:r>
      <w:r w:rsidR="005F2347">
        <w:rPr>
          <w:rFonts w:ascii="Times New Roman" w:eastAsia="MS Mincho" w:hAnsi="Times New Roman" w:cs="Times New Roman"/>
          <w:color w:val="000000"/>
          <w:sz w:val="24"/>
          <w:szCs w:val="24"/>
        </w:rPr>
        <w:t>: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14:paraId="1B51BEF4" w14:textId="40D29101" w:rsidR="00E22E22" w:rsidRPr="00331C8B" w:rsidRDefault="005F2347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eal-time ingestion processes. </w:t>
      </w:r>
      <w:r w:rsidR="002C6C09">
        <w:rPr>
          <w:rFonts w:ascii="Times New Roman" w:eastAsia="MS Mincho" w:hAnsi="Times New Roman" w:cs="Times New Roman"/>
          <w:color w:val="000000"/>
          <w:sz w:val="24"/>
          <w:szCs w:val="24"/>
        </w:rPr>
        <w:t>The LRS System’s a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rchitecture currently includes validation for daily to monthly refresh schedule.</w:t>
      </w:r>
    </w:p>
    <w:p w14:paraId="2A174612" w14:textId="2B64C49A" w:rsidR="00E22E22" w:rsidRDefault="00DC65FE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ata quality efforts </w:t>
      </w:r>
      <w:r w:rsidR="00F47071">
        <w:rPr>
          <w:rFonts w:ascii="Times New Roman" w:eastAsia="MS Mincho" w:hAnsi="Times New Roman" w:cs="Times New Roman"/>
          <w:color w:val="000000"/>
          <w:sz w:val="24"/>
          <w:szCs w:val="24"/>
        </w:rPr>
        <w:t>n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or enforced data purification rules.</w:t>
      </w:r>
    </w:p>
    <w:p w14:paraId="1205A0B0" w14:textId="29577C80" w:rsidR="00DC65FE" w:rsidRDefault="00DC65FE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O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utbound integrations, microservices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, nor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analytics.</w:t>
      </w:r>
    </w:p>
    <w:p w14:paraId="3952C76B" w14:textId="77777777" w:rsidR="00DC65FE" w:rsidRDefault="00DC65FE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upport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ing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transition or creation of dashboa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ds to be sourced from the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CalSAWS 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Statewide Self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Service Portal. </w:t>
      </w:r>
    </w:p>
    <w:p w14:paraId="1C4FF89E" w14:textId="026BA10D" w:rsidR="00DC65FE" w:rsidRPr="00DF429D" w:rsidRDefault="00DC65FE" w:rsidP="00DB1F10">
      <w:pPr>
        <w:spacing w:line="360" w:lineRule="auto"/>
        <w:ind w:left="720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F429D">
        <w:rPr>
          <w:rFonts w:ascii="Times New Roman" w:eastAsia="MS Mincho" w:hAnsi="Times New Roman" w:cs="Times New Roman"/>
          <w:color w:val="000000"/>
          <w:sz w:val="24"/>
          <w:szCs w:val="24"/>
        </w:rPr>
        <w:t>The addition of the scope, prices, and timelines for such Work would require an Amendment to the Base Agreement.</w:t>
      </w:r>
    </w:p>
    <w:p w14:paraId="59E7F98D" w14:textId="53D70D67" w:rsidR="00E22E22" w:rsidRPr="00331C8B" w:rsidRDefault="00E4523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T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he quality of the data in the new platform will be one and the same as the </w:t>
      </w:r>
      <w:r w:rsidR="003E4F9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quality of the 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data in the source system.</w:t>
      </w:r>
    </w:p>
    <w:p w14:paraId="335D8E55" w14:textId="4F5BB573" w:rsidR="00E22E22" w:rsidRPr="00DF429D" w:rsidRDefault="00E4523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T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he </w:t>
      </w:r>
      <w:r w:rsidR="00342C5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extract-transform-load </w:t>
      </w:r>
      <w:r w:rsidR="00ED40E2">
        <w:rPr>
          <w:rFonts w:ascii="Times New Roman" w:eastAsia="MS Mincho" w:hAnsi="Times New Roman" w:cs="Times New Roman"/>
          <w:color w:val="000000"/>
          <w:sz w:val="24"/>
          <w:szCs w:val="24"/>
        </w:rPr>
        <w:t>(“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ETL</w:t>
      </w:r>
      <w:r w:rsidR="00ED40E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”) </w:t>
      </w:r>
      <w:r w:rsidR="5135364D">
        <w:rPr>
          <w:rFonts w:ascii="Times New Roman" w:eastAsia="MS Mincho" w:hAnsi="Times New Roman" w:cs="Times New Roman"/>
          <w:color w:val="000000"/>
          <w:sz w:val="24"/>
          <w:szCs w:val="24"/>
        </w:rPr>
        <w:t>inge</w:t>
      </w:r>
      <w:r w:rsidR="5135364D" w:rsidRPr="00DF429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stion </w:t>
      </w:r>
      <w:r w:rsidR="00ED40E2">
        <w:rPr>
          <w:rFonts w:ascii="Times New Roman" w:eastAsia="MS Mincho" w:hAnsi="Times New Roman" w:cs="Times New Roman"/>
          <w:color w:val="000000"/>
          <w:sz w:val="24"/>
          <w:szCs w:val="24"/>
        </w:rPr>
        <w:t>jobs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reports implemented will be functionally equivalent to the original dashboards and reports. Enhancements </w:t>
      </w:r>
      <w:r w:rsidR="002B02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for additional functionality 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are not in scope. The legacy ETL</w:t>
      </w:r>
      <w:r w:rsidR="00AC6A8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jobs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, reports</w:t>
      </w:r>
      <w:r w:rsidR="00AC6A8A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test documentation will be the basis of the requirements, design</w:t>
      </w:r>
      <w:r w:rsidR="00AC6A8A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testing.</w:t>
      </w:r>
    </w:p>
    <w:p w14:paraId="18FC7544" w14:textId="1EB93633" w:rsidR="00E22E22" w:rsidRPr="00DF429D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Additional AWS</w:t>
      </w:r>
      <w:r w:rsidR="000E58C9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compute resources/services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any necessary software costs will be determined for Ad-Hoc</w:t>
      </w:r>
      <w:r w:rsidR="5477D41D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  These costs are not included in</w:t>
      </w:r>
      <w:r w:rsidR="00422B7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this Statement of Work for the ACEP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2B7DD5" w14:textId="1538F374" w:rsidR="00E22E22" w:rsidRPr="00331C8B" w:rsidRDefault="004A72AC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>T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he source database is the LRS online transactional database</w:t>
      </w:r>
      <w:r w:rsidR="006C477A">
        <w:rPr>
          <w:rFonts w:ascii="Times New Roman" w:eastAsia="MS Mincho" w:hAnsi="Times New Roman" w:cs="Times New Roman"/>
          <w:color w:val="000000"/>
          <w:sz w:val="24"/>
          <w:szCs w:val="24"/>
        </w:rPr>
        <w:t>;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it is assumed the data in the LRS </w:t>
      </w:r>
      <w:r w:rsidR="006C477A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ata</w:t>
      </w:r>
      <w:r w:rsidR="006C477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warehouse is obsolete and will not be transitioned. </w:t>
      </w:r>
    </w:p>
    <w:p w14:paraId="056A0A06" w14:textId="5DE47AC4" w:rsidR="00E22E22" w:rsidRPr="00DF429D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Security and access rights for the analytics platform will be implemented per LRS </w:t>
      </w:r>
      <w:r w:rsidR="00FE59BD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ashboard/</w:t>
      </w:r>
      <w:r w:rsidR="00FE59BD"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eporting specifications</w:t>
      </w:r>
      <w:r w:rsidR="00DD76AF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D0E39">
        <w:rPr>
          <w:rFonts w:ascii="Times New Roman" w:eastAsia="MS Mincho" w:hAnsi="Times New Roman" w:cs="Times New Roman"/>
          <w:color w:val="000000"/>
          <w:sz w:val="24"/>
          <w:szCs w:val="24"/>
        </w:rPr>
        <w:t>within</w:t>
      </w:r>
      <w:r w:rsidR="0014504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</w:t>
      </w:r>
      <w:r w:rsidR="00DD76AF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implemented code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54FCD433" w14:textId="7E3F5F0C" w:rsidR="00E22E22" w:rsidRPr="00DB1F10" w:rsidRDefault="00763CE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CONTRACTOR’s price for the ACEP is based on </w:t>
      </w:r>
      <w:r w:rsidR="00A84138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the a</w:t>
      </w:r>
      <w:r w:rsidR="00A25C4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ssumptions provided in </w:t>
      </w:r>
      <w:r w:rsidR="00375DB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Schedule </w:t>
      </w:r>
      <w:r w:rsidR="000911D8">
        <w:rPr>
          <w:rFonts w:ascii="Times New Roman" w:eastAsia="MS Mincho" w:hAnsi="Times New Roman" w:cs="Times New Roman"/>
          <w:color w:val="000000"/>
          <w:sz w:val="24"/>
          <w:szCs w:val="24"/>
        </w:rPr>
        <w:t>2</w:t>
      </w:r>
      <w:r w:rsidR="00375DB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</w:t>
      </w:r>
      <w:r w:rsidR="005A2E5E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Attachment 1 </w:t>
      </w:r>
      <w:r w:rsidR="00286C9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(Inventory List and Estimating Factors</w:t>
      </w:r>
      <w:r w:rsidR="00A97D12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Effort) </w:t>
      </w:r>
      <w:r w:rsidR="005A2E5E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to Schedule </w:t>
      </w:r>
      <w:r w:rsidR="000911D8">
        <w:rPr>
          <w:rFonts w:ascii="Times New Roman" w:eastAsia="MS Mincho" w:hAnsi="Times New Roman" w:cs="Times New Roman"/>
          <w:color w:val="000000"/>
          <w:sz w:val="24"/>
          <w:szCs w:val="24"/>
        </w:rPr>
        <w:t>2</w:t>
      </w:r>
      <w:r w:rsidR="005A2E5E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of this </w:t>
      </w:r>
      <w:r w:rsidR="00685F9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Exhibit AA</w:t>
      </w:r>
      <w:r w:rsidR="00D02286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, which</w:t>
      </w:r>
      <w:r w:rsidR="00685F9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97D12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provides</w:t>
      </w:r>
      <w:r w:rsidR="00CD49FB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 inventory of the State and Management reports that will be re-platformed as </w:t>
      </w:r>
      <w:r w:rsidR="0015756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part of the ACEP and </w:t>
      </w:r>
      <w:r w:rsidR="00154C4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the</w:t>
      </w:r>
      <w:r w:rsidR="0015756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F4369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estimating factors that were</w:t>
      </w:r>
      <w:r w:rsidR="00154C4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used as the basis </w:t>
      </w:r>
      <w:r w:rsidR="00CB4EF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for </w:t>
      </w:r>
      <w:r w:rsidR="00B96F0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estimating the effort required to deliver the ACEP</w:t>
      </w:r>
      <w:r w:rsidR="004708B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Any </w:t>
      </w:r>
      <w:r w:rsidR="000F736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modifications to</w:t>
      </w:r>
      <w:r w:rsidR="00B349C3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assumptions</w:t>
      </w:r>
      <w:r w:rsidR="001753E8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0F736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this</w:t>
      </w:r>
      <w:r w:rsidR="009C5E2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BA710C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inventory of </w:t>
      </w:r>
      <w:r w:rsidR="009051B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reports</w:t>
      </w:r>
      <w:r w:rsidR="001753E8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141CC7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0F736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or </w:t>
      </w:r>
      <w:r w:rsidR="00C743D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</w:t>
      </w:r>
      <w:r w:rsidR="00FE766C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assumed estimating factors </w:t>
      </w:r>
      <w:r w:rsidR="0096366B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may require an Amendment to the Base Agreement </w:t>
      </w:r>
      <w:r w:rsidR="002205E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for CONTRACTOR to address any resulting changes to </w:t>
      </w:r>
      <w:r w:rsidR="00B940D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scope, prices, and timelines</w:t>
      </w:r>
      <w:r w:rsidR="006F2982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the ACEP.</w:t>
      </w:r>
    </w:p>
    <w:p w14:paraId="3C7AA333" w14:textId="1CDCCE53" w:rsidR="00EB3D60" w:rsidRPr="00DB1F10" w:rsidRDefault="001B17FA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CONSORTIUM will provide AWS compute resources and/or services for the </w:t>
      </w:r>
      <w:r w:rsidR="005330CB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CONTRACTOR’s price for the </w:t>
      </w:r>
      <w:r w:rsidR="005330CB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383CD8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does not include such resources, nor services. 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will be fully responsible for making such resources and services available for supporting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including the procurement and payment for such services from AWS. Because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’s AWS Cloud account (and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’s agreement with CDT for AWS) will be leveraged for the Project, it is assumed that such charges will be invoiced to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165723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by CDT. 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As the </w:t>
      </w:r>
      <w:r w:rsidR="005C291C">
        <w:rPr>
          <w:rFonts w:ascii="Times New Roman" w:eastAsia="MS Mincho" w:hAnsi="Times New Roman" w:cs="Times New Roman"/>
          <w:color w:val="000000"/>
          <w:sz w:val="24"/>
          <w:szCs w:val="24"/>
        </w:rPr>
        <w:t>ACEP’s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requirements for AWS Cloud computing resources may change through the term of the </w:t>
      </w:r>
      <w:r w:rsidR="005C291C">
        <w:rPr>
          <w:rFonts w:ascii="Times New Roman" w:eastAsia="MS Mincho" w:hAnsi="Times New Roman" w:cs="Times New Roman"/>
          <w:color w:val="000000"/>
          <w:sz w:val="24"/>
          <w:szCs w:val="24"/>
        </w:rPr>
        <w:t>project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the CONSORTIUM should include additional amounts in its annual project budget (the Implementation Advance Planning Document or “IAPDU”) to account for planned changes to the requirements for </w:t>
      </w:r>
      <w:r w:rsidR="005C291C">
        <w:rPr>
          <w:rFonts w:ascii="Times New Roman" w:eastAsia="MS Mincho" w:hAnsi="Times New Roman" w:cs="Times New Roman"/>
          <w:color w:val="000000"/>
          <w:sz w:val="24"/>
          <w:szCs w:val="24"/>
        </w:rPr>
        <w:t>the ACEP’s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AWS Cloud computing resources.</w:t>
      </w:r>
    </w:p>
    <w:p w14:paraId="6E044860" w14:textId="6ECC61D3" w:rsidR="00813B87" w:rsidRDefault="00813B87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813B8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Amazon Web Services (“AWS”) and the California Department of Technology (“CDT”) will provide ability for Accenture to use AWS organizations to support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ACEP.</w:t>
      </w:r>
    </w:p>
    <w:p w14:paraId="684E14FB" w14:textId="444997E5" w:rsidR="00584C88" w:rsidRPr="00584C88" w:rsidRDefault="00584C88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CDT is not a party to the Base </w:t>
      </w:r>
      <w:proofErr w:type="gramStart"/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>Agreement, but</w:t>
      </w:r>
      <w:proofErr w:type="gramEnd"/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is providing services on behalf of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critical to the success of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It is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’s responsibility to resolve issues related to CDT and/or the AWS Cloud to enable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delivery of the ACEP.</w:t>
      </w:r>
    </w:p>
    <w:p w14:paraId="730DA121" w14:textId="4CAE668C" w:rsidR="00584C88" w:rsidRPr="00DB1F10" w:rsidRDefault="00584C88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 xml:space="preserve">AWS, CDT, and JHC Technology (the reseller CDT is using) will not disable services or take other actions/inactions that would prevent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CONTRACTOR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from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delivering the ACEP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75B0A1DC" w14:textId="5679AB94" w:rsidR="00B13132" w:rsidRPr="00B13132" w:rsidRDefault="00B1313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software/licensing outlined in Schedule </w:t>
      </w:r>
      <w:r w:rsidR="009B077A">
        <w:rPr>
          <w:rFonts w:ascii="Times New Roman" w:eastAsia="MS Mincho" w:hAnsi="Times New Roman" w:cs="Times New Roman"/>
          <w:color w:val="000000"/>
          <w:sz w:val="24"/>
          <w:szCs w:val="24"/>
        </w:rPr>
        <w:t>5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(Software Specifications) is based on information known by the CONTRACTOR as of </w:t>
      </w:r>
      <w:r w:rsidR="004C4655">
        <w:rPr>
          <w:rFonts w:ascii="Times New Roman" w:eastAsia="MS Mincho" w:hAnsi="Times New Roman" w:cs="Times New Roman"/>
          <w:color w:val="000000"/>
          <w:sz w:val="24"/>
          <w:szCs w:val="24"/>
        </w:rPr>
        <w:t>January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4C4655">
        <w:rPr>
          <w:rFonts w:ascii="Times New Roman" w:eastAsia="MS Mincho" w:hAnsi="Times New Roman" w:cs="Times New Roman"/>
          <w:color w:val="000000"/>
          <w:sz w:val="24"/>
          <w:szCs w:val="24"/>
        </w:rPr>
        <w:t>24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>, 20</w:t>
      </w:r>
      <w:r w:rsidR="004C4655">
        <w:rPr>
          <w:rFonts w:ascii="Times New Roman" w:eastAsia="MS Mincho" w:hAnsi="Times New Roman" w:cs="Times New Roman"/>
          <w:color w:val="000000"/>
          <w:sz w:val="24"/>
          <w:szCs w:val="24"/>
        </w:rPr>
        <w:t>20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As the Work for this SOW progresses, the CONTRACTOR may identify additional software/licensing that </w:t>
      </w:r>
      <w:r w:rsidR="00D522A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is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required for the </w:t>
      </w:r>
      <w:r w:rsidR="004C4E94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In the event CONTRACTOR identifies additional software/licensing required for delivering the </w:t>
      </w:r>
      <w:r w:rsidR="004C4E94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CONTRACTOR will so advise the CONSORTIUM of such additional software/licensing requirements. The CONSORTIUM is responsible for making available any software/licensing to the CONTRACTOR to support the delivery of the </w:t>
      </w:r>
      <w:r w:rsidR="004C4E94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>, including the procurement and funding of that software/licensing. Delays in making such software/licensing available will delay the delivery of Work and, in turn, push out the projected completion date.</w:t>
      </w:r>
    </w:p>
    <w:p w14:paraId="6838158D" w14:textId="2407F72D" w:rsidR="001B4F51" w:rsidRPr="001B4F51" w:rsidRDefault="001B4F5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price for the 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excludes Software and Software Support. It is assumed that Software 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and 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Software Support required for the 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will be purchased by the CONSORTIUM from CONTRACTOR’s affiliate, Proquire, LLC (“Proquire”), under the C-IV Agreement. The CONSORTIUM must execute an amendment to the C-IV Agreement to add prices for such Software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15D4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and Software Support 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items based on </w:t>
      </w:r>
      <w:r w:rsidR="00A15D42">
        <w:rPr>
          <w:rFonts w:ascii="Times New Roman" w:eastAsia="MS Mincho" w:hAnsi="Times New Roman" w:cs="Times New Roman"/>
          <w:color w:val="000000"/>
          <w:sz w:val="24"/>
          <w:szCs w:val="24"/>
        </w:rPr>
        <w:t>Schedule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15D42">
        <w:rPr>
          <w:rFonts w:ascii="Times New Roman" w:eastAsia="MS Mincho" w:hAnsi="Times New Roman" w:cs="Times New Roman"/>
          <w:color w:val="000000"/>
          <w:sz w:val="24"/>
          <w:szCs w:val="24"/>
        </w:rPr>
        <w:t>5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of this SOW (Software Specifications) prior to the start of the term for this SOW.</w:t>
      </w:r>
    </w:p>
    <w:p w14:paraId="4A9FB490" w14:textId="18D8FFB5" w:rsidR="001B4F51" w:rsidRPr="001B4F51" w:rsidRDefault="001B4F5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CONSORTIUM will </w:t>
      </w:r>
      <w:r w:rsidR="0030398F">
        <w:rPr>
          <w:rFonts w:ascii="Times New Roman" w:eastAsia="MS Mincho" w:hAnsi="Times New Roman" w:cs="Times New Roman"/>
          <w:color w:val="000000"/>
          <w:sz w:val="24"/>
          <w:szCs w:val="24"/>
        </w:rPr>
        <w:t>own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Software outright without any leasing/financing required.</w:t>
      </w:r>
    </w:p>
    <w:p w14:paraId="179CBEE5" w14:textId="3D31253C" w:rsidR="00A004DA" w:rsidRPr="00DB1F10" w:rsidRDefault="00D17CAC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Schedule</w:t>
      </w:r>
      <w:r w:rsidR="00A004DA" w:rsidRPr="00CE2F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5</w:t>
      </w:r>
      <w:r w:rsidR="00A004DA" w:rsidRPr="00CE2F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(Software Specifications) is based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on information known by the CONTRACTOR as of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January 24, 2020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>. As the Work for this SOW progresses, the CONTRACTOR may identify additional Software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that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is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required for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In the event that a change to the specifications is required – whether the change is planned (e.g. requested by the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) or unplanned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–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to 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support the delivery of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>, including the procurement and funding of those Software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items. As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ACEP’s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requirements for Software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may change through the term of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the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should include additional amounts in its annual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project budget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(the IAPDU) to account for planned changes to the requirements.</w:t>
      </w:r>
    </w:p>
    <w:p w14:paraId="31DD78C5" w14:textId="33BDFD6E" w:rsidR="000A3B50" w:rsidRPr="00DB1F10" w:rsidRDefault="006B46C5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>The price for th</w:t>
      </w:r>
      <w:r w:rsidR="003F0C84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is Exhibit AA</w:t>
      </w: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does not include </w:t>
      </w:r>
      <w:r w:rsidR="003F0C84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any additional facilities for staff who will support the ACEP</w:t>
      </w: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</w:t>
      </w:r>
      <w:r w:rsidR="00145046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If facilities are required beyond the </w:t>
      </w:r>
      <w:r w:rsidR="00A90F81">
        <w:rPr>
          <w:rFonts w:ascii="Times New Roman" w:eastAsia="MS Mincho" w:hAnsi="Times New Roman" w:cs="Times New Roman"/>
          <w:color w:val="000000"/>
          <w:sz w:val="24"/>
          <w:szCs w:val="24"/>
        </w:rPr>
        <w:t>existing</w:t>
      </w:r>
      <w:r w:rsidR="00B1063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capacities of the C-IV Application Development Facility in Rancho Cordova</w:t>
      </w:r>
      <w:r w:rsidR="005F2230">
        <w:rPr>
          <w:rFonts w:ascii="Times New Roman" w:eastAsia="MS Mincho" w:hAnsi="Times New Roman" w:cs="Times New Roman"/>
          <w:color w:val="000000"/>
          <w:sz w:val="24"/>
          <w:szCs w:val="24"/>
        </w:rPr>
        <w:t>, California</w:t>
      </w:r>
      <w:r w:rsidR="00B1063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(the “Northern location”) </w:t>
      </w:r>
      <w:r w:rsidR="005F2230">
        <w:rPr>
          <w:rFonts w:ascii="Times New Roman" w:eastAsia="MS Mincho" w:hAnsi="Times New Roman" w:cs="Times New Roman"/>
          <w:color w:val="000000"/>
          <w:sz w:val="24"/>
          <w:szCs w:val="24"/>
        </w:rPr>
        <w:t>or</w:t>
      </w:r>
      <w:r w:rsidR="00B1063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LRS Project Management Office </w:t>
      </w:r>
      <w:r w:rsidR="005F223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in Norwalk, California </w:t>
      </w:r>
      <w:r w:rsidR="00A5093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(the “Southern location”), then an Amendment to the Base Agreement would be required to add prices associated for such</w:t>
      </w:r>
      <w:r w:rsidR="00B201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additional</w:t>
      </w:r>
      <w:r w:rsidR="00A5093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facilities.</w:t>
      </w:r>
    </w:p>
    <w:p w14:paraId="2C8F988E" w14:textId="352963DF" w:rsidR="002941E1" w:rsidRDefault="002941E1" w:rsidP="00DB1F10">
      <w:pPr>
        <w:jc w:val="both"/>
      </w:pPr>
    </w:p>
    <w:sectPr w:rsidR="002941E1" w:rsidSect="00496F2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90043" w14:textId="77777777" w:rsidR="00941E4E" w:rsidRDefault="00941E4E" w:rsidP="005A5391">
      <w:pPr>
        <w:spacing w:after="0" w:line="240" w:lineRule="auto"/>
      </w:pPr>
      <w:r>
        <w:separator/>
      </w:r>
    </w:p>
  </w:endnote>
  <w:endnote w:type="continuationSeparator" w:id="0">
    <w:p w14:paraId="5C2F4C23" w14:textId="77777777" w:rsidR="00941E4E" w:rsidRDefault="00941E4E" w:rsidP="005A5391">
      <w:pPr>
        <w:spacing w:after="0" w:line="240" w:lineRule="auto"/>
      </w:pPr>
      <w:r>
        <w:continuationSeparator/>
      </w:r>
    </w:p>
  </w:endnote>
  <w:endnote w:type="continuationNotice" w:id="1">
    <w:p w14:paraId="20ABBB73" w14:textId="77777777" w:rsidR="00941E4E" w:rsidRDefault="00941E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35C94" w14:textId="4180E8A4" w:rsidR="009F5DAF" w:rsidRPr="003D1E8E" w:rsidRDefault="009F5DAF" w:rsidP="009F5DAF">
    <w:pPr>
      <w:pStyle w:val="Footer"/>
      <w:pBdr>
        <w:top w:val="single" w:sz="4" w:space="1" w:color="auto"/>
      </w:pBdr>
      <w:rPr>
        <w:rFonts w:ascii="Times New Roman" w:eastAsia="MS Mincho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pacing w:val="-2"/>
        <w:sz w:val="18"/>
        <w:szCs w:val="18"/>
      </w:rPr>
      <w:t xml:space="preserve">Schedule </w:t>
    </w:r>
    <w:r w:rsidR="008D3C36">
      <w:rPr>
        <w:rFonts w:ascii="Times New Roman" w:hAnsi="Times New Roman" w:cs="Times New Roman"/>
        <w:noProof/>
        <w:spacing w:val="-2"/>
        <w:sz w:val="18"/>
        <w:szCs w:val="18"/>
      </w:rPr>
      <w:t>2</w:t>
    </w:r>
    <w:r>
      <w:rPr>
        <w:rFonts w:ascii="Times New Roman" w:hAnsi="Times New Roman" w:cs="Times New Roman"/>
        <w:noProof/>
        <w:spacing w:val="-2"/>
        <w:sz w:val="18"/>
        <w:szCs w:val="18"/>
      </w:rPr>
      <w:t xml:space="preserve"> to Exhibit </w:t>
    </w:r>
    <w:r w:rsidR="008D3C36">
      <w:rPr>
        <w:rFonts w:ascii="Times New Roman" w:hAnsi="Times New Roman" w:cs="Times New Roman"/>
        <w:noProof/>
        <w:spacing w:val="-2"/>
        <w:sz w:val="18"/>
        <w:szCs w:val="18"/>
      </w:rPr>
      <w:t>AA</w:t>
    </w:r>
    <w:r>
      <w:rPr>
        <w:rFonts w:ascii="Times New Roman" w:hAnsi="Times New Roman" w:cs="Times New Roman"/>
        <w:noProof/>
        <w:spacing w:val="-2"/>
        <w:sz w:val="18"/>
        <w:szCs w:val="18"/>
      </w:rPr>
      <w:t xml:space="preserve"> (Contractor Assumptions)</w:t>
    </w:r>
    <w:r w:rsidRPr="00311C5B">
      <w:rPr>
        <w:rStyle w:val="PageNumber"/>
        <w:rFonts w:ascii="Times New Roman" w:eastAsia="MS Mincho" w:hAnsi="Times New Roman"/>
        <w:sz w:val="18"/>
        <w:szCs w:val="18"/>
      </w:rPr>
      <w:t xml:space="preserve"> </w:t>
    </w:r>
    <w:r>
      <w:rPr>
        <w:rStyle w:val="PageNumber"/>
        <w:rFonts w:ascii="Times New Roman" w:eastAsia="MS Mincho" w:hAnsi="Times New Roman"/>
        <w:sz w:val="18"/>
        <w:szCs w:val="18"/>
      </w:rPr>
      <w:t xml:space="preserve">                                                             </w:t>
    </w:r>
    <w:r w:rsidRPr="003D1E8E">
      <w:rPr>
        <w:rStyle w:val="PageNumber"/>
        <w:rFonts w:ascii="Times New Roman" w:eastAsia="MS Mincho" w:hAnsi="Times New Roman"/>
        <w:sz w:val="18"/>
        <w:szCs w:val="18"/>
      </w:rPr>
      <w:t>Accenture Confidential and Proprietary</w:t>
    </w:r>
  </w:p>
  <w:p w14:paraId="6CB372DA" w14:textId="77777777" w:rsidR="009F5DAF" w:rsidRPr="003D1E8E" w:rsidRDefault="009F5DAF" w:rsidP="009F5DAF">
    <w:pPr>
      <w:pStyle w:val="Footer"/>
      <w:pBdr>
        <w:top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139D6251" w14:textId="18AB841F" w:rsidR="009F5DAF" w:rsidRPr="008D3C36" w:rsidRDefault="009F5DAF" w:rsidP="008D3C36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3D1E8E">
      <w:rPr>
        <w:rStyle w:val="PageNumber"/>
        <w:rFonts w:ascii="Times New Roman" w:hAnsi="Times New Roman"/>
        <w:sz w:val="18"/>
        <w:szCs w:val="18"/>
      </w:rPr>
      <w:fldChar w:fldCharType="begin"/>
    </w:r>
    <w:r w:rsidRPr="003D1E8E">
      <w:rPr>
        <w:rStyle w:val="PageNumber"/>
        <w:rFonts w:ascii="Times New Roman" w:hAnsi="Times New Roman"/>
        <w:sz w:val="18"/>
        <w:szCs w:val="18"/>
      </w:rPr>
      <w:instrText xml:space="preserve"> PAGE   \* MERGEFORMAT </w:instrText>
    </w:r>
    <w:r w:rsidRPr="003D1E8E">
      <w:rPr>
        <w:rStyle w:val="PageNumber"/>
        <w:rFonts w:ascii="Times New Roman" w:hAnsi="Times New Roman"/>
        <w:sz w:val="18"/>
        <w:szCs w:val="18"/>
      </w:rPr>
      <w:fldChar w:fldCharType="separate"/>
    </w:r>
    <w:r w:rsidR="00D522AA">
      <w:rPr>
        <w:rStyle w:val="PageNumber"/>
        <w:rFonts w:ascii="Times New Roman" w:hAnsi="Times New Roman"/>
        <w:noProof/>
        <w:sz w:val="18"/>
        <w:szCs w:val="18"/>
      </w:rPr>
      <w:t>5</w:t>
    </w:r>
    <w:r w:rsidRPr="003D1E8E">
      <w:rPr>
        <w:rStyle w:val="PageNumber"/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66E20" w14:textId="77777777" w:rsidR="00941E4E" w:rsidRDefault="00941E4E" w:rsidP="005A5391">
      <w:pPr>
        <w:spacing w:after="0" w:line="240" w:lineRule="auto"/>
      </w:pPr>
      <w:r>
        <w:separator/>
      </w:r>
    </w:p>
  </w:footnote>
  <w:footnote w:type="continuationSeparator" w:id="0">
    <w:p w14:paraId="39AFEDA0" w14:textId="77777777" w:rsidR="00941E4E" w:rsidRDefault="00941E4E" w:rsidP="005A5391">
      <w:pPr>
        <w:spacing w:after="0" w:line="240" w:lineRule="auto"/>
      </w:pPr>
      <w:r>
        <w:continuationSeparator/>
      </w:r>
    </w:p>
  </w:footnote>
  <w:footnote w:type="continuationNotice" w:id="1">
    <w:p w14:paraId="6FA549E6" w14:textId="77777777" w:rsidR="00941E4E" w:rsidRDefault="00941E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4A8C9" w14:textId="77777777" w:rsidR="009A0A4E" w:rsidRPr="006917AE" w:rsidRDefault="009A0A4E" w:rsidP="009A0A4E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 w:rsidRPr="006917AE">
      <w:rPr>
        <w:rFonts w:ascii="Times New Roman" w:hAnsi="Times New Roman" w:cs="Times New Roman"/>
        <w:b/>
        <w:sz w:val="20"/>
        <w:szCs w:val="20"/>
      </w:rPr>
      <w:t>CalSAWS</w:t>
    </w:r>
  </w:p>
  <w:p w14:paraId="33DC3024" w14:textId="77777777" w:rsidR="009A0A4E" w:rsidRPr="006917AE" w:rsidRDefault="009A0A4E" w:rsidP="009A0A4E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 w:rsidRPr="006917AE">
      <w:rPr>
        <w:rFonts w:ascii="Times New Roman" w:hAnsi="Times New Roman" w:cs="Times New Roman"/>
        <w:b/>
        <w:sz w:val="20"/>
        <w:szCs w:val="20"/>
      </w:rPr>
      <w:t>Amended, Restated and Revised LRS Agreement</w:t>
    </w:r>
  </w:p>
  <w:p w14:paraId="0181F83D" w14:textId="77777777" w:rsidR="005A5391" w:rsidRDefault="005A5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07D71"/>
    <w:multiLevelType w:val="hybridMultilevel"/>
    <w:tmpl w:val="56C07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51923"/>
    <w:multiLevelType w:val="hybridMultilevel"/>
    <w:tmpl w:val="02026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87F76"/>
    <w:multiLevelType w:val="hybridMultilevel"/>
    <w:tmpl w:val="26B2F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3730E"/>
    <w:multiLevelType w:val="hybridMultilevel"/>
    <w:tmpl w:val="74D44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71DF2"/>
    <w:multiLevelType w:val="multilevel"/>
    <w:tmpl w:val="D42061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858E7"/>
    <w:rsid w:val="000269F4"/>
    <w:rsid w:val="00031124"/>
    <w:rsid w:val="00054273"/>
    <w:rsid w:val="000911D8"/>
    <w:rsid w:val="000A1DA4"/>
    <w:rsid w:val="000A3B50"/>
    <w:rsid w:val="000E58C9"/>
    <w:rsid w:val="000F7369"/>
    <w:rsid w:val="00132D8D"/>
    <w:rsid w:val="00141CC7"/>
    <w:rsid w:val="00145046"/>
    <w:rsid w:val="00154C41"/>
    <w:rsid w:val="0015756A"/>
    <w:rsid w:val="00162E12"/>
    <w:rsid w:val="00165723"/>
    <w:rsid w:val="001753E8"/>
    <w:rsid w:val="00190C63"/>
    <w:rsid w:val="001B17FA"/>
    <w:rsid w:val="001B4F51"/>
    <w:rsid w:val="002078AB"/>
    <w:rsid w:val="0022051E"/>
    <w:rsid w:val="002205E9"/>
    <w:rsid w:val="00286C99"/>
    <w:rsid w:val="002941E1"/>
    <w:rsid w:val="002A2B25"/>
    <w:rsid w:val="002B02EE"/>
    <w:rsid w:val="002C6C09"/>
    <w:rsid w:val="0030398F"/>
    <w:rsid w:val="00321296"/>
    <w:rsid w:val="00342C5B"/>
    <w:rsid w:val="00350899"/>
    <w:rsid w:val="003512A5"/>
    <w:rsid w:val="00372016"/>
    <w:rsid w:val="0037499B"/>
    <w:rsid w:val="00375DBD"/>
    <w:rsid w:val="00383CD8"/>
    <w:rsid w:val="00384AAD"/>
    <w:rsid w:val="003909D9"/>
    <w:rsid w:val="003A1FA6"/>
    <w:rsid w:val="003A255E"/>
    <w:rsid w:val="003E4F9E"/>
    <w:rsid w:val="003F0C84"/>
    <w:rsid w:val="00414E75"/>
    <w:rsid w:val="00422B7E"/>
    <w:rsid w:val="004708BF"/>
    <w:rsid w:val="0049176F"/>
    <w:rsid w:val="00496F28"/>
    <w:rsid w:val="004A72AC"/>
    <w:rsid w:val="004C4655"/>
    <w:rsid w:val="004C4E94"/>
    <w:rsid w:val="004F5692"/>
    <w:rsid w:val="005330CB"/>
    <w:rsid w:val="005800D3"/>
    <w:rsid w:val="00584C88"/>
    <w:rsid w:val="005A0C4D"/>
    <w:rsid w:val="005A2E5E"/>
    <w:rsid w:val="005A5391"/>
    <w:rsid w:val="005C291C"/>
    <w:rsid w:val="005C4700"/>
    <w:rsid w:val="005D7CD9"/>
    <w:rsid w:val="005F2230"/>
    <w:rsid w:val="005F2347"/>
    <w:rsid w:val="00662B90"/>
    <w:rsid w:val="00685F90"/>
    <w:rsid w:val="006B00EB"/>
    <w:rsid w:val="006B1496"/>
    <w:rsid w:val="006B465A"/>
    <w:rsid w:val="006B46C5"/>
    <w:rsid w:val="006C477A"/>
    <w:rsid w:val="006F2982"/>
    <w:rsid w:val="00707051"/>
    <w:rsid w:val="0071245E"/>
    <w:rsid w:val="00722CD7"/>
    <w:rsid w:val="00722EA2"/>
    <w:rsid w:val="00743A1E"/>
    <w:rsid w:val="00763CE2"/>
    <w:rsid w:val="00766F3E"/>
    <w:rsid w:val="0076743A"/>
    <w:rsid w:val="007A4F77"/>
    <w:rsid w:val="007B0197"/>
    <w:rsid w:val="007C32BB"/>
    <w:rsid w:val="007E2C01"/>
    <w:rsid w:val="007E4125"/>
    <w:rsid w:val="00813B87"/>
    <w:rsid w:val="008519A6"/>
    <w:rsid w:val="008538EC"/>
    <w:rsid w:val="008854D0"/>
    <w:rsid w:val="00886251"/>
    <w:rsid w:val="008A4C15"/>
    <w:rsid w:val="008D1A8A"/>
    <w:rsid w:val="008D3C36"/>
    <w:rsid w:val="008E52C4"/>
    <w:rsid w:val="009051B1"/>
    <w:rsid w:val="00905E63"/>
    <w:rsid w:val="00933048"/>
    <w:rsid w:val="00941E4E"/>
    <w:rsid w:val="0096366B"/>
    <w:rsid w:val="00976643"/>
    <w:rsid w:val="009A0A4E"/>
    <w:rsid w:val="009B077A"/>
    <w:rsid w:val="009B6DB1"/>
    <w:rsid w:val="009C5E20"/>
    <w:rsid w:val="009D0E39"/>
    <w:rsid w:val="009D2A32"/>
    <w:rsid w:val="009F5DAF"/>
    <w:rsid w:val="00A004DA"/>
    <w:rsid w:val="00A15D42"/>
    <w:rsid w:val="00A25C41"/>
    <w:rsid w:val="00A5093D"/>
    <w:rsid w:val="00A50A0B"/>
    <w:rsid w:val="00A71F9C"/>
    <w:rsid w:val="00A84138"/>
    <w:rsid w:val="00A84B1C"/>
    <w:rsid w:val="00A90F81"/>
    <w:rsid w:val="00A97D12"/>
    <w:rsid w:val="00AB4E71"/>
    <w:rsid w:val="00AC6A8A"/>
    <w:rsid w:val="00B04F96"/>
    <w:rsid w:val="00B1063F"/>
    <w:rsid w:val="00B13132"/>
    <w:rsid w:val="00B20188"/>
    <w:rsid w:val="00B349C3"/>
    <w:rsid w:val="00B357BA"/>
    <w:rsid w:val="00B52BDA"/>
    <w:rsid w:val="00B81C66"/>
    <w:rsid w:val="00B940D0"/>
    <w:rsid w:val="00B96F0A"/>
    <w:rsid w:val="00BA710C"/>
    <w:rsid w:val="00BC6048"/>
    <w:rsid w:val="00BC73EE"/>
    <w:rsid w:val="00C16B41"/>
    <w:rsid w:val="00C53232"/>
    <w:rsid w:val="00C65225"/>
    <w:rsid w:val="00C743D9"/>
    <w:rsid w:val="00C7576C"/>
    <w:rsid w:val="00CB4EFA"/>
    <w:rsid w:val="00CD49FB"/>
    <w:rsid w:val="00D02286"/>
    <w:rsid w:val="00D10271"/>
    <w:rsid w:val="00D17CAC"/>
    <w:rsid w:val="00D35BEC"/>
    <w:rsid w:val="00D522AA"/>
    <w:rsid w:val="00D6428E"/>
    <w:rsid w:val="00DA57A1"/>
    <w:rsid w:val="00DA7615"/>
    <w:rsid w:val="00DB1F10"/>
    <w:rsid w:val="00DC65FE"/>
    <w:rsid w:val="00DD76AF"/>
    <w:rsid w:val="00DF429D"/>
    <w:rsid w:val="00E1051A"/>
    <w:rsid w:val="00E165C5"/>
    <w:rsid w:val="00E22E22"/>
    <w:rsid w:val="00E45231"/>
    <w:rsid w:val="00E4554C"/>
    <w:rsid w:val="00E56CF1"/>
    <w:rsid w:val="00E72BD7"/>
    <w:rsid w:val="00EB3D60"/>
    <w:rsid w:val="00EC608E"/>
    <w:rsid w:val="00EC7065"/>
    <w:rsid w:val="00ED40E2"/>
    <w:rsid w:val="00F17791"/>
    <w:rsid w:val="00F360DA"/>
    <w:rsid w:val="00F4234D"/>
    <w:rsid w:val="00F4369D"/>
    <w:rsid w:val="00F47071"/>
    <w:rsid w:val="00F852CA"/>
    <w:rsid w:val="00FC6CA7"/>
    <w:rsid w:val="00FD426A"/>
    <w:rsid w:val="00FE59BD"/>
    <w:rsid w:val="00FE7443"/>
    <w:rsid w:val="00FE766C"/>
    <w:rsid w:val="071858E7"/>
    <w:rsid w:val="141014A0"/>
    <w:rsid w:val="3DDFE31F"/>
    <w:rsid w:val="490BFA4B"/>
    <w:rsid w:val="4BE97322"/>
    <w:rsid w:val="5135364D"/>
    <w:rsid w:val="5477D41D"/>
    <w:rsid w:val="5D2293DF"/>
    <w:rsid w:val="5F60B3F3"/>
    <w:rsid w:val="7B67F582"/>
    <w:rsid w:val="7EB4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71858E7"/>
  <w15:chartTrackingRefBased/>
  <w15:docId w15:val="{3DE23206-D033-4689-9392-8122CAC5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391"/>
  </w:style>
  <w:style w:type="paragraph" w:styleId="Footer">
    <w:name w:val="footer"/>
    <w:basedOn w:val="Normal"/>
    <w:link w:val="FooterChar"/>
    <w:uiPriority w:val="99"/>
    <w:unhideWhenUsed/>
    <w:rsid w:val="005A5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391"/>
  </w:style>
  <w:style w:type="table" w:styleId="TableGrid">
    <w:name w:val="Table Grid"/>
    <w:basedOn w:val="TableNormal"/>
    <w:uiPriority w:val="39"/>
    <w:rsid w:val="00A50A0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OC style,lp1,Bulleted Text,Bullet List,FooterText,List Paragraph1,Bulleted text,Bullet OSM,numbered,Paragraphe de liste1,Bulletr List Paragraph,列出段落,列出段落1,List Paragraph2,List Paragraph21,Párrafo de lista1,Parágrafo da Lista1,リスト段落1"/>
    <w:basedOn w:val="Normal"/>
    <w:link w:val="ListParagraphChar"/>
    <w:uiPriority w:val="34"/>
    <w:qFormat/>
    <w:rsid w:val="00A50A0B"/>
    <w:pPr>
      <w:ind w:left="720"/>
      <w:contextualSpacing/>
    </w:pPr>
  </w:style>
  <w:style w:type="character" w:customStyle="1" w:styleId="ListParagraphChar">
    <w:name w:val="List Paragraph Char"/>
    <w:aliases w:val="TOC style Char,lp1 Char,Bulleted Text Char,Bullet List Char,FooterText Char,List Paragraph1 Char,Bulleted text Char,Bullet OSM Char,numbered Char,Paragraphe de liste1 Char,Bulletr List Paragraph Char,列出段落 Char,列出段落1 Char,リスト段落1 Char"/>
    <w:basedOn w:val="DefaultParagraphFont"/>
    <w:link w:val="ListParagraph"/>
    <w:uiPriority w:val="34"/>
    <w:qFormat/>
    <w:rsid w:val="00A50A0B"/>
  </w:style>
  <w:style w:type="character" w:styleId="PageNumber">
    <w:name w:val="page number"/>
    <w:uiPriority w:val="99"/>
    <w:rsid w:val="009F5DAF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C3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2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2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2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B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22B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4FEC5418FCC84CA9A850298600328A" ma:contentTypeVersion="4" ma:contentTypeDescription="Create a new document." ma:contentTypeScope="" ma:versionID="3c7984c1a3e84595b353becac585b74c">
  <xsd:schema xmlns:xsd="http://www.w3.org/2001/XMLSchema" xmlns:xs="http://www.w3.org/2001/XMLSchema" xmlns:p="http://schemas.microsoft.com/office/2006/metadata/properties" xmlns:ns2="454ad2cb-df48-48ab-a5cf-7bf72142311d" targetNamespace="http://schemas.microsoft.com/office/2006/metadata/properties" ma:root="true" ma:fieldsID="c53e3fc550fa2b16377792bde5473ae1" ns2:_="">
    <xsd:import namespace="454ad2cb-df48-48ab-a5cf-7bf721423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ad2cb-df48-48ab-a5cf-7bf721423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64F1B9-AEB8-4631-81E7-BDB604B40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4ad2cb-df48-48ab-a5cf-7bf721423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BA394-ACD4-4E53-AFD4-3C9B81E9D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26D77-919A-48E8-9F1E-98BA92EB513E}">
  <ds:schemaRefs>
    <ds:schemaRef ds:uri="http://purl.org/dc/elements/1.1/"/>
    <ds:schemaRef ds:uri="http://schemas.microsoft.com/office/2006/metadata/properties"/>
    <ds:schemaRef ds:uri="454ad2cb-df48-48ab-a5cf-7bf72142311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Ngo, Rosalie S.</dc:creator>
  <cp:keywords/>
  <dc:description/>
  <cp:lastModifiedBy>Rosalie Ngo</cp:lastModifiedBy>
  <cp:revision>5</cp:revision>
  <dcterms:created xsi:type="dcterms:W3CDTF">2020-02-04T02:57:00Z</dcterms:created>
  <dcterms:modified xsi:type="dcterms:W3CDTF">2020-03-23T07:06:00Z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0x010100C94FEC5418FCC84CA9A850298600328A</vt:lpwstr>
  </property>
</Properties>
</file>