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A06B4" w14:textId="6B6B2D79" w:rsidR="5D2293DF" w:rsidRDefault="5D2293DF" w:rsidP="490BFA4B">
      <w:pPr>
        <w:spacing w:line="257" w:lineRule="auto"/>
        <w:jc w:val="center"/>
      </w:pPr>
      <w:r w:rsidRPr="490BFA4B">
        <w:rPr>
          <w:rFonts w:ascii="Century Gothic" w:eastAsia="Century Gothic" w:hAnsi="Century Gothic" w:cs="Century Gothic"/>
          <w:color w:val="1A3292"/>
          <w:sz w:val="96"/>
          <w:szCs w:val="96"/>
        </w:rPr>
        <w:t>Cal</w:t>
      </w:r>
      <w:r w:rsidRPr="490BFA4B">
        <w:rPr>
          <w:rFonts w:ascii="Century Gothic" w:eastAsia="Century Gothic" w:hAnsi="Century Gothic" w:cs="Century Gothic"/>
          <w:b/>
          <w:bCs/>
          <w:color w:val="1A3292"/>
          <w:sz w:val="96"/>
          <w:szCs w:val="96"/>
        </w:rPr>
        <w:t>SAWS</w:t>
      </w:r>
    </w:p>
    <w:p w14:paraId="3F57D271" w14:textId="26E8DC07" w:rsidR="5D2293DF" w:rsidRDefault="5D2293DF">
      <w:r w:rsidRPr="490BF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D4553E" w14:textId="41833E1B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AMENDED, RESTATED AND REVISED LEADER REPLACEMENT SYSTEM AGREEMENT</w:t>
      </w:r>
    </w:p>
    <w:p w14:paraId="7501C6C7" w14:textId="1C6BB47E" w:rsidR="5D2293DF" w:rsidRDefault="5D2293DF" w:rsidP="490BFA4B">
      <w:pPr>
        <w:spacing w:line="257" w:lineRule="auto"/>
      </w:pPr>
      <w:r w:rsidRPr="490BFA4B">
        <w:rPr>
          <w:rFonts w:ascii="Calibri" w:eastAsia="Calibri" w:hAnsi="Calibri" w:cs="Calibri"/>
        </w:rPr>
        <w:t xml:space="preserve"> </w:t>
      </w:r>
    </w:p>
    <w:p w14:paraId="48C4B03D" w14:textId="5A736EF6" w:rsidR="5D2293DF" w:rsidRDefault="00887155" w:rsidP="490BFA4B">
      <w:pPr>
        <w:spacing w:line="257" w:lineRule="auto"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Schedule 14</w:t>
      </w:r>
      <w:r w:rsidR="5D2293DF"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(Statement of Work for CalSAWS</w:t>
      </w:r>
      <w:r w:rsidR="002941E1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Analytics Cloud Enablement</w:t>
      </w:r>
      <w:r w:rsidR="5D2293DF"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Project)</w:t>
      </w:r>
      <w:r w:rsidR="00A40AB4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r w:rsidR="00A40AB4" w:rsidRPr="00DC6483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to Exhibit X (CalSAWS Maintenance and Operations (“M&amp;O”) Extension)</w:t>
      </w:r>
    </w:p>
    <w:p w14:paraId="4FC166C7" w14:textId="65E32AF1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714C9CFD" w14:textId="2C0EC93D" w:rsidR="5D2293DF" w:rsidRDefault="00887155" w:rsidP="490BFA4B">
      <w:pPr>
        <w:spacing w:line="257" w:lineRule="auto"/>
        <w:jc w:val="center"/>
      </w:pPr>
      <w:r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Attachment</w:t>
      </w:r>
      <w:r w:rsidR="5D2293DF"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r w:rsidR="002078A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2</w:t>
      </w:r>
      <w:r w:rsidR="5D2293DF" w:rsidRPr="490BFA4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 xml:space="preserve"> - Contractor Assumptions</w:t>
      </w:r>
    </w:p>
    <w:p w14:paraId="33B3CC69" w14:textId="1C21D8E4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3E94FD29" w14:textId="48220F23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5DEF2D1D" w14:textId="6CA41F9E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6865A65C" w14:textId="350D5711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1DE2BBF6" w14:textId="48894350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789AAC76" w14:textId="5750C3F4" w:rsidR="5D2293DF" w:rsidRDefault="5D2293DF" w:rsidP="490BFA4B">
      <w:pPr>
        <w:spacing w:line="257" w:lineRule="auto"/>
        <w:jc w:val="center"/>
      </w:pPr>
      <w:r w:rsidRPr="490BFA4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 xml:space="preserve"> </w:t>
      </w:r>
    </w:p>
    <w:p w14:paraId="532B9E94" w14:textId="3EAEA7CC" w:rsidR="5D2293DF" w:rsidRDefault="5D2293DF" w:rsidP="490BFA4B">
      <w:pPr>
        <w:jc w:val="center"/>
      </w:pPr>
      <w:r w:rsidRPr="490BFA4B">
        <w:rPr>
          <w:rFonts w:ascii="Times New Roman" w:eastAsia="Times New Roman" w:hAnsi="Times New Roman" w:cs="Times New Roman"/>
          <w:b/>
          <w:bCs/>
          <w:sz w:val="24"/>
          <w:szCs w:val="24"/>
        </w:rPr>
        <w:t>CalSAWS Consortium,</w:t>
      </w:r>
    </w:p>
    <w:p w14:paraId="6A07FBDC" w14:textId="08D49B30" w:rsidR="5D2293DF" w:rsidRDefault="5D2293DF" w:rsidP="490BFA4B">
      <w:pPr>
        <w:jc w:val="center"/>
      </w:pPr>
      <w:r w:rsidRPr="490BFA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California Joint Powers Authority</w:t>
      </w:r>
    </w:p>
    <w:p w14:paraId="03A1D76A" w14:textId="2F79180E" w:rsidR="00E22E22" w:rsidRDefault="002941E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br w:type="page"/>
      </w:r>
      <w:r w:rsidR="00E22E22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 xml:space="preserve">The GDN resources will have access to the </w:t>
      </w:r>
      <w:r w:rsidR="00D35BE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Production Jira </w:t>
      </w:r>
      <w:r w:rsidR="00E22E2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from the established Secure Bay as defined in </w:t>
      </w:r>
      <w:r w:rsidR="009328B1">
        <w:rPr>
          <w:rFonts w:ascii="Times New Roman" w:eastAsia="MS Mincho" w:hAnsi="Times New Roman" w:cs="Times New Roman"/>
          <w:color w:val="000000"/>
          <w:sz w:val="24"/>
          <w:szCs w:val="24"/>
        </w:rPr>
        <w:t>Schedule 2</w:t>
      </w:r>
      <w:r w:rsidR="00E22E2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328B1">
        <w:rPr>
          <w:rFonts w:ascii="Times New Roman" w:eastAsia="MS Mincho" w:hAnsi="Times New Roman" w:cs="Times New Roman"/>
          <w:color w:val="000000"/>
          <w:sz w:val="24"/>
          <w:szCs w:val="24"/>
        </w:rPr>
        <w:t>to the CalSAWS M&amp;O Extension</w:t>
      </w:r>
      <w:r w:rsidR="00E22E22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72D1A631" w14:textId="236C4FB0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Code baseline freezes during the re-platforming/migration period will be adhered to where possible.</w:t>
      </w:r>
    </w:p>
    <w:p w14:paraId="6FE197D7" w14:textId="1986766B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Any application enhancements including code retrofit or functional changes (if necessary) to support the </w:t>
      </w:r>
      <w:r w:rsidR="005800D3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D522A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are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not included in the scope of this 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>Statement of Work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</w:t>
      </w:r>
    </w:p>
    <w:p w14:paraId="3C8AFEA1" w14:textId="580FF63E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Support for 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efects not introduced by the analytics re-platforming will be addressed per current maintenance and operations processes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the LRS System </w:t>
      </w:r>
      <w:r w:rsidR="003512A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in accordance with </w:t>
      </w:r>
      <w:r w:rsidR="00E165C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</w:t>
      </w:r>
      <w:r w:rsidR="003512A5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LRS Maintenance and Operations (“M&amp;O”) Services Plan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3B573324" w14:textId="77777777" w:rsidR="00E22E22" w:rsidRPr="00331C8B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Timestamps will be made available in the analytics data sources to account for a delta and incremental ingest.</w:t>
      </w:r>
    </w:p>
    <w:p w14:paraId="281D8E61" w14:textId="372A6757" w:rsidR="005F2347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This 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tatement of 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>W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ork does not include 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>scope associated with</w:t>
      </w:r>
      <w:r w:rsidR="005F2347">
        <w:rPr>
          <w:rFonts w:ascii="Times New Roman" w:eastAsia="MS Mincho" w:hAnsi="Times New Roman" w:cs="Times New Roman"/>
          <w:color w:val="000000"/>
          <w:sz w:val="24"/>
          <w:szCs w:val="24"/>
        </w:rPr>
        <w:t>:</w:t>
      </w:r>
      <w:r w:rsidR="00C7576C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</w:p>
    <w:p w14:paraId="1B51BEF4" w14:textId="40D29101" w:rsidR="00E22E22" w:rsidRPr="00331C8B" w:rsidRDefault="005F2347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eal-time ingestion processes. </w:t>
      </w:r>
      <w:r w:rsidR="002C6C09">
        <w:rPr>
          <w:rFonts w:ascii="Times New Roman" w:eastAsia="MS Mincho" w:hAnsi="Times New Roman" w:cs="Times New Roman"/>
          <w:color w:val="000000"/>
          <w:sz w:val="24"/>
          <w:szCs w:val="24"/>
        </w:rPr>
        <w:t>The LRS System’s a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rchitecture currently includes validation for daily to monthly refresh schedule.</w:t>
      </w:r>
    </w:p>
    <w:p w14:paraId="2A174612" w14:textId="2B64C49A" w:rsidR="00E22E22" w:rsidRDefault="00DC65FE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ata quality efforts </w:t>
      </w:r>
      <w:r w:rsidR="00F47071">
        <w:rPr>
          <w:rFonts w:ascii="Times New Roman" w:eastAsia="MS Mincho" w:hAnsi="Times New Roman" w:cs="Times New Roman"/>
          <w:color w:val="000000"/>
          <w:sz w:val="24"/>
          <w:szCs w:val="24"/>
        </w:rPr>
        <w:t>n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or enforced data purification rules.</w:t>
      </w:r>
    </w:p>
    <w:p w14:paraId="1205A0B0" w14:textId="29577C80" w:rsidR="00DC65FE" w:rsidRDefault="00DC65FE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O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utbound integrations, microservices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, nor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analytics.</w:t>
      </w:r>
    </w:p>
    <w:p w14:paraId="3952C76B" w14:textId="77777777" w:rsidR="00DC65FE" w:rsidRDefault="00DC65FE" w:rsidP="00DB1F10">
      <w:pPr>
        <w:pStyle w:val="ListParagraph"/>
        <w:numPr>
          <w:ilvl w:val="1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S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upport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ing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transition or creation of dashboa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ds to be sourced from the 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CalSAWS 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Statewide Self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>-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Service Portal. </w:t>
      </w:r>
    </w:p>
    <w:p w14:paraId="1C4FF89E" w14:textId="0D911210" w:rsidR="00DC65FE" w:rsidRPr="00DF429D" w:rsidRDefault="00DC65FE" w:rsidP="00DB1F10">
      <w:pPr>
        <w:spacing w:line="360" w:lineRule="auto"/>
        <w:ind w:left="720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F429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addition of the scope, prices, and timelines for such Work would require an Amendment to the </w:t>
      </w:r>
      <w:r w:rsidR="009328B1">
        <w:rPr>
          <w:rFonts w:ascii="Times New Roman" w:eastAsia="MS Mincho" w:hAnsi="Times New Roman" w:cs="Times New Roman"/>
          <w:color w:val="000000"/>
          <w:sz w:val="24"/>
          <w:szCs w:val="24"/>
        </w:rPr>
        <w:t>CalSAWS M&amp;O Extension</w:t>
      </w:r>
      <w:r w:rsidRPr="00DF429D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59E7F98D" w14:textId="53D70D67" w:rsidR="00E22E22" w:rsidRPr="00331C8B" w:rsidRDefault="00E4523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T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he quality of the data in the new platform will be one and the same as the </w:t>
      </w:r>
      <w:r w:rsidR="003E4F9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quality of the 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data in the source system.</w:t>
      </w:r>
    </w:p>
    <w:p w14:paraId="335D8E55" w14:textId="4F5BB573" w:rsidR="00E22E22" w:rsidRPr="00DF429D" w:rsidRDefault="00E4523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T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he </w:t>
      </w:r>
      <w:r w:rsidR="00342C5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extract-transform-load </w:t>
      </w:r>
      <w:r w:rsidR="00ED40E2">
        <w:rPr>
          <w:rFonts w:ascii="Times New Roman" w:eastAsia="MS Mincho" w:hAnsi="Times New Roman" w:cs="Times New Roman"/>
          <w:color w:val="000000"/>
          <w:sz w:val="24"/>
          <w:szCs w:val="24"/>
        </w:rPr>
        <w:t>(“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ETL</w:t>
      </w:r>
      <w:r w:rsidR="00ED40E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”) </w:t>
      </w:r>
      <w:r w:rsidR="5135364D">
        <w:rPr>
          <w:rFonts w:ascii="Times New Roman" w:eastAsia="MS Mincho" w:hAnsi="Times New Roman" w:cs="Times New Roman"/>
          <w:color w:val="000000"/>
          <w:sz w:val="24"/>
          <w:szCs w:val="24"/>
        </w:rPr>
        <w:t>inge</w:t>
      </w:r>
      <w:r w:rsidR="5135364D" w:rsidRPr="00DF429D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 xml:space="preserve">stion </w:t>
      </w:r>
      <w:r w:rsidR="00ED40E2">
        <w:rPr>
          <w:rFonts w:ascii="Times New Roman" w:eastAsia="MS Mincho" w:hAnsi="Times New Roman" w:cs="Times New Roman"/>
          <w:color w:val="000000"/>
          <w:sz w:val="24"/>
          <w:szCs w:val="24"/>
        </w:rPr>
        <w:t>jobs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reports implemented will be functionally equivalent to the original dashboards and reports. Enhancements </w:t>
      </w:r>
      <w:r w:rsidR="002B02E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for additional functionality 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are not in scope. The legacy ETL</w:t>
      </w:r>
      <w:r w:rsidR="00AC6A8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jobs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, reports</w:t>
      </w:r>
      <w:r w:rsidR="00AC6A8A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test documentation will be the basis of the requirements, design</w:t>
      </w:r>
      <w:r w:rsidR="00AC6A8A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testing.</w:t>
      </w:r>
    </w:p>
    <w:p w14:paraId="18FC7544" w14:textId="1EB93633" w:rsidR="00E22E22" w:rsidRPr="00DF429D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Additional AWS</w:t>
      </w:r>
      <w:r w:rsidR="000E58C9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compute resources/services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any necessary software costs will be determined for Ad-Hoc</w:t>
      </w:r>
      <w:r w:rsidR="5477D41D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  These costs are not included in</w:t>
      </w:r>
      <w:r w:rsidR="00422B7E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this Statement of Work for the ACEP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282B7DD5" w14:textId="1538F374" w:rsidR="00E22E22" w:rsidRPr="00331C8B" w:rsidRDefault="004A72AC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>T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he source database is the LRS online transactional database</w:t>
      </w:r>
      <w:r w:rsidR="006C477A">
        <w:rPr>
          <w:rFonts w:ascii="Times New Roman" w:eastAsia="MS Mincho" w:hAnsi="Times New Roman" w:cs="Times New Roman"/>
          <w:color w:val="000000"/>
          <w:sz w:val="24"/>
          <w:szCs w:val="24"/>
        </w:rPr>
        <w:t>;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it is assumed the data in the LRS </w:t>
      </w:r>
      <w:r w:rsidR="006C477A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ata</w:t>
      </w:r>
      <w:r w:rsidR="006C477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E22E22"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warehouse is obsolete and will not be transitioned. </w:t>
      </w:r>
    </w:p>
    <w:p w14:paraId="056A0A06" w14:textId="5DE47AC4" w:rsidR="00E22E22" w:rsidRPr="00DF429D" w:rsidRDefault="00E22E2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 w:themeColor="text1"/>
          <w:sz w:val="24"/>
          <w:szCs w:val="24"/>
        </w:rPr>
      </w:pP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Security and access rights for the analytics platform will be implemented per LRS </w:t>
      </w:r>
      <w:r w:rsidR="00FE59BD">
        <w:rPr>
          <w:rFonts w:ascii="Times New Roman" w:eastAsia="MS Mincho" w:hAnsi="Times New Roman" w:cs="Times New Roman"/>
          <w:color w:val="000000"/>
          <w:sz w:val="24"/>
          <w:szCs w:val="24"/>
        </w:rPr>
        <w:t>d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ashboard/</w:t>
      </w:r>
      <w:r w:rsidR="00FE59BD">
        <w:rPr>
          <w:rFonts w:ascii="Times New Roman" w:eastAsia="MS Mincho" w:hAnsi="Times New Roman" w:cs="Times New Roman"/>
          <w:color w:val="000000"/>
          <w:sz w:val="24"/>
          <w:szCs w:val="24"/>
        </w:rPr>
        <w:t>r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eporting specifications</w:t>
      </w:r>
      <w:r w:rsidR="00DD76AF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9D0E39">
        <w:rPr>
          <w:rFonts w:ascii="Times New Roman" w:eastAsia="MS Mincho" w:hAnsi="Times New Roman" w:cs="Times New Roman"/>
          <w:color w:val="000000"/>
          <w:sz w:val="24"/>
          <w:szCs w:val="24"/>
        </w:rPr>
        <w:t>within</w:t>
      </w:r>
      <w:r w:rsidR="00145046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</w:t>
      </w:r>
      <w:r w:rsidR="00DD76AF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implemented code</w:t>
      </w:r>
      <w:r w:rsidRPr="00331C8B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54FCD433" w14:textId="42850AEB" w:rsidR="00E22E22" w:rsidRPr="00DB1F10" w:rsidRDefault="00763CE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CONTRACTOR’s price for the ACEP is based on </w:t>
      </w:r>
      <w:r w:rsidR="00A84138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the a</w:t>
      </w:r>
      <w:r w:rsidR="00A25C4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ssumptions provided in </w:t>
      </w:r>
      <w:r w:rsidR="00A40AB4">
        <w:rPr>
          <w:rFonts w:ascii="Times New Roman" w:eastAsia="MS Mincho" w:hAnsi="Times New Roman" w:cs="Times New Roman"/>
          <w:color w:val="000000"/>
          <w:sz w:val="24"/>
          <w:szCs w:val="24"/>
        </w:rPr>
        <w:t>Attachment</w:t>
      </w:r>
      <w:r w:rsidR="00A40AB4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375DB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1 and </w:t>
      </w:r>
      <w:r w:rsidR="00A40AB4">
        <w:rPr>
          <w:rFonts w:ascii="Times New Roman" w:eastAsia="MS Mincho" w:hAnsi="Times New Roman" w:cs="Times New Roman"/>
          <w:color w:val="000000"/>
          <w:sz w:val="24"/>
          <w:szCs w:val="24"/>
        </w:rPr>
        <w:t>Appendix</w:t>
      </w:r>
      <w:r w:rsidR="00A40AB4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C46431">
        <w:rPr>
          <w:rFonts w:ascii="Times New Roman" w:eastAsia="MS Mincho" w:hAnsi="Times New Roman" w:cs="Times New Roman"/>
          <w:color w:val="000000"/>
          <w:sz w:val="24"/>
          <w:szCs w:val="24"/>
        </w:rPr>
        <w:t>A</w:t>
      </w:r>
      <w:r w:rsidR="005A2E5E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286C9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(Inventory List and Estimating Factors</w:t>
      </w:r>
      <w:r w:rsidR="00A97D12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and Effort) </w:t>
      </w:r>
      <w:r w:rsidR="005A2E5E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to </w:t>
      </w:r>
      <w:r w:rsidR="00A40AB4">
        <w:rPr>
          <w:rFonts w:ascii="Times New Roman" w:eastAsia="MS Mincho" w:hAnsi="Times New Roman" w:cs="Times New Roman"/>
          <w:color w:val="000000"/>
          <w:sz w:val="24"/>
          <w:szCs w:val="24"/>
        </w:rPr>
        <w:t>Attachment</w:t>
      </w:r>
      <w:r w:rsidR="00A40AB4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C46431">
        <w:rPr>
          <w:rFonts w:ascii="Times New Roman" w:eastAsia="MS Mincho" w:hAnsi="Times New Roman" w:cs="Times New Roman"/>
          <w:color w:val="000000"/>
          <w:sz w:val="24"/>
          <w:szCs w:val="24"/>
        </w:rPr>
        <w:t>2</w:t>
      </w:r>
      <w:bookmarkStart w:id="0" w:name="_GoBack"/>
      <w:bookmarkEnd w:id="0"/>
      <w:r w:rsidR="005A2E5E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of this </w:t>
      </w:r>
      <w:r w:rsidR="00A40AB4">
        <w:rPr>
          <w:rFonts w:ascii="Times New Roman" w:eastAsia="MS Mincho" w:hAnsi="Times New Roman" w:cs="Times New Roman"/>
          <w:color w:val="000000"/>
          <w:sz w:val="24"/>
          <w:szCs w:val="24"/>
        </w:rPr>
        <w:t>Schedule 14</w:t>
      </w:r>
      <w:r w:rsidR="00D02286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, which</w:t>
      </w:r>
      <w:r w:rsidR="00685F9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97D12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provides</w:t>
      </w:r>
      <w:r w:rsidR="00CD49FB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an inventory of the State and Management reports that will be re-platformed as </w:t>
      </w:r>
      <w:r w:rsidR="0015756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part of the ACEP and </w:t>
      </w:r>
      <w:r w:rsidR="00154C4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the</w:t>
      </w:r>
      <w:r w:rsidR="0015756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F4369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estimating factors that were</w:t>
      </w:r>
      <w:r w:rsidR="00154C4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used as the basis </w:t>
      </w:r>
      <w:r w:rsidR="00CB4EF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for </w:t>
      </w:r>
      <w:r w:rsidR="00B96F0A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estimating the effort required to deliver the ACEP</w:t>
      </w:r>
      <w:r w:rsidR="004708B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Any </w:t>
      </w:r>
      <w:r w:rsidR="000F736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modifications to</w:t>
      </w:r>
      <w:r w:rsidR="00B349C3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assumptions</w:t>
      </w:r>
      <w:r w:rsidR="001753E8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0F736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this</w:t>
      </w:r>
      <w:r w:rsidR="009C5E2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BA710C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inventory of </w:t>
      </w:r>
      <w:r w:rsidR="009051B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reports</w:t>
      </w:r>
      <w:r w:rsidR="001753E8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,</w:t>
      </w:r>
      <w:r w:rsidR="00141CC7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0F736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or </w:t>
      </w:r>
      <w:r w:rsidR="00C743D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</w:t>
      </w:r>
      <w:r w:rsidR="00FE766C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assumed estimating factors </w:t>
      </w:r>
      <w:r w:rsidR="0096366B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may require an Amendment to the </w:t>
      </w:r>
      <w:r w:rsidR="009328B1">
        <w:rPr>
          <w:rFonts w:ascii="Times New Roman" w:eastAsia="MS Mincho" w:hAnsi="Times New Roman" w:cs="Times New Roman"/>
          <w:color w:val="000000"/>
          <w:sz w:val="24"/>
          <w:szCs w:val="24"/>
        </w:rPr>
        <w:t>CalSAWS M&amp;O Extension</w:t>
      </w:r>
      <w:r w:rsidR="009328B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2205E9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for CONTRACTOR to address any resulting changes to </w:t>
      </w:r>
      <w:r w:rsidR="00B940D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scope, prices, and timelines</w:t>
      </w:r>
      <w:r w:rsidR="006F2982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for the ACEP.</w:t>
      </w:r>
    </w:p>
    <w:p w14:paraId="3C7AA333" w14:textId="1CDCCE53" w:rsidR="00EB3D60" w:rsidRPr="00DB1F10" w:rsidRDefault="001B17FA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CONSORTIUM will provide AWS compute resources and/or services for the </w:t>
      </w:r>
      <w:r w:rsidR="005330CB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CONTRACTOR’s price for the </w:t>
      </w:r>
      <w:r w:rsidR="005330CB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383CD8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does not include such resources, nor services. 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will be fully responsible for making such resources and services available for supporting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including the procurement and payment for such services from AWS. Because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’s AWS Cloud account (and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’s agreement with CDT for AWS) will be leveraged for the Project, it is assumed that such charges will be invoiced to the </w:t>
      </w:r>
      <w:r w:rsidR="00165723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165723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5330CB" w:rsidRPr="005330C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by CDT. 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As the </w:t>
      </w:r>
      <w:r w:rsidR="005C291C">
        <w:rPr>
          <w:rFonts w:ascii="Times New Roman" w:eastAsia="MS Mincho" w:hAnsi="Times New Roman" w:cs="Times New Roman"/>
          <w:color w:val="000000"/>
          <w:sz w:val="24"/>
          <w:szCs w:val="24"/>
        </w:rPr>
        <w:t>ACEP’s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requirements for AWS Cloud computing resources may change through the term of the </w:t>
      </w:r>
      <w:r w:rsidR="005C291C">
        <w:rPr>
          <w:rFonts w:ascii="Times New Roman" w:eastAsia="MS Mincho" w:hAnsi="Times New Roman" w:cs="Times New Roman"/>
          <w:color w:val="000000"/>
          <w:sz w:val="24"/>
          <w:szCs w:val="24"/>
        </w:rPr>
        <w:t>project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the CONSORTIUM should include additional amounts in its annual project budget (the Implementation Advance Planning Document or “IAPDU”) to account for planned changes to the requirements for </w:t>
      </w:r>
      <w:r w:rsidR="005C291C">
        <w:rPr>
          <w:rFonts w:ascii="Times New Roman" w:eastAsia="MS Mincho" w:hAnsi="Times New Roman" w:cs="Times New Roman"/>
          <w:color w:val="000000"/>
          <w:sz w:val="24"/>
          <w:szCs w:val="24"/>
        </w:rPr>
        <w:t>the ACEP’s</w:t>
      </w:r>
      <w:r w:rsidR="00EB3D60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AWS Cloud computing resources.</w:t>
      </w:r>
    </w:p>
    <w:p w14:paraId="6E044860" w14:textId="6ECC61D3" w:rsidR="00813B87" w:rsidRDefault="00813B87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813B8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Amazon Web Services (“AWS”) and the California Department of Technology (“CDT”) will provide ability for Accenture to use AWS organizations to support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ACEP.</w:t>
      </w:r>
    </w:p>
    <w:p w14:paraId="684E14FB" w14:textId="23E53148" w:rsidR="00584C88" w:rsidRPr="00584C88" w:rsidRDefault="00584C88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CDT is not a party to the </w:t>
      </w:r>
      <w:r w:rsidR="009328B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CalSAWS M&amp;O </w:t>
      </w:r>
      <w:proofErr w:type="gramStart"/>
      <w:r w:rsidR="009328B1">
        <w:rPr>
          <w:rFonts w:ascii="Times New Roman" w:eastAsia="MS Mincho" w:hAnsi="Times New Roman" w:cs="Times New Roman"/>
          <w:color w:val="000000"/>
          <w:sz w:val="24"/>
          <w:szCs w:val="24"/>
        </w:rPr>
        <w:t>Extension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>, but</w:t>
      </w:r>
      <w:proofErr w:type="gramEnd"/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is providing services on behalf of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critical to the success of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It is the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’s responsibility to resolve issues related to CDT and/or the AWS Cloud to enable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delivery of the ACEP.</w:t>
      </w:r>
    </w:p>
    <w:p w14:paraId="730DA121" w14:textId="4CAE668C" w:rsidR="00584C88" w:rsidRPr="00DB1F10" w:rsidRDefault="00584C88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 xml:space="preserve">AWS, CDT, and JHC Technology (the reseller CDT is using) will not disable services or take other actions/inactions that would prevent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CONTRACTOR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from </w:t>
      </w:r>
      <w:r w:rsidR="007E4125">
        <w:rPr>
          <w:rFonts w:ascii="Times New Roman" w:eastAsia="MS Mincho" w:hAnsi="Times New Roman" w:cs="Times New Roman"/>
          <w:color w:val="000000"/>
          <w:sz w:val="24"/>
          <w:szCs w:val="24"/>
        </w:rPr>
        <w:t>delivering the ACEP</w:t>
      </w:r>
      <w:r w:rsidRPr="00584C88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</w:p>
    <w:p w14:paraId="75B0A1DC" w14:textId="5679AB94" w:rsidR="00B13132" w:rsidRPr="00B13132" w:rsidRDefault="00B13132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software/licensing outlined in Schedule </w:t>
      </w:r>
      <w:r w:rsidR="009B077A">
        <w:rPr>
          <w:rFonts w:ascii="Times New Roman" w:eastAsia="MS Mincho" w:hAnsi="Times New Roman" w:cs="Times New Roman"/>
          <w:color w:val="000000"/>
          <w:sz w:val="24"/>
          <w:szCs w:val="24"/>
        </w:rPr>
        <w:t>5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(Software Specifications) is based on information known by the CONTRACTOR as of </w:t>
      </w:r>
      <w:r w:rsidR="004C4655">
        <w:rPr>
          <w:rFonts w:ascii="Times New Roman" w:eastAsia="MS Mincho" w:hAnsi="Times New Roman" w:cs="Times New Roman"/>
          <w:color w:val="000000"/>
          <w:sz w:val="24"/>
          <w:szCs w:val="24"/>
        </w:rPr>
        <w:t>January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4C4655">
        <w:rPr>
          <w:rFonts w:ascii="Times New Roman" w:eastAsia="MS Mincho" w:hAnsi="Times New Roman" w:cs="Times New Roman"/>
          <w:color w:val="000000"/>
          <w:sz w:val="24"/>
          <w:szCs w:val="24"/>
        </w:rPr>
        <w:t>24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>, 20</w:t>
      </w:r>
      <w:r w:rsidR="004C4655">
        <w:rPr>
          <w:rFonts w:ascii="Times New Roman" w:eastAsia="MS Mincho" w:hAnsi="Times New Roman" w:cs="Times New Roman"/>
          <w:color w:val="000000"/>
          <w:sz w:val="24"/>
          <w:szCs w:val="24"/>
        </w:rPr>
        <w:t>20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As the Work for this SOW progresses, the CONTRACTOR may identify additional software/licensing that </w:t>
      </w:r>
      <w:r w:rsidR="00D522A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is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required for the </w:t>
      </w:r>
      <w:r w:rsidR="004C4E94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In the event CONTRACTOR identifies additional software/licensing required for delivering the </w:t>
      </w:r>
      <w:r w:rsidR="004C4E94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CONTRACTOR will so advise the CONSORTIUM of such additional software/licensing requirements. The CONSORTIUM is responsible for making available any software/licensing to the CONTRACTOR to support the delivery of the </w:t>
      </w:r>
      <w:r w:rsidR="004C4E94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B13132">
        <w:rPr>
          <w:rFonts w:ascii="Times New Roman" w:eastAsia="MS Mincho" w:hAnsi="Times New Roman" w:cs="Times New Roman"/>
          <w:color w:val="000000"/>
          <w:sz w:val="24"/>
          <w:szCs w:val="24"/>
        </w:rPr>
        <w:t>, including the procurement and funding of that software/licensing. Delays in making such software/licensing available will delay the delivery of Work and, in turn, push out the projected completion date.</w:t>
      </w:r>
    </w:p>
    <w:p w14:paraId="6838158D" w14:textId="2407F72D" w:rsidR="001B4F51" w:rsidRPr="001B4F51" w:rsidRDefault="001B4F5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price for the 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excludes Software and Software Support. It is assumed that Software 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and 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Software Support required for the 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will be purchased by the CONSORTIUM from CONTRACTOR’s affiliate, Proquire, LLC (“Proquire”), under the C-IV Agreement. The CONSORTIUM must execute an amendment to the C-IV Agreement to add prices for such Software</w:t>
      </w:r>
      <w:r w:rsidR="007A4F77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15D42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and Software Support 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items based on </w:t>
      </w:r>
      <w:r w:rsidR="00A15D42">
        <w:rPr>
          <w:rFonts w:ascii="Times New Roman" w:eastAsia="MS Mincho" w:hAnsi="Times New Roman" w:cs="Times New Roman"/>
          <w:color w:val="000000"/>
          <w:sz w:val="24"/>
          <w:szCs w:val="24"/>
        </w:rPr>
        <w:t>Schedule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15D42">
        <w:rPr>
          <w:rFonts w:ascii="Times New Roman" w:eastAsia="MS Mincho" w:hAnsi="Times New Roman" w:cs="Times New Roman"/>
          <w:color w:val="000000"/>
          <w:sz w:val="24"/>
          <w:szCs w:val="24"/>
        </w:rPr>
        <w:t>5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of this SOW (Software Specifications) prior to the start of the term for this SOW.</w:t>
      </w:r>
    </w:p>
    <w:p w14:paraId="4A9FB490" w14:textId="18D8FFB5" w:rsidR="001B4F51" w:rsidRPr="001B4F51" w:rsidRDefault="001B4F51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The CONSORTIUM will </w:t>
      </w:r>
      <w:r w:rsidR="0030398F">
        <w:rPr>
          <w:rFonts w:ascii="Times New Roman" w:eastAsia="MS Mincho" w:hAnsi="Times New Roman" w:cs="Times New Roman"/>
          <w:color w:val="000000"/>
          <w:sz w:val="24"/>
          <w:szCs w:val="24"/>
        </w:rPr>
        <w:t>own</w:t>
      </w:r>
      <w:r w:rsidRPr="001B4F51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Software outright without any leasing/financing required.</w:t>
      </w:r>
    </w:p>
    <w:p w14:paraId="179CBEE5" w14:textId="7F1E282E" w:rsidR="00A004DA" w:rsidRPr="00DB1F10" w:rsidRDefault="00A40AB4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</w:rPr>
        <w:t>Attachment</w:t>
      </w:r>
      <w:r w:rsidRPr="00CE2F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D17CAC">
        <w:rPr>
          <w:rFonts w:ascii="Times New Roman" w:eastAsia="MS Mincho" w:hAnsi="Times New Roman" w:cs="Times New Roman"/>
          <w:color w:val="000000"/>
          <w:sz w:val="24"/>
          <w:szCs w:val="24"/>
        </w:rPr>
        <w:t>5</w:t>
      </w:r>
      <w:r w:rsidR="00A004DA" w:rsidRPr="00CE2F17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(Software Specifications) is based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on information known by the CONTRACTOR as of </w:t>
      </w:r>
      <w:r w:rsidR="00D17CAC">
        <w:rPr>
          <w:rFonts w:ascii="Times New Roman" w:eastAsia="MS Mincho" w:hAnsi="Times New Roman" w:cs="Times New Roman"/>
          <w:color w:val="000000"/>
          <w:sz w:val="24"/>
          <w:szCs w:val="24"/>
        </w:rPr>
        <w:t>January 24, 2020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>. As the Work for this SOW progresses, the CONTRACTOR may identify additional Software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that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is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required for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In the event that a change to the specifications is required – whether the change is planned (e.g. requested by the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) or unplanned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–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to 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support the delivery of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>, including the procurement and funding of those Software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items. As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ACEP’s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requirements for Software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/licensing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may change through the term of the </w:t>
      </w:r>
      <w:r w:rsidR="002A2B25">
        <w:rPr>
          <w:rFonts w:ascii="Times New Roman" w:eastAsia="MS Mincho" w:hAnsi="Times New Roman" w:cs="Times New Roman"/>
          <w:color w:val="000000"/>
          <w:sz w:val="24"/>
          <w:szCs w:val="24"/>
        </w:rPr>
        <w:t>ACEP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, the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CONSORTIUM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should include additional amounts in its annual </w:t>
      </w:r>
      <w:r w:rsidR="00A004DA">
        <w:rPr>
          <w:rFonts w:ascii="Times New Roman" w:eastAsia="MS Mincho" w:hAnsi="Times New Roman" w:cs="Times New Roman"/>
          <w:color w:val="000000"/>
          <w:sz w:val="24"/>
          <w:szCs w:val="24"/>
        </w:rPr>
        <w:t>project budget</w:t>
      </w:r>
      <w:r w:rsidR="00A004DA" w:rsidRPr="00E46E6B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(the IAPDU) to account for planned changes to the requirements.</w:t>
      </w:r>
    </w:p>
    <w:p w14:paraId="31DD78C5" w14:textId="62EE93ED" w:rsidR="000A3B50" w:rsidRPr="00DB1F10" w:rsidRDefault="006B46C5" w:rsidP="00DB1F1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lastRenderedPageBreak/>
        <w:t>The price for th</w:t>
      </w:r>
      <w:r w:rsidR="003F0C84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is </w:t>
      </w:r>
      <w:r w:rsidR="00A40AB4">
        <w:rPr>
          <w:rFonts w:ascii="Times New Roman" w:eastAsia="MS Mincho" w:hAnsi="Times New Roman" w:cs="Times New Roman"/>
          <w:color w:val="000000"/>
          <w:sz w:val="24"/>
          <w:szCs w:val="24"/>
        </w:rPr>
        <w:t>Schedule 14</w:t>
      </w: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does not include </w:t>
      </w:r>
      <w:r w:rsidR="003F0C84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any additional facilities for staff who will support the ACEP</w:t>
      </w:r>
      <w:r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. </w:t>
      </w:r>
      <w:r w:rsidR="00145046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If facilities are required beyond the </w:t>
      </w:r>
      <w:r w:rsidR="00A90F81">
        <w:rPr>
          <w:rFonts w:ascii="Times New Roman" w:eastAsia="MS Mincho" w:hAnsi="Times New Roman" w:cs="Times New Roman"/>
          <w:color w:val="000000"/>
          <w:sz w:val="24"/>
          <w:szCs w:val="24"/>
        </w:rPr>
        <w:t>existing</w:t>
      </w:r>
      <w:r w:rsidR="00B1063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capacities of the C-IV Application Development Facility in Rancho Cordova</w:t>
      </w:r>
      <w:r w:rsidR="005F2230">
        <w:rPr>
          <w:rFonts w:ascii="Times New Roman" w:eastAsia="MS Mincho" w:hAnsi="Times New Roman" w:cs="Times New Roman"/>
          <w:color w:val="000000"/>
          <w:sz w:val="24"/>
          <w:szCs w:val="24"/>
        </w:rPr>
        <w:t>, California</w:t>
      </w:r>
      <w:r w:rsidR="00B1063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(the “Northern location”) </w:t>
      </w:r>
      <w:r w:rsidR="005F2230">
        <w:rPr>
          <w:rFonts w:ascii="Times New Roman" w:eastAsia="MS Mincho" w:hAnsi="Times New Roman" w:cs="Times New Roman"/>
          <w:color w:val="000000"/>
          <w:sz w:val="24"/>
          <w:szCs w:val="24"/>
        </w:rPr>
        <w:t>or</w:t>
      </w:r>
      <w:r w:rsidR="00B1063F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the LRS Project Management Office </w:t>
      </w:r>
      <w:r w:rsidR="005F223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in Norwalk, California </w:t>
      </w:r>
      <w:r w:rsidR="00A5093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(the “Southern location”), then an Amendment to the </w:t>
      </w:r>
      <w:r w:rsidR="009328B1">
        <w:rPr>
          <w:rFonts w:ascii="Times New Roman" w:eastAsia="MS Mincho" w:hAnsi="Times New Roman" w:cs="Times New Roman"/>
          <w:color w:val="000000"/>
          <w:sz w:val="24"/>
          <w:szCs w:val="24"/>
        </w:rPr>
        <w:t>CalSAWS M&amp;O Extension</w:t>
      </w:r>
      <w:r w:rsidR="009328B1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A5093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>would be required to add prices associated for such</w:t>
      </w:r>
      <w:r w:rsidR="00B20188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additional</w:t>
      </w:r>
      <w:r w:rsidR="00A5093D" w:rsidRPr="00DB1F10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facilities.</w:t>
      </w:r>
    </w:p>
    <w:p w14:paraId="2C8F988E" w14:textId="352963DF" w:rsidR="002941E1" w:rsidRDefault="002941E1" w:rsidP="00DB1F10">
      <w:pPr>
        <w:jc w:val="both"/>
      </w:pPr>
    </w:p>
    <w:sectPr w:rsidR="002941E1" w:rsidSect="00496F2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90043" w14:textId="77777777" w:rsidR="00941E4E" w:rsidRDefault="00941E4E" w:rsidP="005A5391">
      <w:pPr>
        <w:spacing w:after="0" w:line="240" w:lineRule="auto"/>
      </w:pPr>
      <w:r>
        <w:separator/>
      </w:r>
    </w:p>
  </w:endnote>
  <w:endnote w:type="continuationSeparator" w:id="0">
    <w:p w14:paraId="5C2F4C23" w14:textId="77777777" w:rsidR="00941E4E" w:rsidRDefault="00941E4E" w:rsidP="005A5391">
      <w:pPr>
        <w:spacing w:after="0" w:line="240" w:lineRule="auto"/>
      </w:pPr>
      <w:r>
        <w:continuationSeparator/>
      </w:r>
    </w:p>
  </w:endnote>
  <w:endnote w:type="continuationNotice" w:id="1">
    <w:p w14:paraId="20ABBB73" w14:textId="77777777" w:rsidR="00941E4E" w:rsidRDefault="00941E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35C94" w14:textId="69F0C42E" w:rsidR="009F5DAF" w:rsidRPr="003D1E8E" w:rsidRDefault="00887155" w:rsidP="009F5DAF">
    <w:pPr>
      <w:pStyle w:val="Footer"/>
      <w:pBdr>
        <w:top w:val="single" w:sz="4" w:space="1" w:color="auto"/>
      </w:pBdr>
      <w:rPr>
        <w:rFonts w:ascii="Times New Roman" w:eastAsia="MS Mincho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pacing w:val="-2"/>
        <w:sz w:val="18"/>
        <w:szCs w:val="18"/>
      </w:rPr>
      <w:t>Attachment</w:t>
    </w:r>
    <w:r w:rsidR="009F5DAF">
      <w:rPr>
        <w:rFonts w:ascii="Times New Roman" w:hAnsi="Times New Roman" w:cs="Times New Roman"/>
        <w:noProof/>
        <w:spacing w:val="-2"/>
        <w:sz w:val="18"/>
        <w:szCs w:val="18"/>
      </w:rPr>
      <w:t xml:space="preserve"> </w:t>
    </w:r>
    <w:r w:rsidR="008D3C36">
      <w:rPr>
        <w:rFonts w:ascii="Times New Roman" w:hAnsi="Times New Roman" w:cs="Times New Roman"/>
        <w:noProof/>
        <w:spacing w:val="-2"/>
        <w:sz w:val="18"/>
        <w:szCs w:val="18"/>
      </w:rPr>
      <w:t>2</w:t>
    </w:r>
    <w:r w:rsidR="009F5DAF">
      <w:rPr>
        <w:rFonts w:ascii="Times New Roman" w:hAnsi="Times New Roman" w:cs="Times New Roman"/>
        <w:noProof/>
        <w:spacing w:val="-2"/>
        <w:sz w:val="18"/>
        <w:szCs w:val="18"/>
      </w:rPr>
      <w:t xml:space="preserve"> to </w:t>
    </w:r>
    <w:r>
      <w:rPr>
        <w:rFonts w:ascii="Times New Roman" w:hAnsi="Times New Roman" w:cs="Times New Roman"/>
        <w:noProof/>
        <w:spacing w:val="-2"/>
        <w:sz w:val="18"/>
        <w:szCs w:val="18"/>
      </w:rPr>
      <w:t>Schedule 14</w:t>
    </w:r>
    <w:r w:rsidR="009F5DAF">
      <w:rPr>
        <w:rFonts w:ascii="Times New Roman" w:hAnsi="Times New Roman" w:cs="Times New Roman"/>
        <w:noProof/>
        <w:spacing w:val="-2"/>
        <w:sz w:val="18"/>
        <w:szCs w:val="18"/>
      </w:rPr>
      <w:t xml:space="preserve"> (Contractor Assumptions)</w:t>
    </w:r>
    <w:r w:rsidR="009F5DAF" w:rsidRPr="00311C5B">
      <w:rPr>
        <w:rStyle w:val="PageNumber"/>
        <w:rFonts w:ascii="Times New Roman" w:eastAsia="MS Mincho" w:hAnsi="Times New Roman"/>
        <w:sz w:val="18"/>
        <w:szCs w:val="18"/>
      </w:rPr>
      <w:t xml:space="preserve"> </w:t>
    </w:r>
    <w:r w:rsidR="009F5DAF">
      <w:rPr>
        <w:rStyle w:val="PageNumber"/>
        <w:rFonts w:ascii="Times New Roman" w:eastAsia="MS Mincho" w:hAnsi="Times New Roman"/>
        <w:sz w:val="18"/>
        <w:szCs w:val="18"/>
      </w:rPr>
      <w:t xml:space="preserve">                                                             </w:t>
    </w:r>
    <w:r w:rsidR="009F5DAF" w:rsidRPr="003D1E8E">
      <w:rPr>
        <w:rStyle w:val="PageNumber"/>
        <w:rFonts w:ascii="Times New Roman" w:eastAsia="MS Mincho" w:hAnsi="Times New Roman"/>
        <w:sz w:val="18"/>
        <w:szCs w:val="18"/>
      </w:rPr>
      <w:t>Accenture Confidential and Proprietary</w:t>
    </w:r>
  </w:p>
  <w:p w14:paraId="6CB372DA" w14:textId="77777777" w:rsidR="009F5DAF" w:rsidRPr="003D1E8E" w:rsidRDefault="009F5DAF" w:rsidP="009F5DAF">
    <w:pPr>
      <w:pStyle w:val="Footer"/>
      <w:pBdr>
        <w:top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139D6251" w14:textId="18AB841F" w:rsidR="009F5DAF" w:rsidRPr="008D3C36" w:rsidRDefault="009F5DAF" w:rsidP="008D3C36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3D1E8E">
      <w:rPr>
        <w:rStyle w:val="PageNumber"/>
        <w:rFonts w:ascii="Times New Roman" w:hAnsi="Times New Roman"/>
        <w:sz w:val="18"/>
        <w:szCs w:val="18"/>
      </w:rPr>
      <w:fldChar w:fldCharType="begin"/>
    </w:r>
    <w:r w:rsidRPr="003D1E8E">
      <w:rPr>
        <w:rStyle w:val="PageNumber"/>
        <w:rFonts w:ascii="Times New Roman" w:hAnsi="Times New Roman"/>
        <w:sz w:val="18"/>
        <w:szCs w:val="18"/>
      </w:rPr>
      <w:instrText xml:space="preserve"> PAGE   \* MERGEFORMAT </w:instrText>
    </w:r>
    <w:r w:rsidRPr="003D1E8E">
      <w:rPr>
        <w:rStyle w:val="PageNumber"/>
        <w:rFonts w:ascii="Times New Roman" w:hAnsi="Times New Roman"/>
        <w:sz w:val="18"/>
        <w:szCs w:val="18"/>
      </w:rPr>
      <w:fldChar w:fldCharType="separate"/>
    </w:r>
    <w:r w:rsidR="00D522AA">
      <w:rPr>
        <w:rStyle w:val="PageNumber"/>
        <w:rFonts w:ascii="Times New Roman" w:hAnsi="Times New Roman"/>
        <w:noProof/>
        <w:sz w:val="18"/>
        <w:szCs w:val="18"/>
      </w:rPr>
      <w:t>5</w:t>
    </w:r>
    <w:r w:rsidRPr="003D1E8E">
      <w:rPr>
        <w:rStyle w:val="PageNumber"/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66E20" w14:textId="77777777" w:rsidR="00941E4E" w:rsidRDefault="00941E4E" w:rsidP="005A5391">
      <w:pPr>
        <w:spacing w:after="0" w:line="240" w:lineRule="auto"/>
      </w:pPr>
      <w:r>
        <w:separator/>
      </w:r>
    </w:p>
  </w:footnote>
  <w:footnote w:type="continuationSeparator" w:id="0">
    <w:p w14:paraId="39AFEDA0" w14:textId="77777777" w:rsidR="00941E4E" w:rsidRDefault="00941E4E" w:rsidP="005A5391">
      <w:pPr>
        <w:spacing w:after="0" w:line="240" w:lineRule="auto"/>
      </w:pPr>
      <w:r>
        <w:continuationSeparator/>
      </w:r>
    </w:p>
  </w:footnote>
  <w:footnote w:type="continuationNotice" w:id="1">
    <w:p w14:paraId="6FA549E6" w14:textId="77777777" w:rsidR="00941E4E" w:rsidRDefault="00941E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4A8C9" w14:textId="77777777" w:rsidR="009A0A4E" w:rsidRPr="006917AE" w:rsidRDefault="009A0A4E" w:rsidP="009A0A4E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 w:rsidRPr="006917AE">
      <w:rPr>
        <w:rFonts w:ascii="Times New Roman" w:hAnsi="Times New Roman" w:cs="Times New Roman"/>
        <w:b/>
        <w:sz w:val="20"/>
        <w:szCs w:val="20"/>
      </w:rPr>
      <w:t>CalSAWS</w:t>
    </w:r>
  </w:p>
  <w:p w14:paraId="33DC3024" w14:textId="77777777" w:rsidR="009A0A4E" w:rsidRPr="006917AE" w:rsidRDefault="009A0A4E" w:rsidP="009A0A4E">
    <w:pPr>
      <w:pStyle w:val="Header"/>
      <w:jc w:val="right"/>
      <w:rPr>
        <w:rFonts w:ascii="Times New Roman" w:hAnsi="Times New Roman" w:cs="Times New Roman"/>
        <w:b/>
        <w:sz w:val="20"/>
        <w:szCs w:val="20"/>
      </w:rPr>
    </w:pPr>
    <w:r w:rsidRPr="006917AE">
      <w:rPr>
        <w:rFonts w:ascii="Times New Roman" w:hAnsi="Times New Roman" w:cs="Times New Roman"/>
        <w:b/>
        <w:sz w:val="20"/>
        <w:szCs w:val="20"/>
      </w:rPr>
      <w:t>Amended, Restated and Revised LRS Agreement</w:t>
    </w:r>
  </w:p>
  <w:p w14:paraId="0181F83D" w14:textId="77777777" w:rsidR="005A5391" w:rsidRDefault="005A5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07D71"/>
    <w:multiLevelType w:val="hybridMultilevel"/>
    <w:tmpl w:val="56C07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51923"/>
    <w:multiLevelType w:val="hybridMultilevel"/>
    <w:tmpl w:val="02026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87F76"/>
    <w:multiLevelType w:val="hybridMultilevel"/>
    <w:tmpl w:val="26B2F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3730E"/>
    <w:multiLevelType w:val="hybridMultilevel"/>
    <w:tmpl w:val="74D44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71DF2"/>
    <w:multiLevelType w:val="multilevel"/>
    <w:tmpl w:val="D42061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858E7"/>
    <w:rsid w:val="000269F4"/>
    <w:rsid w:val="00031124"/>
    <w:rsid w:val="00054273"/>
    <w:rsid w:val="000A1DA4"/>
    <w:rsid w:val="000A3B50"/>
    <w:rsid w:val="000E58C9"/>
    <w:rsid w:val="000F7369"/>
    <w:rsid w:val="00132D8D"/>
    <w:rsid w:val="00141CC7"/>
    <w:rsid w:val="00145046"/>
    <w:rsid w:val="00154C41"/>
    <w:rsid w:val="0015756A"/>
    <w:rsid w:val="00162E12"/>
    <w:rsid w:val="00165723"/>
    <w:rsid w:val="001753E8"/>
    <w:rsid w:val="00190C63"/>
    <w:rsid w:val="001B17FA"/>
    <w:rsid w:val="001B4F51"/>
    <w:rsid w:val="002078AB"/>
    <w:rsid w:val="0022051E"/>
    <w:rsid w:val="002205E9"/>
    <w:rsid w:val="00286C99"/>
    <w:rsid w:val="002941E1"/>
    <w:rsid w:val="002A2B25"/>
    <w:rsid w:val="002B02EE"/>
    <w:rsid w:val="002C6C09"/>
    <w:rsid w:val="0030398F"/>
    <w:rsid w:val="00321296"/>
    <w:rsid w:val="00342C5B"/>
    <w:rsid w:val="00350899"/>
    <w:rsid w:val="003512A5"/>
    <w:rsid w:val="00372016"/>
    <w:rsid w:val="0037499B"/>
    <w:rsid w:val="00375DBD"/>
    <w:rsid w:val="00383CD8"/>
    <w:rsid w:val="00384AAD"/>
    <w:rsid w:val="003909D9"/>
    <w:rsid w:val="003A1FA6"/>
    <w:rsid w:val="003A255E"/>
    <w:rsid w:val="003E4F9E"/>
    <w:rsid w:val="003F0C84"/>
    <w:rsid w:val="00414E75"/>
    <w:rsid w:val="00422B7E"/>
    <w:rsid w:val="004708BF"/>
    <w:rsid w:val="0049176F"/>
    <w:rsid w:val="00496F28"/>
    <w:rsid w:val="004A72AC"/>
    <w:rsid w:val="004C4655"/>
    <w:rsid w:val="004C4E94"/>
    <w:rsid w:val="004F5692"/>
    <w:rsid w:val="005330CB"/>
    <w:rsid w:val="005800D3"/>
    <w:rsid w:val="00584C88"/>
    <w:rsid w:val="005A0C4D"/>
    <w:rsid w:val="005A2E5E"/>
    <w:rsid w:val="005A5391"/>
    <w:rsid w:val="005C291C"/>
    <w:rsid w:val="005C4700"/>
    <w:rsid w:val="005D7CD9"/>
    <w:rsid w:val="005F2230"/>
    <w:rsid w:val="005F2347"/>
    <w:rsid w:val="00662B90"/>
    <w:rsid w:val="00685F90"/>
    <w:rsid w:val="006B00EB"/>
    <w:rsid w:val="006B1496"/>
    <w:rsid w:val="006B465A"/>
    <w:rsid w:val="006B46C5"/>
    <w:rsid w:val="006C477A"/>
    <w:rsid w:val="006F2982"/>
    <w:rsid w:val="00707051"/>
    <w:rsid w:val="0071245E"/>
    <w:rsid w:val="00722CD7"/>
    <w:rsid w:val="00722EA2"/>
    <w:rsid w:val="00743A1E"/>
    <w:rsid w:val="00763CE2"/>
    <w:rsid w:val="00766F3E"/>
    <w:rsid w:val="0076743A"/>
    <w:rsid w:val="007A4F77"/>
    <w:rsid w:val="007B0197"/>
    <w:rsid w:val="007C32BB"/>
    <w:rsid w:val="007E2C01"/>
    <w:rsid w:val="007E4125"/>
    <w:rsid w:val="00813B87"/>
    <w:rsid w:val="008519A6"/>
    <w:rsid w:val="008538EC"/>
    <w:rsid w:val="008854D0"/>
    <w:rsid w:val="00886251"/>
    <w:rsid w:val="00887155"/>
    <w:rsid w:val="008A4C15"/>
    <w:rsid w:val="008D1A8A"/>
    <w:rsid w:val="008D3C36"/>
    <w:rsid w:val="008E52C4"/>
    <w:rsid w:val="009051B1"/>
    <w:rsid w:val="00905E63"/>
    <w:rsid w:val="009328B1"/>
    <w:rsid w:val="00933048"/>
    <w:rsid w:val="00941E4E"/>
    <w:rsid w:val="0096366B"/>
    <w:rsid w:val="00976643"/>
    <w:rsid w:val="009A0A4E"/>
    <w:rsid w:val="009B077A"/>
    <w:rsid w:val="009B6DB1"/>
    <w:rsid w:val="009C5E20"/>
    <w:rsid w:val="009D0E39"/>
    <w:rsid w:val="009D2A32"/>
    <w:rsid w:val="009F5DAF"/>
    <w:rsid w:val="00A004DA"/>
    <w:rsid w:val="00A15D42"/>
    <w:rsid w:val="00A25C41"/>
    <w:rsid w:val="00A40AB4"/>
    <w:rsid w:val="00A5093D"/>
    <w:rsid w:val="00A50A0B"/>
    <w:rsid w:val="00A71F9C"/>
    <w:rsid w:val="00A84138"/>
    <w:rsid w:val="00A84B1C"/>
    <w:rsid w:val="00A90F81"/>
    <w:rsid w:val="00A97D12"/>
    <w:rsid w:val="00AB4E71"/>
    <w:rsid w:val="00AC6A8A"/>
    <w:rsid w:val="00B04F96"/>
    <w:rsid w:val="00B1063F"/>
    <w:rsid w:val="00B13132"/>
    <w:rsid w:val="00B20188"/>
    <w:rsid w:val="00B349C3"/>
    <w:rsid w:val="00B357BA"/>
    <w:rsid w:val="00B52BDA"/>
    <w:rsid w:val="00B81C66"/>
    <w:rsid w:val="00B940D0"/>
    <w:rsid w:val="00B96F0A"/>
    <w:rsid w:val="00BA710C"/>
    <w:rsid w:val="00BC6048"/>
    <w:rsid w:val="00BC73EE"/>
    <w:rsid w:val="00C16B41"/>
    <w:rsid w:val="00C46431"/>
    <w:rsid w:val="00C53232"/>
    <w:rsid w:val="00C65225"/>
    <w:rsid w:val="00C743D9"/>
    <w:rsid w:val="00C7576C"/>
    <w:rsid w:val="00CB4EFA"/>
    <w:rsid w:val="00CD49FB"/>
    <w:rsid w:val="00D02286"/>
    <w:rsid w:val="00D10271"/>
    <w:rsid w:val="00D17CAC"/>
    <w:rsid w:val="00D35BEC"/>
    <w:rsid w:val="00D522AA"/>
    <w:rsid w:val="00D6428E"/>
    <w:rsid w:val="00DA57A1"/>
    <w:rsid w:val="00DA7615"/>
    <w:rsid w:val="00DB1F10"/>
    <w:rsid w:val="00DC6483"/>
    <w:rsid w:val="00DC65FE"/>
    <w:rsid w:val="00DD76AF"/>
    <w:rsid w:val="00DF429D"/>
    <w:rsid w:val="00E1051A"/>
    <w:rsid w:val="00E165C5"/>
    <w:rsid w:val="00E22E22"/>
    <w:rsid w:val="00E45231"/>
    <w:rsid w:val="00E4554C"/>
    <w:rsid w:val="00E56CF1"/>
    <w:rsid w:val="00E72BD7"/>
    <w:rsid w:val="00EB3D60"/>
    <w:rsid w:val="00EC608E"/>
    <w:rsid w:val="00EC7065"/>
    <w:rsid w:val="00ED40E2"/>
    <w:rsid w:val="00F17791"/>
    <w:rsid w:val="00F360DA"/>
    <w:rsid w:val="00F4234D"/>
    <w:rsid w:val="00F4369D"/>
    <w:rsid w:val="00F47071"/>
    <w:rsid w:val="00F852CA"/>
    <w:rsid w:val="00FC6CA7"/>
    <w:rsid w:val="00FD426A"/>
    <w:rsid w:val="00FE59BD"/>
    <w:rsid w:val="00FE7443"/>
    <w:rsid w:val="00FE766C"/>
    <w:rsid w:val="071858E7"/>
    <w:rsid w:val="141014A0"/>
    <w:rsid w:val="3DDFE31F"/>
    <w:rsid w:val="490BFA4B"/>
    <w:rsid w:val="4BE97322"/>
    <w:rsid w:val="5135364D"/>
    <w:rsid w:val="5477D41D"/>
    <w:rsid w:val="5D2293DF"/>
    <w:rsid w:val="5F60B3F3"/>
    <w:rsid w:val="7B67F582"/>
    <w:rsid w:val="7EB4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71858E7"/>
  <w15:chartTrackingRefBased/>
  <w15:docId w15:val="{3DE23206-D033-4689-9392-8122CAC5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391"/>
  </w:style>
  <w:style w:type="paragraph" w:styleId="Footer">
    <w:name w:val="footer"/>
    <w:basedOn w:val="Normal"/>
    <w:link w:val="FooterChar"/>
    <w:uiPriority w:val="99"/>
    <w:unhideWhenUsed/>
    <w:rsid w:val="005A53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391"/>
  </w:style>
  <w:style w:type="table" w:styleId="TableGrid">
    <w:name w:val="Table Grid"/>
    <w:basedOn w:val="TableNormal"/>
    <w:uiPriority w:val="39"/>
    <w:rsid w:val="00A50A0B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TOC style,lp1,Bulleted Text,Bullet List,FooterText,List Paragraph1,Bulleted text,Bullet OSM,numbered,Paragraphe de liste1,Bulletr List Paragraph,列出段落,列出段落1,List Paragraph2,List Paragraph21,Párrafo de lista1,Parágrafo da Lista1,リスト段落1"/>
    <w:basedOn w:val="Normal"/>
    <w:link w:val="ListParagraphChar"/>
    <w:uiPriority w:val="34"/>
    <w:qFormat/>
    <w:rsid w:val="00A50A0B"/>
    <w:pPr>
      <w:ind w:left="720"/>
      <w:contextualSpacing/>
    </w:pPr>
  </w:style>
  <w:style w:type="character" w:customStyle="1" w:styleId="ListParagraphChar">
    <w:name w:val="List Paragraph Char"/>
    <w:aliases w:val="TOC style Char,lp1 Char,Bulleted Text Char,Bullet List Char,FooterText Char,List Paragraph1 Char,Bulleted text Char,Bullet OSM Char,numbered Char,Paragraphe de liste1 Char,Bulletr List Paragraph Char,列出段落 Char,列出段落1 Char,リスト段落1 Char"/>
    <w:basedOn w:val="DefaultParagraphFont"/>
    <w:link w:val="ListParagraph"/>
    <w:uiPriority w:val="34"/>
    <w:qFormat/>
    <w:rsid w:val="00A50A0B"/>
  </w:style>
  <w:style w:type="character" w:styleId="PageNumber">
    <w:name w:val="page number"/>
    <w:uiPriority w:val="99"/>
    <w:rsid w:val="009F5DAF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C3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2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2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2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2B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22B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7FD7CFAD6BE240875B0C64CCA33E44" ma:contentTypeVersion="11" ma:contentTypeDescription="Create a new document." ma:contentTypeScope="" ma:versionID="9808bf288f1a98930294c1ae26a67c13">
  <xsd:schema xmlns:xsd="http://www.w3.org/2001/XMLSchema" xmlns:xs="http://www.w3.org/2001/XMLSchema" xmlns:p="http://schemas.microsoft.com/office/2006/metadata/properties" xmlns:ns3="63aa7079-c451-49dd-b51b-a5cb6c8460dc" xmlns:ns4="952c6b10-4375-45a4-8eb8-125b714235bb" targetNamespace="http://schemas.microsoft.com/office/2006/metadata/properties" ma:root="true" ma:fieldsID="107639a69611f7d11515df640c0cd2e3" ns3:_="" ns4:_="">
    <xsd:import namespace="63aa7079-c451-49dd-b51b-a5cb6c8460dc"/>
    <xsd:import namespace="952c6b10-4375-45a4-8eb8-125b714235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aa7079-c451-49dd-b51b-a5cb6c8460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c6b10-4375-45a4-8eb8-125b714235b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98C8E6-C072-402B-BC32-E448BEF75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aa7079-c451-49dd-b51b-a5cb6c8460dc"/>
    <ds:schemaRef ds:uri="952c6b10-4375-45a4-8eb8-125b714235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926D77-919A-48E8-9F1E-98BA92EB513E}">
  <ds:schemaRefs>
    <ds:schemaRef ds:uri="http://schemas.openxmlformats.org/package/2006/metadata/core-properties"/>
    <ds:schemaRef ds:uri="http://schemas.microsoft.com/office/2006/documentManagement/types"/>
    <ds:schemaRef ds:uri="63aa7079-c451-49dd-b51b-a5cb6c8460d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952c6b10-4375-45a4-8eb8-125b714235b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0BA394-ACD4-4E53-AFD4-3C9B81E9D1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Ngo, Rosalie S.</dc:creator>
  <cp:keywords/>
  <dc:description/>
  <cp:lastModifiedBy>Rosalie Ngo</cp:lastModifiedBy>
  <cp:revision>5</cp:revision>
  <dcterms:created xsi:type="dcterms:W3CDTF">2020-03-23T06:29:00Z</dcterms:created>
  <dcterms:modified xsi:type="dcterms:W3CDTF">2020-03-23T07:00:00Z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0x0101002E7FD7CFAD6BE240875B0C64CCA33E44</vt:lpwstr>
  </property>
</Properties>
</file>