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33FE9" w14:textId="77777777" w:rsidR="004A09A8" w:rsidRPr="00853334" w:rsidRDefault="004A09A8" w:rsidP="00853334">
      <w:pPr>
        <w:pStyle w:val="ABLOCKPARA"/>
        <w:jc w:val="right"/>
        <w:rPr>
          <w:b/>
          <w:sz w:val="24"/>
          <w:szCs w:val="24"/>
          <w:u w:val="single"/>
        </w:rPr>
      </w:pPr>
      <w:bookmarkStart w:id="0" w:name="_GoBack"/>
      <w:bookmarkEnd w:id="0"/>
      <w:r>
        <w:rPr>
          <w:b/>
          <w:sz w:val="24"/>
          <w:szCs w:val="24"/>
          <w:u w:val="single"/>
        </w:rPr>
        <w:t xml:space="preserve">Attachment </w:t>
      </w:r>
      <w:r w:rsidR="00CB7B01" w:rsidRPr="0030307D">
        <w:rPr>
          <w:b/>
          <w:sz w:val="24"/>
          <w:szCs w:val="24"/>
          <w:u w:val="single"/>
        </w:rPr>
        <w:t>2</w:t>
      </w:r>
      <w:r w:rsidR="0030307D">
        <w:rPr>
          <w:b/>
          <w:sz w:val="24"/>
          <w:szCs w:val="24"/>
          <w:u w:val="single"/>
        </w:rPr>
        <w:t>5</w:t>
      </w:r>
    </w:p>
    <w:p w14:paraId="1D177582" w14:textId="77777777" w:rsidR="004A09A8" w:rsidRDefault="004A09A8">
      <w:pPr>
        <w:pStyle w:val="ABLOCKPARA"/>
        <w:rPr>
          <w:b/>
          <w:sz w:val="40"/>
        </w:rPr>
      </w:pPr>
    </w:p>
    <w:p w14:paraId="2803C7FB" w14:textId="77777777" w:rsidR="003A6AEE" w:rsidRDefault="003A6AEE">
      <w:pPr>
        <w:pStyle w:val="ABLOCKPARA"/>
        <w:rPr>
          <w:b/>
          <w:sz w:val="40"/>
        </w:rPr>
      </w:pPr>
    </w:p>
    <w:p w14:paraId="341BB429" w14:textId="77777777" w:rsidR="003A6AEE" w:rsidRDefault="003A6AEE">
      <w:pPr>
        <w:pStyle w:val="ABLOCKPARA"/>
        <w:rPr>
          <w:b/>
          <w:sz w:val="40"/>
        </w:rPr>
      </w:pPr>
    </w:p>
    <w:p w14:paraId="25DB69C7" w14:textId="77777777" w:rsidR="003A6AEE" w:rsidRDefault="003A6AEE">
      <w:pPr>
        <w:pStyle w:val="ABLOCKPARA"/>
        <w:rPr>
          <w:b/>
          <w:sz w:val="40"/>
        </w:rPr>
      </w:pPr>
    </w:p>
    <w:p w14:paraId="6D75CBCF" w14:textId="77777777" w:rsidR="003A6AEE" w:rsidRDefault="003A6AEE">
      <w:pPr>
        <w:pStyle w:val="ABLOCKPARA"/>
        <w:rPr>
          <w:b/>
          <w:sz w:val="40"/>
        </w:rPr>
      </w:pPr>
    </w:p>
    <w:p w14:paraId="5B18C034" w14:textId="77777777" w:rsidR="003A6AEE" w:rsidRDefault="003A6AEE">
      <w:pPr>
        <w:pStyle w:val="ABLOCKPARA"/>
        <w:rPr>
          <w:b/>
          <w:sz w:val="40"/>
        </w:rPr>
      </w:pPr>
    </w:p>
    <w:tbl>
      <w:tblPr>
        <w:tblStyle w:val="TableGrid"/>
        <w:tblpPr w:leftFromText="180" w:rightFromText="180" w:vertAnchor="text" w:horzAnchor="margin" w:tblpXSpec="center" w:tblpY="18"/>
        <w:tblW w:w="0" w:type="auto"/>
        <w:tblLook w:val="04A0" w:firstRow="1" w:lastRow="0" w:firstColumn="1" w:lastColumn="0" w:noHBand="0" w:noVBand="1"/>
      </w:tblPr>
      <w:tblGrid>
        <w:gridCol w:w="9576"/>
      </w:tblGrid>
      <w:tr w:rsidR="003A6AEE" w:rsidRPr="003A6AEE" w14:paraId="6F0F4B53" w14:textId="77777777" w:rsidTr="004845C2">
        <w:trPr>
          <w:trHeight w:val="1850"/>
        </w:trPr>
        <w:tc>
          <w:tcPr>
            <w:tcW w:w="9576" w:type="dxa"/>
            <w:vAlign w:val="bottom"/>
          </w:tcPr>
          <w:p w14:paraId="5F927C68" w14:textId="77777777" w:rsidR="003A6AEE" w:rsidRPr="003A6AEE" w:rsidRDefault="003A6AEE" w:rsidP="003A6AEE">
            <w:pPr>
              <w:spacing w:line="276" w:lineRule="auto"/>
              <w:jc w:val="center"/>
              <w:rPr>
                <w:rFonts w:ascii="Times New Roman" w:hAnsi="Times New Roman"/>
                <w:sz w:val="40"/>
                <w:szCs w:val="40"/>
              </w:rPr>
            </w:pPr>
            <w:r w:rsidRPr="003A6AEE">
              <w:rPr>
                <w:rFonts w:ascii="Times New Roman" w:hAnsi="Times New Roman"/>
                <w:sz w:val="40"/>
                <w:szCs w:val="40"/>
              </w:rPr>
              <w:t>First Data Government Solutions</w:t>
            </w:r>
            <w:r>
              <w:rPr>
                <w:rFonts w:ascii="Times New Roman" w:hAnsi="Times New Roman"/>
                <w:sz w:val="40"/>
                <w:szCs w:val="40"/>
              </w:rPr>
              <w:t xml:space="preserve"> (</w:t>
            </w:r>
            <w:r w:rsidR="00E908BB">
              <w:rPr>
                <w:rFonts w:ascii="Times New Roman" w:hAnsi="Times New Roman"/>
                <w:sz w:val="40"/>
                <w:szCs w:val="40"/>
              </w:rPr>
              <w:t>“</w:t>
            </w:r>
            <w:r>
              <w:rPr>
                <w:rFonts w:ascii="Times New Roman" w:hAnsi="Times New Roman"/>
                <w:sz w:val="40"/>
                <w:szCs w:val="40"/>
              </w:rPr>
              <w:t>First Data”)</w:t>
            </w:r>
            <w:r w:rsidRPr="003A6AEE">
              <w:rPr>
                <w:rFonts w:ascii="Times New Roman" w:hAnsi="Times New Roman"/>
                <w:sz w:val="40"/>
                <w:szCs w:val="40"/>
              </w:rPr>
              <w:t xml:space="preserve"> </w:t>
            </w:r>
          </w:p>
          <w:p w14:paraId="11BB82BE" w14:textId="461C21DD" w:rsidR="003A6AEE" w:rsidRPr="00D05407" w:rsidRDefault="003A6AEE" w:rsidP="003A6AEE">
            <w:pPr>
              <w:pStyle w:val="ABLOCKPARA"/>
              <w:jc w:val="center"/>
              <w:rPr>
                <w:rFonts w:ascii="Times New Roman" w:hAnsi="Times New Roman"/>
                <w:sz w:val="40"/>
                <w:szCs w:val="40"/>
              </w:rPr>
            </w:pPr>
            <w:r w:rsidRPr="00D05407">
              <w:rPr>
                <w:rFonts w:ascii="Times New Roman" w:hAnsi="Times New Roman"/>
                <w:sz w:val="40"/>
                <w:szCs w:val="40"/>
              </w:rPr>
              <w:t>Change Order CO-018 Rev.</w:t>
            </w:r>
            <w:r w:rsidR="0093478F">
              <w:rPr>
                <w:rFonts w:ascii="Times New Roman" w:hAnsi="Times New Roman"/>
                <w:sz w:val="40"/>
                <w:szCs w:val="40"/>
              </w:rPr>
              <w:t>3</w:t>
            </w:r>
          </w:p>
          <w:p w14:paraId="61936825" w14:textId="77777777" w:rsidR="003A6AEE" w:rsidRPr="003A6AEE" w:rsidRDefault="003A6AEE" w:rsidP="003A6AEE">
            <w:pPr>
              <w:spacing w:line="276" w:lineRule="auto"/>
              <w:jc w:val="center"/>
              <w:rPr>
                <w:rFonts w:ascii="Times New Roman" w:hAnsi="Times New Roman"/>
                <w:sz w:val="40"/>
                <w:szCs w:val="40"/>
              </w:rPr>
            </w:pPr>
            <w:r w:rsidRPr="003A6AEE">
              <w:rPr>
                <w:rFonts w:ascii="Times New Roman" w:hAnsi="Times New Roman"/>
                <w:sz w:val="40"/>
                <w:szCs w:val="40"/>
              </w:rPr>
              <w:t>Central Contact Center Platform (“CCP”) Covered California (“CA”) Expansion</w:t>
            </w:r>
          </w:p>
        </w:tc>
      </w:tr>
      <w:tr w:rsidR="003A6AEE" w:rsidRPr="003A6AEE" w14:paraId="2A3120A3" w14:textId="77777777" w:rsidTr="004845C2">
        <w:tc>
          <w:tcPr>
            <w:tcW w:w="9576" w:type="dxa"/>
            <w:vAlign w:val="bottom"/>
          </w:tcPr>
          <w:p w14:paraId="38C9A0F8" w14:textId="77777777" w:rsidR="003A6AEE" w:rsidRPr="003A6AEE" w:rsidRDefault="00B71EB2" w:rsidP="003A6AEE">
            <w:pPr>
              <w:spacing w:line="480" w:lineRule="auto"/>
              <w:jc w:val="center"/>
              <w:rPr>
                <w:rFonts w:ascii="Times New Roman" w:hAnsi="Times New Roman"/>
                <w:sz w:val="40"/>
                <w:szCs w:val="40"/>
              </w:rPr>
            </w:pPr>
            <w:proofErr w:type="spellStart"/>
            <w:r>
              <w:rPr>
                <w:rFonts w:ascii="Times New Roman" w:hAnsi="Times New Roman"/>
                <w:sz w:val="40"/>
                <w:szCs w:val="40"/>
              </w:rPr>
              <w:t>CalSAWS</w:t>
            </w:r>
            <w:proofErr w:type="spellEnd"/>
            <w:r w:rsidRPr="003A6AEE">
              <w:rPr>
                <w:rFonts w:ascii="Times New Roman" w:hAnsi="Times New Roman"/>
                <w:sz w:val="40"/>
                <w:szCs w:val="40"/>
              </w:rPr>
              <w:t xml:space="preserve"> </w:t>
            </w:r>
            <w:r w:rsidR="003A6AEE" w:rsidRPr="003A6AEE">
              <w:rPr>
                <w:rFonts w:ascii="Times New Roman" w:hAnsi="Times New Roman"/>
                <w:sz w:val="40"/>
                <w:szCs w:val="40"/>
              </w:rPr>
              <w:t xml:space="preserve">Consortium </w:t>
            </w:r>
          </w:p>
        </w:tc>
      </w:tr>
    </w:tbl>
    <w:p w14:paraId="39BDDF30" w14:textId="77777777" w:rsidR="004A09A8" w:rsidRDefault="004A09A8">
      <w:pPr>
        <w:pStyle w:val="ABLOCKPARA"/>
      </w:pPr>
    </w:p>
    <w:p w14:paraId="44280356" w14:textId="77777777" w:rsidR="003A6AEE" w:rsidRDefault="003A6AEE">
      <w:pPr>
        <w:pStyle w:val="ABLOCKPARA"/>
      </w:pPr>
    </w:p>
    <w:p w14:paraId="4E14DE59" w14:textId="77777777" w:rsidR="003A6AEE" w:rsidRDefault="003A6AEE">
      <w:pPr>
        <w:pStyle w:val="ABLOCKPARA"/>
      </w:pPr>
    </w:p>
    <w:p w14:paraId="11A2C996" w14:textId="77777777" w:rsidR="003A6AEE" w:rsidRDefault="003A6AEE">
      <w:pPr>
        <w:pStyle w:val="ABLOCKPARA"/>
      </w:pPr>
    </w:p>
    <w:p w14:paraId="2D1C3D62" w14:textId="77777777" w:rsidR="003A6AEE" w:rsidRDefault="003A6AEE">
      <w:pPr>
        <w:pStyle w:val="ABLOCKPARA"/>
      </w:pPr>
    </w:p>
    <w:p w14:paraId="2F6BB3CA" w14:textId="77777777" w:rsidR="003A6AEE" w:rsidRDefault="003A6AEE">
      <w:pPr>
        <w:pStyle w:val="ABLOCKPARA"/>
      </w:pPr>
    </w:p>
    <w:p w14:paraId="51DD2865" w14:textId="77777777" w:rsidR="003A6AEE" w:rsidRDefault="003A6AEE">
      <w:pPr>
        <w:pStyle w:val="ABLOCKPARA"/>
      </w:pPr>
    </w:p>
    <w:p w14:paraId="2C6386A1" w14:textId="77777777" w:rsidR="004A09A8" w:rsidRDefault="004A09A8">
      <w:pPr>
        <w:pStyle w:val="ABLOCKPARA"/>
      </w:pPr>
    </w:p>
    <w:p w14:paraId="0130A376" w14:textId="77777777" w:rsidR="004A09A8" w:rsidRDefault="004A09A8">
      <w:pPr>
        <w:pStyle w:val="ABLOCKPARA"/>
      </w:pPr>
    </w:p>
    <w:p w14:paraId="41FB9898" w14:textId="77777777" w:rsidR="004A09A8" w:rsidRDefault="004A09A8">
      <w:pPr>
        <w:pStyle w:val="ABLOCKPARA"/>
        <w:ind w:left="2880" w:firstLine="720"/>
      </w:pPr>
    </w:p>
    <w:p w14:paraId="6C19D7EF" w14:textId="77777777" w:rsidR="004A09A8" w:rsidRDefault="004A09A8">
      <w:pPr>
        <w:pStyle w:val="ABLOCKPARA"/>
        <w:ind w:left="2880" w:firstLine="720"/>
      </w:pPr>
    </w:p>
    <w:p w14:paraId="367DD387" w14:textId="77777777" w:rsidR="004A09A8" w:rsidRDefault="004A09A8">
      <w:pPr>
        <w:pStyle w:val="ABLOCKPARA"/>
        <w:ind w:left="2880" w:firstLine="720"/>
      </w:pPr>
    </w:p>
    <w:p w14:paraId="1428A482" w14:textId="4ADD8E91" w:rsidR="004A09A8" w:rsidRDefault="004A09A8" w:rsidP="00B11C80">
      <w:pPr>
        <w:pStyle w:val="ABLOCKPARA"/>
        <w:jc w:val="center"/>
      </w:pPr>
      <w:r>
        <w:t>Submitted:</w:t>
      </w:r>
      <w:r>
        <w:tab/>
      </w:r>
      <w:r w:rsidR="00B11C80">
        <w:t xml:space="preserve"> </w:t>
      </w:r>
      <w:r w:rsidR="00381CD9">
        <w:t>July 17</w:t>
      </w:r>
      <w:r w:rsidR="00CB3881">
        <w:t>, 2020</w:t>
      </w:r>
    </w:p>
    <w:p w14:paraId="763BC71F" w14:textId="77777777" w:rsidR="004A09A8" w:rsidRDefault="004A09A8">
      <w:pPr>
        <w:pStyle w:val="ABLOCKPARA"/>
        <w:ind w:left="1440"/>
      </w:pPr>
      <w:r>
        <w:tab/>
      </w:r>
      <w:r>
        <w:tab/>
      </w:r>
      <w:r>
        <w:tab/>
      </w:r>
    </w:p>
    <w:p w14:paraId="6E52DD6E" w14:textId="77777777" w:rsidR="004A09A8" w:rsidRDefault="004A09A8" w:rsidP="003C76E6">
      <w:pPr>
        <w:pStyle w:val="ABLOCKPARA"/>
        <w:ind w:left="1440"/>
      </w:pPr>
      <w:r>
        <w:br w:type="page"/>
      </w:r>
      <w:r>
        <w:lastRenderedPageBreak/>
        <w:tab/>
      </w:r>
    </w:p>
    <w:p w14:paraId="7C05B7D3" w14:textId="77777777" w:rsidR="004A09A8" w:rsidRDefault="004A09A8">
      <w:pPr>
        <w:widowControl w:val="0"/>
        <w:numPr>
          <w:ilvl w:val="0"/>
          <w:numId w:val="5"/>
        </w:numPr>
        <w:tabs>
          <w:tab w:val="left" w:pos="90"/>
        </w:tabs>
        <w:autoSpaceDE w:val="0"/>
        <w:autoSpaceDN w:val="0"/>
        <w:adjustRightInd w:val="0"/>
        <w:rPr>
          <w:b/>
          <w:bCs/>
        </w:rPr>
      </w:pPr>
      <w:r>
        <w:rPr>
          <w:b/>
          <w:bCs/>
        </w:rPr>
        <w:t xml:space="preserve">Statement of Purpose: </w:t>
      </w:r>
    </w:p>
    <w:p w14:paraId="026A0507" w14:textId="77777777" w:rsidR="004A09A8" w:rsidRDefault="004A09A8">
      <w:pPr>
        <w:widowControl w:val="0"/>
        <w:tabs>
          <w:tab w:val="left" w:pos="90"/>
        </w:tabs>
        <w:autoSpaceDE w:val="0"/>
        <w:autoSpaceDN w:val="0"/>
        <w:adjustRightInd w:val="0"/>
        <w:ind w:left="1080"/>
        <w:rPr>
          <w:b/>
          <w:bCs/>
        </w:rPr>
      </w:pPr>
    </w:p>
    <w:p w14:paraId="384F9C42" w14:textId="0A9DF0FE" w:rsidR="004A09A8" w:rsidRPr="00630AD6" w:rsidRDefault="004A09A8" w:rsidP="00FC7008">
      <w:pPr>
        <w:widowControl w:val="0"/>
        <w:tabs>
          <w:tab w:val="left" w:pos="90"/>
        </w:tabs>
        <w:autoSpaceDE w:val="0"/>
        <w:autoSpaceDN w:val="0"/>
        <w:adjustRightInd w:val="0"/>
        <w:ind w:left="684"/>
        <w:rPr>
          <w:bCs/>
        </w:rPr>
      </w:pPr>
      <w:r w:rsidRPr="00630AD6">
        <w:rPr>
          <w:bCs/>
        </w:rPr>
        <w:t>This Change Order CO-</w:t>
      </w:r>
      <w:r w:rsidR="0030307D" w:rsidRPr="00630AD6">
        <w:rPr>
          <w:bCs/>
        </w:rPr>
        <w:t>0</w:t>
      </w:r>
      <w:r w:rsidR="0030307D">
        <w:rPr>
          <w:bCs/>
        </w:rPr>
        <w:t>18</w:t>
      </w:r>
      <w:r w:rsidR="002577FD">
        <w:rPr>
          <w:bCs/>
        </w:rPr>
        <w:t xml:space="preserve"> Rev.</w:t>
      </w:r>
      <w:r w:rsidR="00775E8A">
        <w:rPr>
          <w:bCs/>
        </w:rPr>
        <w:t>3</w:t>
      </w:r>
      <w:r w:rsidR="00336814">
        <w:rPr>
          <w:bCs/>
        </w:rPr>
        <w:t xml:space="preserve"> </w:t>
      </w:r>
      <w:r>
        <w:rPr>
          <w:bCs/>
        </w:rPr>
        <w:t>(</w:t>
      </w:r>
      <w:r w:rsidR="002823C0">
        <w:rPr>
          <w:bCs/>
        </w:rPr>
        <w:t>the “</w:t>
      </w:r>
      <w:r w:rsidRPr="00630AD6">
        <w:rPr>
          <w:bCs/>
        </w:rPr>
        <w:t>Change Order</w:t>
      </w:r>
      <w:r w:rsidR="002823C0">
        <w:rPr>
          <w:bCs/>
        </w:rPr>
        <w:t>”</w:t>
      </w:r>
      <w:r>
        <w:rPr>
          <w:bCs/>
        </w:rPr>
        <w:t>) is related to the Agreement (</w:t>
      </w:r>
      <w:r w:rsidR="002823C0">
        <w:rPr>
          <w:bCs/>
        </w:rPr>
        <w:t>the “</w:t>
      </w:r>
      <w:r w:rsidRPr="00630AD6">
        <w:rPr>
          <w:bCs/>
        </w:rPr>
        <w:t>Agreement</w:t>
      </w:r>
      <w:r w:rsidR="002823C0">
        <w:rPr>
          <w:bCs/>
        </w:rPr>
        <w:t>”</w:t>
      </w:r>
      <w:r w:rsidRPr="00630AD6">
        <w:rPr>
          <w:bCs/>
        </w:rPr>
        <w:t xml:space="preserve">), dated as of October </w:t>
      </w:r>
      <w:r w:rsidR="007C4C14" w:rsidRPr="00630AD6">
        <w:rPr>
          <w:bCs/>
        </w:rPr>
        <w:t>2</w:t>
      </w:r>
      <w:r w:rsidR="0030482D">
        <w:rPr>
          <w:bCs/>
        </w:rPr>
        <w:t>9</w:t>
      </w:r>
      <w:r w:rsidRPr="00630AD6">
        <w:rPr>
          <w:bCs/>
        </w:rPr>
        <w:t xml:space="preserve">, </w:t>
      </w:r>
      <w:r w:rsidR="007C4C14" w:rsidRPr="00630AD6">
        <w:rPr>
          <w:bCs/>
        </w:rPr>
        <w:t>20</w:t>
      </w:r>
      <w:r w:rsidR="0030482D">
        <w:rPr>
          <w:bCs/>
        </w:rPr>
        <w:t>07</w:t>
      </w:r>
      <w:r w:rsidRPr="00630AD6">
        <w:rPr>
          <w:bCs/>
        </w:rPr>
        <w:t xml:space="preserve">, as amended, by and between the </w:t>
      </w:r>
      <w:proofErr w:type="spellStart"/>
      <w:r w:rsidR="005117E8">
        <w:rPr>
          <w:bCs/>
        </w:rPr>
        <w:t>CalSAWS</w:t>
      </w:r>
      <w:proofErr w:type="spellEnd"/>
      <w:r w:rsidR="005117E8">
        <w:rPr>
          <w:bCs/>
        </w:rPr>
        <w:t xml:space="preserve"> Consortium</w:t>
      </w:r>
      <w:r w:rsidRPr="00630AD6">
        <w:rPr>
          <w:bCs/>
        </w:rPr>
        <w:t xml:space="preserve"> Jo</w:t>
      </w:r>
      <w:r>
        <w:rPr>
          <w:bCs/>
        </w:rPr>
        <w:t>int Powers Authority (</w:t>
      </w:r>
      <w:r w:rsidR="002823C0">
        <w:rPr>
          <w:bCs/>
        </w:rPr>
        <w:t>the “</w:t>
      </w:r>
      <w:r w:rsidRPr="00630AD6">
        <w:rPr>
          <w:bCs/>
        </w:rPr>
        <w:t>Consortium</w:t>
      </w:r>
      <w:r w:rsidR="002823C0">
        <w:rPr>
          <w:bCs/>
        </w:rPr>
        <w:t>” or “C-IV”</w:t>
      </w:r>
      <w:r w:rsidRPr="00630AD6">
        <w:rPr>
          <w:bCs/>
        </w:rPr>
        <w:t>) and First Data Government Solutions, LP ("First Data").  Unless the context indicates otherwise, all capitalized terms that are used, but not defined, in this Change Order, shall have the meaning assigned to such terms in the Agreement.</w:t>
      </w:r>
      <w:r w:rsidR="002577FD">
        <w:rPr>
          <w:bCs/>
        </w:rPr>
        <w:t xml:space="preserve">  </w:t>
      </w:r>
      <w:r w:rsidR="002577FD" w:rsidRPr="00FF5428">
        <w:rPr>
          <w:bCs/>
        </w:rPr>
        <w:t>This Change Order revises CO-1</w:t>
      </w:r>
      <w:r w:rsidR="00EB61A0">
        <w:rPr>
          <w:bCs/>
        </w:rPr>
        <w:t>8</w:t>
      </w:r>
      <w:r w:rsidR="00297599">
        <w:rPr>
          <w:bCs/>
        </w:rPr>
        <w:t xml:space="preserve">, Revision </w:t>
      </w:r>
      <w:r w:rsidR="00775E8A">
        <w:rPr>
          <w:bCs/>
        </w:rPr>
        <w:t>2</w:t>
      </w:r>
      <w:r w:rsidR="00775E8A" w:rsidRPr="00FF5428">
        <w:rPr>
          <w:bCs/>
        </w:rPr>
        <w:t xml:space="preserve"> </w:t>
      </w:r>
      <w:r w:rsidR="00424B9B">
        <w:rPr>
          <w:bCs/>
        </w:rPr>
        <w:t xml:space="preserve">which was </w:t>
      </w:r>
      <w:r w:rsidR="002577FD" w:rsidRPr="00FF5428">
        <w:rPr>
          <w:bCs/>
        </w:rPr>
        <w:t xml:space="preserve">approved on </w:t>
      </w:r>
      <w:r w:rsidR="00775E8A">
        <w:rPr>
          <w:bCs/>
        </w:rPr>
        <w:t>November 15</w:t>
      </w:r>
      <w:r w:rsidR="00336814">
        <w:rPr>
          <w:bCs/>
        </w:rPr>
        <w:t>, 2019</w:t>
      </w:r>
      <w:r w:rsidR="002577FD" w:rsidRPr="00FF5428">
        <w:rPr>
          <w:bCs/>
        </w:rPr>
        <w:t>.</w:t>
      </w:r>
      <w:r w:rsidR="0030482D">
        <w:rPr>
          <w:bCs/>
        </w:rPr>
        <w:t xml:space="preserve">  </w:t>
      </w:r>
    </w:p>
    <w:p w14:paraId="612A6B17" w14:textId="77777777" w:rsidR="004A09A8" w:rsidRDefault="004A09A8" w:rsidP="008A0525">
      <w:pPr>
        <w:ind w:left="720"/>
        <w:jc w:val="both"/>
      </w:pPr>
    </w:p>
    <w:p w14:paraId="335B3D67" w14:textId="77777777" w:rsidR="00F97D05" w:rsidRDefault="00DF6346" w:rsidP="00F97D05">
      <w:pPr>
        <w:ind w:left="720"/>
        <w:jc w:val="both"/>
      </w:pPr>
      <w:r w:rsidRPr="00DF6346">
        <w:t>The Health Benefit Exchange (</w:t>
      </w:r>
      <w:r w:rsidR="00A9347E">
        <w:t xml:space="preserve">also known as </w:t>
      </w:r>
      <w:r w:rsidRPr="00DF6346">
        <w:t xml:space="preserve">“Covered California”) selected the centralized service center model as part of the transfer of </w:t>
      </w:r>
      <w:proofErr w:type="spellStart"/>
      <w:r w:rsidRPr="00DF6346">
        <w:t>Medi</w:t>
      </w:r>
      <w:proofErr w:type="spellEnd"/>
      <w:r w:rsidRPr="00DF6346">
        <w:t xml:space="preserve">-Cal Referrals to counties.  </w:t>
      </w:r>
      <w:proofErr w:type="gramStart"/>
      <w:r w:rsidR="00690986" w:rsidRPr="00690986">
        <w:t>In order to</w:t>
      </w:r>
      <w:proofErr w:type="gramEnd"/>
      <w:r w:rsidR="00690986" w:rsidRPr="00690986">
        <w:t xml:space="preserve"> support Covered California’s selection of a centralized service model, an expansion of the C-IV </w:t>
      </w:r>
      <w:r w:rsidR="00A9347E">
        <w:t>c</w:t>
      </w:r>
      <w:r w:rsidR="00690986" w:rsidRPr="00690986">
        <w:t xml:space="preserve">ontact </w:t>
      </w:r>
      <w:r w:rsidR="00A9347E">
        <w:t>c</w:t>
      </w:r>
      <w:r w:rsidR="00690986" w:rsidRPr="00690986">
        <w:t xml:space="preserve">enter </w:t>
      </w:r>
      <w:r w:rsidR="00A9347E">
        <w:t>p</w:t>
      </w:r>
      <w:r w:rsidR="00690986" w:rsidRPr="00690986">
        <w:t xml:space="preserve">latform (“CCP”) and C-IV System are required to allow the C-IV Counties to accept </w:t>
      </w:r>
      <w:proofErr w:type="spellStart"/>
      <w:r w:rsidR="00690986" w:rsidRPr="00690986">
        <w:t>Medi</w:t>
      </w:r>
      <w:proofErr w:type="spellEnd"/>
      <w:r w:rsidR="00690986" w:rsidRPr="00690986">
        <w:t xml:space="preserve">-Cal referral calls from Covered California and perform the related program activities. This expansion would provide centralized services and functionality within the C-IV System to actively manage </w:t>
      </w:r>
      <w:proofErr w:type="spellStart"/>
      <w:r w:rsidR="00690986" w:rsidRPr="00690986">
        <w:t>Medi</w:t>
      </w:r>
      <w:proofErr w:type="spellEnd"/>
      <w:r w:rsidR="00690986" w:rsidRPr="00690986">
        <w:t xml:space="preserve">-Cal </w:t>
      </w:r>
      <w:r w:rsidR="00CD1766">
        <w:t>r</w:t>
      </w:r>
      <w:r w:rsidR="00690986" w:rsidRPr="00690986">
        <w:t>eferral calls transferred from Covered California.</w:t>
      </w:r>
    </w:p>
    <w:p w14:paraId="4E4F6F69" w14:textId="77777777" w:rsidR="00690986" w:rsidRDefault="00690986" w:rsidP="00F97D05">
      <w:pPr>
        <w:ind w:left="720"/>
        <w:jc w:val="both"/>
      </w:pPr>
    </w:p>
    <w:p w14:paraId="5871E490" w14:textId="77777777" w:rsidR="00151F4B" w:rsidRDefault="00151F4B" w:rsidP="00151F4B">
      <w:pPr>
        <w:widowControl w:val="0"/>
        <w:numPr>
          <w:ilvl w:val="0"/>
          <w:numId w:val="5"/>
        </w:numPr>
        <w:tabs>
          <w:tab w:val="left" w:pos="90"/>
        </w:tabs>
        <w:autoSpaceDE w:val="0"/>
        <w:autoSpaceDN w:val="0"/>
        <w:adjustRightInd w:val="0"/>
        <w:rPr>
          <w:b/>
          <w:bCs/>
        </w:rPr>
      </w:pPr>
      <w:r>
        <w:rPr>
          <w:b/>
          <w:bCs/>
        </w:rPr>
        <w:t xml:space="preserve">Consortium Name Change: </w:t>
      </w:r>
    </w:p>
    <w:p w14:paraId="245A44DA" w14:textId="77777777" w:rsidR="00151F4B" w:rsidRDefault="00151F4B" w:rsidP="00151F4B">
      <w:pPr>
        <w:ind w:left="720"/>
        <w:jc w:val="both"/>
      </w:pPr>
    </w:p>
    <w:p w14:paraId="36101F2F" w14:textId="77777777" w:rsidR="00151F4B" w:rsidRDefault="00151F4B" w:rsidP="00151F4B">
      <w:pPr>
        <w:ind w:left="720"/>
        <w:jc w:val="both"/>
      </w:pPr>
      <w:r>
        <w:t xml:space="preserve">Effective June 28, 2019, the 18-County </w:t>
      </w:r>
      <w:r w:rsidRPr="007448BA">
        <w:t>Welfare Case Data</w:t>
      </w:r>
      <w:r>
        <w:t xml:space="preserve"> System (“WCDS”) joined the California Automated Consortium Eligibility System, and the combined 58-county organization changed its legal name to the </w:t>
      </w:r>
      <w:proofErr w:type="spellStart"/>
      <w:r>
        <w:t>CalSAWS</w:t>
      </w:r>
      <w:proofErr w:type="spellEnd"/>
      <w:r>
        <w:t xml:space="preserve"> Consortium. </w:t>
      </w:r>
      <w:r w:rsidRPr="007448BA">
        <w:t xml:space="preserve">As a single legal entity separate from its members, </w:t>
      </w:r>
      <w:proofErr w:type="spellStart"/>
      <w:r w:rsidRPr="007448BA">
        <w:t>Cal</w:t>
      </w:r>
      <w:r>
        <w:t>SAWS</w:t>
      </w:r>
      <w:proofErr w:type="spellEnd"/>
      <w:r w:rsidRPr="007448BA">
        <w:t xml:space="preserve"> manages the </w:t>
      </w:r>
      <w:r>
        <w:t xml:space="preserve">LRS, </w:t>
      </w:r>
      <w:r w:rsidRPr="007D4BDC">
        <w:t xml:space="preserve">Consortium IV (“C-IV”) </w:t>
      </w:r>
      <w:r>
        <w:t xml:space="preserve">and WCDS </w:t>
      </w:r>
      <w:r w:rsidRPr="007448BA">
        <w:t>system</w:t>
      </w:r>
      <w:r>
        <w:t>s</w:t>
      </w:r>
      <w:r w:rsidRPr="007448BA">
        <w:t>.</w:t>
      </w:r>
      <w:r>
        <w:t xml:space="preserve"> </w:t>
      </w:r>
    </w:p>
    <w:p w14:paraId="23892C90" w14:textId="77777777" w:rsidR="008D6B58" w:rsidRDefault="008D6B58" w:rsidP="00151F4B">
      <w:pPr>
        <w:ind w:left="720"/>
        <w:jc w:val="both"/>
      </w:pPr>
    </w:p>
    <w:p w14:paraId="607F45A9" w14:textId="77777777" w:rsidR="00151F4B" w:rsidRDefault="00151F4B" w:rsidP="00151F4B">
      <w:pPr>
        <w:ind w:left="720"/>
        <w:jc w:val="both"/>
      </w:pPr>
      <w:r w:rsidRPr="00144249">
        <w:rPr>
          <w:b/>
        </w:rPr>
        <w:t>Revision 1.</w:t>
      </w:r>
      <w:r>
        <w:t xml:space="preserve"> </w:t>
      </w:r>
      <w:r w:rsidRPr="002334AB">
        <w:t xml:space="preserve">The parties agree that the name of the Consortium in the Agreement is changed from the California Automated Consortium Eligibility System to the </w:t>
      </w:r>
      <w:proofErr w:type="spellStart"/>
      <w:r w:rsidRPr="002334AB">
        <w:t>CalSAWS</w:t>
      </w:r>
      <w:proofErr w:type="spellEnd"/>
      <w:r w:rsidRPr="002334AB">
        <w:t xml:space="preserve"> Consortium for all purposes, to recognize the Consortium’s name change by its members effective as of June 28, 2019. </w:t>
      </w:r>
    </w:p>
    <w:p w14:paraId="0DA04AD3" w14:textId="77777777" w:rsidR="00151F4B" w:rsidRDefault="00151F4B" w:rsidP="00F97D05">
      <w:pPr>
        <w:ind w:left="720"/>
        <w:jc w:val="both"/>
      </w:pPr>
    </w:p>
    <w:p w14:paraId="59633FBE" w14:textId="77777777" w:rsidR="00151F4B" w:rsidRDefault="008D6B58" w:rsidP="00151F4B">
      <w:pPr>
        <w:widowControl w:val="0"/>
        <w:numPr>
          <w:ilvl w:val="0"/>
          <w:numId w:val="5"/>
        </w:numPr>
        <w:tabs>
          <w:tab w:val="left" w:pos="90"/>
        </w:tabs>
        <w:autoSpaceDE w:val="0"/>
        <w:autoSpaceDN w:val="0"/>
        <w:adjustRightInd w:val="0"/>
        <w:rPr>
          <w:b/>
          <w:bCs/>
        </w:rPr>
      </w:pPr>
      <w:r>
        <w:rPr>
          <w:b/>
          <w:bCs/>
        </w:rPr>
        <w:t>Scope of Work</w:t>
      </w:r>
      <w:r w:rsidR="00151F4B">
        <w:rPr>
          <w:b/>
          <w:bCs/>
        </w:rPr>
        <w:t xml:space="preserve">: </w:t>
      </w:r>
    </w:p>
    <w:p w14:paraId="4F91339D" w14:textId="77777777" w:rsidR="00151F4B" w:rsidRDefault="00151F4B" w:rsidP="00F97D05">
      <w:pPr>
        <w:ind w:left="720"/>
        <w:jc w:val="both"/>
      </w:pPr>
    </w:p>
    <w:p w14:paraId="1075F4D7" w14:textId="77777777" w:rsidR="00C027B6" w:rsidRPr="00C027B6" w:rsidRDefault="004A09A8" w:rsidP="007310BB">
      <w:pPr>
        <w:ind w:left="720"/>
        <w:jc w:val="both"/>
      </w:pPr>
      <w:r w:rsidRPr="0098527D">
        <w:t xml:space="preserve">This Change Order outlines the staffing requirements, costs, and timeline for </w:t>
      </w:r>
      <w:r>
        <w:t>First Data</w:t>
      </w:r>
      <w:r w:rsidRPr="0098527D">
        <w:t xml:space="preserve"> to perform </w:t>
      </w:r>
      <w:r>
        <w:t>Quality Assurance (</w:t>
      </w:r>
      <w:r w:rsidR="002823C0">
        <w:t>“</w:t>
      </w:r>
      <w:r>
        <w:t>QA</w:t>
      </w:r>
      <w:r w:rsidR="002823C0">
        <w:t>”</w:t>
      </w:r>
      <w:r>
        <w:t xml:space="preserve">) Services associated with the </w:t>
      </w:r>
      <w:r w:rsidRPr="0098527D">
        <w:t xml:space="preserve">development, testing, and implementation of </w:t>
      </w:r>
      <w:r w:rsidR="00EC4A74">
        <w:t xml:space="preserve">the changes associated </w:t>
      </w:r>
      <w:r w:rsidR="00EC4A74" w:rsidRPr="007354A5">
        <w:t xml:space="preserve">with </w:t>
      </w:r>
      <w:r w:rsidR="00690986">
        <w:t xml:space="preserve">expansion of the C-IV CCP. </w:t>
      </w:r>
    </w:p>
    <w:p w14:paraId="183E97AD" w14:textId="77777777" w:rsidR="00643CBD" w:rsidRDefault="00643CBD" w:rsidP="002E60DB">
      <w:pPr>
        <w:ind w:left="720"/>
        <w:jc w:val="both"/>
      </w:pPr>
    </w:p>
    <w:p w14:paraId="344D8AD6" w14:textId="77777777" w:rsidR="002577FD" w:rsidRDefault="002577FD" w:rsidP="002577FD">
      <w:pPr>
        <w:widowControl w:val="0"/>
        <w:tabs>
          <w:tab w:val="left" w:pos="90"/>
        </w:tabs>
        <w:autoSpaceDE w:val="0"/>
        <w:autoSpaceDN w:val="0"/>
        <w:adjustRightInd w:val="0"/>
        <w:ind w:left="720"/>
      </w:pPr>
      <w:r w:rsidRPr="00643CBD">
        <w:rPr>
          <w:b/>
        </w:rPr>
        <w:t xml:space="preserve">Revision 1.  </w:t>
      </w:r>
      <w:r w:rsidR="0031496A" w:rsidRPr="0031496A">
        <w:t xml:space="preserve">Additional hours have </w:t>
      </w:r>
      <w:r w:rsidR="0031496A">
        <w:t xml:space="preserve">been included to provide </w:t>
      </w:r>
      <w:r w:rsidR="0031496A" w:rsidRPr="0031496A">
        <w:t xml:space="preserve">ongoing QA and Project Management Support Services during </w:t>
      </w:r>
      <w:r w:rsidR="0031496A">
        <w:t>Maintenance &amp; Operations (“</w:t>
      </w:r>
      <w:r w:rsidR="0031496A" w:rsidRPr="0031496A">
        <w:t>M&amp;O</w:t>
      </w:r>
      <w:r w:rsidR="0031496A">
        <w:t>”)</w:t>
      </w:r>
      <w:r w:rsidR="0031496A" w:rsidRPr="0031496A">
        <w:t>.</w:t>
      </w:r>
    </w:p>
    <w:p w14:paraId="1DD3F60E" w14:textId="77777777" w:rsidR="002577FD" w:rsidRDefault="002577FD">
      <w:pPr>
        <w:widowControl w:val="0"/>
        <w:tabs>
          <w:tab w:val="left" w:pos="90"/>
        </w:tabs>
        <w:autoSpaceDE w:val="0"/>
        <w:autoSpaceDN w:val="0"/>
        <w:adjustRightInd w:val="0"/>
        <w:ind w:left="720"/>
        <w:rPr>
          <w:bCs/>
        </w:rPr>
      </w:pPr>
    </w:p>
    <w:p w14:paraId="67934768" w14:textId="77777777" w:rsidR="004606D8" w:rsidRDefault="004606D8" w:rsidP="004606D8">
      <w:pPr>
        <w:widowControl w:val="0"/>
        <w:tabs>
          <w:tab w:val="left" w:pos="90"/>
        </w:tabs>
        <w:autoSpaceDE w:val="0"/>
        <w:autoSpaceDN w:val="0"/>
        <w:adjustRightInd w:val="0"/>
        <w:ind w:left="720"/>
      </w:pPr>
      <w:r w:rsidRPr="00643CBD">
        <w:rPr>
          <w:b/>
        </w:rPr>
        <w:t xml:space="preserve">Revision </w:t>
      </w:r>
      <w:r>
        <w:rPr>
          <w:b/>
        </w:rPr>
        <w:t>2</w:t>
      </w:r>
      <w:r w:rsidRPr="00643CBD">
        <w:rPr>
          <w:b/>
        </w:rPr>
        <w:t xml:space="preserve">.  </w:t>
      </w:r>
      <w:r w:rsidRPr="0031496A">
        <w:t xml:space="preserve">Additional hours have </w:t>
      </w:r>
      <w:r>
        <w:t xml:space="preserve">been included to provide </w:t>
      </w:r>
      <w:r w:rsidRPr="0031496A">
        <w:t xml:space="preserve">ongoing QA and Project Management Support Services during </w:t>
      </w:r>
      <w:r>
        <w:t>Maintenance &amp; Operations (“</w:t>
      </w:r>
      <w:r w:rsidRPr="0031496A">
        <w:t>M&amp;O</w:t>
      </w:r>
      <w:r>
        <w:t>”)</w:t>
      </w:r>
      <w:r w:rsidR="00336814" w:rsidRPr="00336814">
        <w:rPr>
          <w:szCs w:val="22"/>
        </w:rPr>
        <w:t xml:space="preserve"> </w:t>
      </w:r>
      <w:r w:rsidR="00336814" w:rsidRPr="00C81D21">
        <w:rPr>
          <w:szCs w:val="22"/>
        </w:rPr>
        <w:t xml:space="preserve">through </w:t>
      </w:r>
      <w:r w:rsidR="00336814">
        <w:rPr>
          <w:szCs w:val="22"/>
        </w:rPr>
        <w:t>the end of State Fiscal Year (“SFY”) 2019/2020</w:t>
      </w:r>
      <w:r w:rsidRPr="0031496A">
        <w:t>.</w:t>
      </w:r>
    </w:p>
    <w:p w14:paraId="18275632" w14:textId="77777777" w:rsidR="0093478F" w:rsidRDefault="0093478F" w:rsidP="004606D8">
      <w:pPr>
        <w:widowControl w:val="0"/>
        <w:tabs>
          <w:tab w:val="left" w:pos="90"/>
        </w:tabs>
        <w:autoSpaceDE w:val="0"/>
        <w:autoSpaceDN w:val="0"/>
        <w:adjustRightInd w:val="0"/>
        <w:ind w:left="720"/>
      </w:pPr>
    </w:p>
    <w:p w14:paraId="382287D8" w14:textId="77777777" w:rsidR="0093478F" w:rsidRPr="0093478F" w:rsidRDefault="0093478F" w:rsidP="004606D8">
      <w:pPr>
        <w:widowControl w:val="0"/>
        <w:tabs>
          <w:tab w:val="left" w:pos="90"/>
        </w:tabs>
        <w:autoSpaceDE w:val="0"/>
        <w:autoSpaceDN w:val="0"/>
        <w:adjustRightInd w:val="0"/>
        <w:ind w:left="720"/>
      </w:pPr>
      <w:r>
        <w:rPr>
          <w:b/>
        </w:rPr>
        <w:t xml:space="preserve">Revision 3. </w:t>
      </w:r>
      <w:r>
        <w:t>Additional hours have been included to provide ongoing QA Services during M&amp;O for SFY 2020/2021.</w:t>
      </w:r>
    </w:p>
    <w:p w14:paraId="3386BB4C" w14:textId="77777777" w:rsidR="009457F4" w:rsidRDefault="009457F4" w:rsidP="00144249">
      <w:pPr>
        <w:widowControl w:val="0"/>
        <w:tabs>
          <w:tab w:val="left" w:pos="90"/>
          <w:tab w:val="left" w:pos="4160"/>
        </w:tabs>
        <w:autoSpaceDE w:val="0"/>
        <w:autoSpaceDN w:val="0"/>
        <w:adjustRightInd w:val="0"/>
        <w:spacing w:after="120"/>
        <w:ind w:left="720"/>
        <w:rPr>
          <w:bCs/>
        </w:rPr>
      </w:pPr>
    </w:p>
    <w:p w14:paraId="52CC2BD9" w14:textId="77777777" w:rsidR="0031496A" w:rsidRPr="0031496A" w:rsidRDefault="0031496A" w:rsidP="0031496A">
      <w:pPr>
        <w:widowControl w:val="0"/>
        <w:tabs>
          <w:tab w:val="left" w:pos="90"/>
        </w:tabs>
        <w:autoSpaceDE w:val="0"/>
        <w:autoSpaceDN w:val="0"/>
        <w:adjustRightInd w:val="0"/>
        <w:spacing w:after="120"/>
        <w:ind w:left="720"/>
        <w:rPr>
          <w:bCs/>
        </w:rPr>
      </w:pPr>
      <w:r w:rsidRPr="0031496A">
        <w:rPr>
          <w:bCs/>
        </w:rPr>
        <w:t>The additional Services are described in two parts:</w:t>
      </w:r>
    </w:p>
    <w:p w14:paraId="7DBB0A7B" w14:textId="77777777" w:rsidR="0031496A" w:rsidRPr="0031496A" w:rsidRDefault="0031496A" w:rsidP="0031496A">
      <w:pPr>
        <w:numPr>
          <w:ilvl w:val="0"/>
          <w:numId w:val="29"/>
        </w:numPr>
        <w:rPr>
          <w:szCs w:val="22"/>
        </w:rPr>
      </w:pPr>
      <w:r w:rsidRPr="0031496A">
        <w:rPr>
          <w:szCs w:val="22"/>
        </w:rPr>
        <w:t>Part A.  D&amp;I</w:t>
      </w:r>
    </w:p>
    <w:p w14:paraId="0B8E0B0C" w14:textId="77777777" w:rsidR="0031496A" w:rsidRPr="0031496A" w:rsidRDefault="0031496A" w:rsidP="0031496A">
      <w:pPr>
        <w:numPr>
          <w:ilvl w:val="0"/>
          <w:numId w:val="29"/>
        </w:numPr>
        <w:rPr>
          <w:szCs w:val="22"/>
        </w:rPr>
      </w:pPr>
      <w:r w:rsidRPr="0031496A">
        <w:rPr>
          <w:szCs w:val="22"/>
        </w:rPr>
        <w:t xml:space="preserve">Part B.   M&amp;O </w:t>
      </w:r>
    </w:p>
    <w:p w14:paraId="634A704C" w14:textId="77777777" w:rsidR="0031496A" w:rsidRDefault="0031496A">
      <w:pPr>
        <w:widowControl w:val="0"/>
        <w:tabs>
          <w:tab w:val="left" w:pos="90"/>
        </w:tabs>
        <w:autoSpaceDE w:val="0"/>
        <w:autoSpaceDN w:val="0"/>
        <w:adjustRightInd w:val="0"/>
        <w:ind w:left="720"/>
        <w:rPr>
          <w:bCs/>
        </w:rPr>
      </w:pPr>
    </w:p>
    <w:p w14:paraId="39C30281" w14:textId="77777777" w:rsidR="0031496A" w:rsidRPr="00351CA6" w:rsidRDefault="0031496A" w:rsidP="0031496A">
      <w:pPr>
        <w:pStyle w:val="BodyTextIndent2"/>
        <w:rPr>
          <w:b/>
          <w:szCs w:val="22"/>
          <w:u w:val="single"/>
        </w:rPr>
      </w:pPr>
      <w:r w:rsidRPr="00351CA6">
        <w:rPr>
          <w:b/>
          <w:szCs w:val="22"/>
          <w:u w:val="single"/>
        </w:rPr>
        <w:t xml:space="preserve">Part A. </w:t>
      </w:r>
      <w:r>
        <w:rPr>
          <w:b/>
          <w:szCs w:val="22"/>
          <w:u w:val="single"/>
        </w:rPr>
        <w:t>D&amp;I</w:t>
      </w:r>
    </w:p>
    <w:p w14:paraId="0943E21D" w14:textId="77777777" w:rsidR="0031496A" w:rsidRDefault="0031496A">
      <w:pPr>
        <w:widowControl w:val="0"/>
        <w:tabs>
          <w:tab w:val="left" w:pos="90"/>
        </w:tabs>
        <w:autoSpaceDE w:val="0"/>
        <w:autoSpaceDN w:val="0"/>
        <w:adjustRightInd w:val="0"/>
        <w:ind w:left="720"/>
        <w:rPr>
          <w:bCs/>
        </w:rPr>
      </w:pPr>
    </w:p>
    <w:p w14:paraId="0C461E72" w14:textId="77777777" w:rsidR="004A09A8" w:rsidRDefault="004A09A8" w:rsidP="00654AED">
      <w:pPr>
        <w:ind w:left="720"/>
        <w:rPr>
          <w:szCs w:val="22"/>
        </w:rPr>
      </w:pPr>
      <w:r>
        <w:rPr>
          <w:bCs/>
        </w:rPr>
        <w:t xml:space="preserve">This Change Order includes an additional </w:t>
      </w:r>
      <w:r w:rsidR="00F97D05">
        <w:rPr>
          <w:bCs/>
        </w:rPr>
        <w:t>2,5</w:t>
      </w:r>
      <w:r w:rsidR="001C0B42">
        <w:rPr>
          <w:bCs/>
        </w:rPr>
        <w:t>3</w:t>
      </w:r>
      <w:r w:rsidR="00690986">
        <w:rPr>
          <w:bCs/>
        </w:rPr>
        <w:t>4</w:t>
      </w:r>
      <w:r>
        <w:rPr>
          <w:bCs/>
        </w:rPr>
        <w:t xml:space="preserve"> hours of Services for the First Data</w:t>
      </w:r>
      <w:r w:rsidRPr="006738C1">
        <w:rPr>
          <w:bCs/>
        </w:rPr>
        <w:t xml:space="preserve"> </w:t>
      </w:r>
      <w:r>
        <w:rPr>
          <w:bCs/>
        </w:rPr>
        <w:t xml:space="preserve">QA </w:t>
      </w:r>
      <w:r w:rsidRPr="006738C1">
        <w:rPr>
          <w:bCs/>
        </w:rPr>
        <w:t>Team</w:t>
      </w:r>
      <w:r w:rsidR="0031496A" w:rsidRPr="0031496A">
        <w:rPr>
          <w:bCs/>
        </w:rPr>
        <w:t xml:space="preserve"> </w:t>
      </w:r>
      <w:r w:rsidR="0031496A">
        <w:rPr>
          <w:bCs/>
        </w:rPr>
        <w:t>during the D&amp;I phase</w:t>
      </w:r>
      <w:r w:rsidR="0031496A" w:rsidRPr="006738C1">
        <w:rPr>
          <w:bCs/>
        </w:rPr>
        <w:t>.</w:t>
      </w:r>
      <w:r w:rsidR="0031496A">
        <w:rPr>
          <w:bCs/>
        </w:rPr>
        <w:t xml:space="preserve">  </w:t>
      </w:r>
      <w:bookmarkStart w:id="1" w:name="RANGE!A1:D10"/>
      <w:bookmarkEnd w:id="1"/>
      <w:r>
        <w:rPr>
          <w:szCs w:val="22"/>
        </w:rPr>
        <w:t>First Data</w:t>
      </w:r>
      <w:r w:rsidRPr="00290EAB">
        <w:rPr>
          <w:szCs w:val="22"/>
        </w:rPr>
        <w:t xml:space="preserve"> will work </w:t>
      </w:r>
      <w:r>
        <w:rPr>
          <w:szCs w:val="22"/>
        </w:rPr>
        <w:t xml:space="preserve">collaboratively </w:t>
      </w:r>
      <w:r w:rsidRPr="00290EAB">
        <w:rPr>
          <w:szCs w:val="22"/>
        </w:rPr>
        <w:t xml:space="preserve">with the Consortium and </w:t>
      </w:r>
      <w:r>
        <w:rPr>
          <w:szCs w:val="22"/>
        </w:rPr>
        <w:t>Accenture</w:t>
      </w:r>
      <w:r w:rsidRPr="00290EAB">
        <w:rPr>
          <w:szCs w:val="22"/>
        </w:rPr>
        <w:t xml:space="preserve"> teams</w:t>
      </w:r>
      <w:r>
        <w:rPr>
          <w:szCs w:val="22"/>
        </w:rPr>
        <w:t xml:space="preserve"> t</w:t>
      </w:r>
      <w:r w:rsidRPr="00290EAB">
        <w:rPr>
          <w:szCs w:val="22"/>
        </w:rPr>
        <w:t xml:space="preserve">o </w:t>
      </w:r>
      <w:r w:rsidR="00C6797A">
        <w:rPr>
          <w:szCs w:val="22"/>
        </w:rPr>
        <w:t xml:space="preserve">maximize the timeliness and success in the </w:t>
      </w:r>
      <w:r w:rsidR="00557A66">
        <w:rPr>
          <w:szCs w:val="22"/>
        </w:rPr>
        <w:t xml:space="preserve">expansion </w:t>
      </w:r>
      <w:r w:rsidR="00C6797A">
        <w:rPr>
          <w:szCs w:val="22"/>
        </w:rPr>
        <w:t xml:space="preserve">of </w:t>
      </w:r>
      <w:r>
        <w:rPr>
          <w:szCs w:val="22"/>
        </w:rPr>
        <w:t xml:space="preserve">the </w:t>
      </w:r>
      <w:r w:rsidR="00557A66">
        <w:t>C-IV CCP and C-IV System enhancements</w:t>
      </w:r>
      <w:r>
        <w:rPr>
          <w:szCs w:val="22"/>
        </w:rPr>
        <w:t xml:space="preserve">.  </w:t>
      </w:r>
      <w:r w:rsidR="00557A66">
        <w:rPr>
          <w:szCs w:val="22"/>
        </w:rPr>
        <w:t>First Data</w:t>
      </w:r>
      <w:r w:rsidR="00557A66" w:rsidRPr="00290EAB">
        <w:rPr>
          <w:szCs w:val="22"/>
        </w:rPr>
        <w:t xml:space="preserve"> will</w:t>
      </w:r>
      <w:r w:rsidR="00557A66">
        <w:rPr>
          <w:szCs w:val="22"/>
        </w:rPr>
        <w:t xml:space="preserve"> perform the following Services, as prioritized </w:t>
      </w:r>
      <w:r w:rsidR="00406CC7">
        <w:rPr>
          <w:szCs w:val="22"/>
        </w:rPr>
        <w:t xml:space="preserve">and </w:t>
      </w:r>
      <w:r w:rsidR="00557A66">
        <w:rPr>
          <w:szCs w:val="22"/>
        </w:rPr>
        <w:t>agreed to by the Consortium and First Data</w:t>
      </w:r>
      <w:r w:rsidR="00557A66" w:rsidRPr="00290EAB">
        <w:rPr>
          <w:szCs w:val="22"/>
        </w:rPr>
        <w:t>:</w:t>
      </w:r>
    </w:p>
    <w:p w14:paraId="790ABFD2" w14:textId="77777777" w:rsidR="004A09A8" w:rsidRPr="00290EAB" w:rsidRDefault="004A09A8" w:rsidP="00654AED">
      <w:pPr>
        <w:ind w:left="720"/>
        <w:rPr>
          <w:szCs w:val="22"/>
        </w:rPr>
      </w:pPr>
    </w:p>
    <w:p w14:paraId="2C6DD546" w14:textId="77777777" w:rsidR="009D256D" w:rsidRPr="009D256D" w:rsidRDefault="009D256D" w:rsidP="009D256D">
      <w:pPr>
        <w:numPr>
          <w:ilvl w:val="0"/>
          <w:numId w:val="7"/>
        </w:numPr>
        <w:tabs>
          <w:tab w:val="num" w:pos="1656"/>
        </w:tabs>
        <w:ind w:left="1656"/>
        <w:rPr>
          <w:szCs w:val="22"/>
        </w:rPr>
      </w:pPr>
      <w:r w:rsidRPr="009D256D">
        <w:rPr>
          <w:szCs w:val="22"/>
        </w:rPr>
        <w:t>Attend and participate in planning, requirements, and design meetings, as prioritized</w:t>
      </w:r>
      <w:r>
        <w:rPr>
          <w:szCs w:val="22"/>
        </w:rPr>
        <w:t>;</w:t>
      </w:r>
    </w:p>
    <w:p w14:paraId="0C9BAD2F" w14:textId="77777777" w:rsidR="009D256D" w:rsidRPr="009D256D" w:rsidRDefault="009D256D" w:rsidP="009D256D">
      <w:pPr>
        <w:numPr>
          <w:ilvl w:val="0"/>
          <w:numId w:val="7"/>
        </w:numPr>
        <w:tabs>
          <w:tab w:val="num" w:pos="1656"/>
        </w:tabs>
        <w:ind w:left="1656"/>
        <w:rPr>
          <w:szCs w:val="22"/>
        </w:rPr>
      </w:pPr>
      <w:r w:rsidRPr="009D256D">
        <w:rPr>
          <w:szCs w:val="22"/>
        </w:rPr>
        <w:t>Review the System Change Requests (</w:t>
      </w:r>
      <w:r>
        <w:rPr>
          <w:szCs w:val="22"/>
        </w:rPr>
        <w:t>“</w:t>
      </w:r>
      <w:r w:rsidRPr="009D256D">
        <w:rPr>
          <w:szCs w:val="22"/>
        </w:rPr>
        <w:t>SCRs</w:t>
      </w:r>
      <w:r>
        <w:rPr>
          <w:szCs w:val="22"/>
        </w:rPr>
        <w:t>”</w:t>
      </w:r>
      <w:r w:rsidRPr="009D256D">
        <w:rPr>
          <w:szCs w:val="22"/>
        </w:rPr>
        <w:t>) to validate design points are captured and align with the C-IV standards including related requirements documentation</w:t>
      </w:r>
      <w:r>
        <w:rPr>
          <w:szCs w:val="22"/>
        </w:rPr>
        <w:t>;</w:t>
      </w:r>
    </w:p>
    <w:p w14:paraId="4B4F93E1" w14:textId="77777777" w:rsidR="009D256D" w:rsidRPr="009D256D" w:rsidRDefault="009D256D" w:rsidP="009D256D">
      <w:pPr>
        <w:numPr>
          <w:ilvl w:val="0"/>
          <w:numId w:val="7"/>
        </w:numPr>
        <w:tabs>
          <w:tab w:val="num" w:pos="1656"/>
        </w:tabs>
        <w:ind w:left="1656"/>
        <w:rPr>
          <w:szCs w:val="22"/>
        </w:rPr>
      </w:pPr>
      <w:r w:rsidRPr="009D256D">
        <w:rPr>
          <w:szCs w:val="22"/>
        </w:rPr>
        <w:t>Review SCR level of effort, costs, schedule and implementation plan for completeness and accuracy</w:t>
      </w:r>
      <w:r>
        <w:rPr>
          <w:szCs w:val="22"/>
        </w:rPr>
        <w:t>;</w:t>
      </w:r>
    </w:p>
    <w:p w14:paraId="46E8F43B" w14:textId="77777777" w:rsidR="00DF649F" w:rsidRPr="007A111E" w:rsidRDefault="009D256D" w:rsidP="009D256D">
      <w:pPr>
        <w:numPr>
          <w:ilvl w:val="0"/>
          <w:numId w:val="7"/>
        </w:numPr>
        <w:tabs>
          <w:tab w:val="num" w:pos="1656"/>
        </w:tabs>
        <w:ind w:left="1656"/>
        <w:rPr>
          <w:szCs w:val="22"/>
        </w:rPr>
      </w:pPr>
      <w:r w:rsidRPr="007A111E">
        <w:rPr>
          <w:szCs w:val="22"/>
        </w:rPr>
        <w:t>Review and provide input on the reporting requirements</w:t>
      </w:r>
      <w:r w:rsidR="00DF649F" w:rsidRPr="007A111E">
        <w:rPr>
          <w:szCs w:val="22"/>
        </w:rPr>
        <w:t>;</w:t>
      </w:r>
    </w:p>
    <w:p w14:paraId="71EE5EF0" w14:textId="77777777" w:rsidR="009D256D" w:rsidRPr="009D256D" w:rsidRDefault="009D256D" w:rsidP="009D256D">
      <w:pPr>
        <w:numPr>
          <w:ilvl w:val="0"/>
          <w:numId w:val="7"/>
        </w:numPr>
        <w:tabs>
          <w:tab w:val="num" w:pos="1656"/>
        </w:tabs>
        <w:ind w:left="1656"/>
        <w:rPr>
          <w:szCs w:val="22"/>
        </w:rPr>
      </w:pPr>
      <w:r w:rsidRPr="009D256D">
        <w:rPr>
          <w:szCs w:val="22"/>
        </w:rPr>
        <w:t>Review resulting work products and provide recommendations as appropriate;</w:t>
      </w:r>
    </w:p>
    <w:p w14:paraId="60BCFF6B" w14:textId="77777777" w:rsidR="009D256D" w:rsidRPr="009D256D" w:rsidRDefault="009D256D" w:rsidP="009D256D">
      <w:pPr>
        <w:numPr>
          <w:ilvl w:val="0"/>
          <w:numId w:val="7"/>
        </w:numPr>
        <w:tabs>
          <w:tab w:val="num" w:pos="1656"/>
        </w:tabs>
        <w:ind w:left="1656"/>
        <w:rPr>
          <w:szCs w:val="22"/>
        </w:rPr>
      </w:pPr>
      <w:r w:rsidRPr="009D256D">
        <w:rPr>
          <w:szCs w:val="22"/>
        </w:rPr>
        <w:t xml:space="preserve">Review and provide input for Training and Change Management work products </w:t>
      </w:r>
      <w:r w:rsidR="00273008">
        <w:rPr>
          <w:szCs w:val="22"/>
        </w:rPr>
        <w:t>as appropriate</w:t>
      </w:r>
      <w:r>
        <w:rPr>
          <w:szCs w:val="22"/>
        </w:rPr>
        <w:t>;</w:t>
      </w:r>
    </w:p>
    <w:p w14:paraId="4D9F8ACE" w14:textId="77777777" w:rsidR="00DF649F" w:rsidRDefault="009D256D" w:rsidP="009D256D">
      <w:pPr>
        <w:numPr>
          <w:ilvl w:val="0"/>
          <w:numId w:val="7"/>
        </w:numPr>
        <w:tabs>
          <w:tab w:val="num" w:pos="1656"/>
        </w:tabs>
        <w:ind w:left="1656"/>
        <w:rPr>
          <w:szCs w:val="22"/>
        </w:rPr>
      </w:pPr>
      <w:r w:rsidRPr="009D256D">
        <w:rPr>
          <w:szCs w:val="22"/>
        </w:rPr>
        <w:t xml:space="preserve">Provide input, advice and best practices to the </w:t>
      </w:r>
      <w:r w:rsidR="00273008">
        <w:rPr>
          <w:szCs w:val="22"/>
        </w:rPr>
        <w:t>Consortium</w:t>
      </w:r>
      <w:r w:rsidR="00273008" w:rsidRPr="009D256D">
        <w:rPr>
          <w:szCs w:val="22"/>
        </w:rPr>
        <w:t xml:space="preserve"> </w:t>
      </w:r>
      <w:r w:rsidRPr="009D256D">
        <w:rPr>
          <w:szCs w:val="22"/>
        </w:rPr>
        <w:t>based on prior experiences and implementations</w:t>
      </w:r>
      <w:r w:rsidR="00DF649F">
        <w:rPr>
          <w:szCs w:val="22"/>
        </w:rPr>
        <w:t>;</w:t>
      </w:r>
    </w:p>
    <w:p w14:paraId="7C9CDFFE" w14:textId="77777777" w:rsidR="009D256D" w:rsidRPr="009D256D" w:rsidRDefault="009D256D" w:rsidP="009D256D">
      <w:pPr>
        <w:numPr>
          <w:ilvl w:val="0"/>
          <w:numId w:val="7"/>
        </w:numPr>
        <w:tabs>
          <w:tab w:val="num" w:pos="1656"/>
        </w:tabs>
        <w:ind w:left="1656"/>
        <w:rPr>
          <w:szCs w:val="22"/>
        </w:rPr>
      </w:pPr>
      <w:r w:rsidRPr="009D256D">
        <w:rPr>
          <w:szCs w:val="22"/>
        </w:rPr>
        <w:t>Review System Test plans and provide recommendations as appropriate;</w:t>
      </w:r>
    </w:p>
    <w:p w14:paraId="294A0757" w14:textId="77777777" w:rsidR="009D256D" w:rsidRPr="009D256D" w:rsidRDefault="009D256D" w:rsidP="009D256D">
      <w:pPr>
        <w:numPr>
          <w:ilvl w:val="0"/>
          <w:numId w:val="7"/>
        </w:numPr>
        <w:tabs>
          <w:tab w:val="num" w:pos="1656"/>
        </w:tabs>
        <w:ind w:left="1656"/>
        <w:rPr>
          <w:szCs w:val="22"/>
        </w:rPr>
      </w:pPr>
      <w:r w:rsidRPr="009D256D">
        <w:rPr>
          <w:szCs w:val="22"/>
        </w:rPr>
        <w:t>Review and monitor System Test progress</w:t>
      </w:r>
      <w:r>
        <w:rPr>
          <w:szCs w:val="22"/>
        </w:rPr>
        <w:t>;</w:t>
      </w:r>
    </w:p>
    <w:p w14:paraId="18085605" w14:textId="77777777" w:rsidR="009D256D" w:rsidRPr="009D256D" w:rsidRDefault="009D256D" w:rsidP="009D256D">
      <w:pPr>
        <w:numPr>
          <w:ilvl w:val="0"/>
          <w:numId w:val="7"/>
        </w:numPr>
        <w:tabs>
          <w:tab w:val="num" w:pos="1656"/>
        </w:tabs>
        <w:ind w:left="1656"/>
        <w:rPr>
          <w:szCs w:val="22"/>
        </w:rPr>
      </w:pPr>
      <w:r w:rsidRPr="009D256D">
        <w:rPr>
          <w:szCs w:val="22"/>
        </w:rPr>
        <w:t>Conduct a review to assess the SCR production readiness and provide a formal recommendation for the Go/No Go decision ("Greenlight"), this does not include county operations</w:t>
      </w:r>
      <w:r>
        <w:rPr>
          <w:szCs w:val="22"/>
        </w:rPr>
        <w:t>;</w:t>
      </w:r>
    </w:p>
    <w:p w14:paraId="12D8C740" w14:textId="77777777" w:rsidR="009D256D" w:rsidRDefault="009D256D" w:rsidP="009D256D">
      <w:pPr>
        <w:numPr>
          <w:ilvl w:val="0"/>
          <w:numId w:val="7"/>
        </w:numPr>
        <w:tabs>
          <w:tab w:val="num" w:pos="1656"/>
        </w:tabs>
        <w:ind w:left="1656"/>
        <w:rPr>
          <w:szCs w:val="22"/>
        </w:rPr>
      </w:pPr>
      <w:r w:rsidRPr="009D256D">
        <w:rPr>
          <w:szCs w:val="22"/>
        </w:rPr>
        <w:t xml:space="preserve">Review </w:t>
      </w:r>
      <w:r w:rsidR="002B5510">
        <w:rPr>
          <w:szCs w:val="22"/>
        </w:rPr>
        <w:t xml:space="preserve">the </w:t>
      </w:r>
      <w:r w:rsidRPr="009D256D">
        <w:rPr>
          <w:szCs w:val="22"/>
        </w:rPr>
        <w:t>Model Office Plan and provide feedback and recommendations</w:t>
      </w:r>
      <w:r>
        <w:rPr>
          <w:szCs w:val="22"/>
        </w:rPr>
        <w:t>;</w:t>
      </w:r>
    </w:p>
    <w:p w14:paraId="21609607" w14:textId="77777777" w:rsidR="007A111E" w:rsidRPr="009D256D" w:rsidRDefault="007A111E" w:rsidP="009D256D">
      <w:pPr>
        <w:numPr>
          <w:ilvl w:val="0"/>
          <w:numId w:val="7"/>
        </w:numPr>
        <w:tabs>
          <w:tab w:val="num" w:pos="1656"/>
        </w:tabs>
        <w:ind w:left="1656"/>
        <w:rPr>
          <w:szCs w:val="22"/>
        </w:rPr>
      </w:pPr>
      <w:r>
        <w:rPr>
          <w:szCs w:val="22"/>
        </w:rPr>
        <w:t xml:space="preserve">Monitor Model Office progress and provide Model Office support as prioritized; </w:t>
      </w:r>
    </w:p>
    <w:p w14:paraId="116851BA" w14:textId="77777777" w:rsidR="00557A66" w:rsidRDefault="0057497E" w:rsidP="008B3D7F">
      <w:pPr>
        <w:numPr>
          <w:ilvl w:val="0"/>
          <w:numId w:val="7"/>
        </w:numPr>
        <w:tabs>
          <w:tab w:val="num" w:pos="1656"/>
        </w:tabs>
        <w:ind w:left="1656"/>
        <w:rPr>
          <w:szCs w:val="22"/>
        </w:rPr>
      </w:pPr>
      <w:r w:rsidRPr="008B3D7F">
        <w:rPr>
          <w:szCs w:val="22"/>
        </w:rPr>
        <w:t xml:space="preserve">Identify and escalate issues and risks, as appropriate, by leveraging existing </w:t>
      </w:r>
      <w:proofErr w:type="spellStart"/>
      <w:r w:rsidR="00623ABE">
        <w:rPr>
          <w:szCs w:val="22"/>
        </w:rPr>
        <w:t>CalSAWS</w:t>
      </w:r>
      <w:proofErr w:type="spellEnd"/>
      <w:r w:rsidRPr="008B3D7F">
        <w:rPr>
          <w:szCs w:val="22"/>
        </w:rPr>
        <w:t xml:space="preserve"> Project Management Processes;</w:t>
      </w:r>
      <w:r w:rsidR="002823C0" w:rsidRPr="008B3D7F">
        <w:rPr>
          <w:szCs w:val="22"/>
        </w:rPr>
        <w:t xml:space="preserve"> </w:t>
      </w:r>
    </w:p>
    <w:p w14:paraId="6A141579" w14:textId="77777777" w:rsidR="00273008" w:rsidRPr="00273008" w:rsidRDefault="00273008" w:rsidP="00273008">
      <w:pPr>
        <w:numPr>
          <w:ilvl w:val="0"/>
          <w:numId w:val="7"/>
        </w:numPr>
        <w:tabs>
          <w:tab w:val="num" w:pos="1656"/>
        </w:tabs>
        <w:ind w:left="1656"/>
        <w:rPr>
          <w:szCs w:val="22"/>
        </w:rPr>
      </w:pPr>
      <w:r w:rsidRPr="00273008">
        <w:rPr>
          <w:szCs w:val="22"/>
        </w:rPr>
        <w:t>Leverage existing weekly and monthly status reports and meetings to document and discuss QA progress and status updates;</w:t>
      </w:r>
    </w:p>
    <w:p w14:paraId="1F88B90C" w14:textId="77777777" w:rsidR="008B3D7F" w:rsidRPr="00273008" w:rsidRDefault="00273008" w:rsidP="00273008">
      <w:pPr>
        <w:numPr>
          <w:ilvl w:val="0"/>
          <w:numId w:val="7"/>
        </w:numPr>
        <w:tabs>
          <w:tab w:val="num" w:pos="1656"/>
        </w:tabs>
        <w:ind w:left="1656"/>
        <w:rPr>
          <w:szCs w:val="22"/>
        </w:rPr>
      </w:pPr>
      <w:r w:rsidRPr="00273008">
        <w:rPr>
          <w:szCs w:val="22"/>
        </w:rPr>
        <w:t xml:space="preserve">Identify and escalate issues and risks, as appropriate, by leveraging existing </w:t>
      </w:r>
      <w:proofErr w:type="spellStart"/>
      <w:r w:rsidR="00623ABE">
        <w:rPr>
          <w:szCs w:val="22"/>
        </w:rPr>
        <w:t>CalSAWS</w:t>
      </w:r>
      <w:proofErr w:type="spellEnd"/>
      <w:r w:rsidRPr="00273008">
        <w:rPr>
          <w:szCs w:val="22"/>
        </w:rPr>
        <w:t xml:space="preserve"> Project Management Processes; </w:t>
      </w:r>
      <w:r w:rsidR="009D256D" w:rsidRPr="00273008">
        <w:rPr>
          <w:szCs w:val="22"/>
        </w:rPr>
        <w:t>and</w:t>
      </w:r>
    </w:p>
    <w:p w14:paraId="5B2FBF06" w14:textId="77777777" w:rsidR="00DE6728" w:rsidRPr="00DF649F" w:rsidRDefault="00DF649F" w:rsidP="00557A66">
      <w:pPr>
        <w:numPr>
          <w:ilvl w:val="0"/>
          <w:numId w:val="7"/>
        </w:numPr>
        <w:tabs>
          <w:tab w:val="num" w:pos="1656"/>
        </w:tabs>
        <w:ind w:left="1656"/>
        <w:rPr>
          <w:szCs w:val="22"/>
        </w:rPr>
      </w:pPr>
      <w:r w:rsidRPr="00DF649F">
        <w:rPr>
          <w:szCs w:val="22"/>
        </w:rPr>
        <w:t xml:space="preserve">Assist the Consortium with </w:t>
      </w:r>
      <w:r w:rsidR="00273008">
        <w:rPr>
          <w:szCs w:val="22"/>
        </w:rPr>
        <w:t xml:space="preserve">budget management, </w:t>
      </w:r>
      <w:r w:rsidRPr="00DF649F">
        <w:rPr>
          <w:szCs w:val="22"/>
        </w:rPr>
        <w:t>communications, planning and problem solving during design, test and implementation.</w:t>
      </w:r>
    </w:p>
    <w:p w14:paraId="51C035D3" w14:textId="77777777" w:rsidR="009D256D" w:rsidRDefault="009D256D" w:rsidP="006738C1">
      <w:pPr>
        <w:tabs>
          <w:tab w:val="num" w:pos="1656"/>
        </w:tabs>
        <w:ind w:left="720"/>
        <w:rPr>
          <w:szCs w:val="22"/>
        </w:rPr>
      </w:pPr>
    </w:p>
    <w:p w14:paraId="55DDC807" w14:textId="77777777" w:rsidR="0031496A" w:rsidRDefault="004A09A8" w:rsidP="006738C1">
      <w:pPr>
        <w:tabs>
          <w:tab w:val="num" w:pos="1656"/>
        </w:tabs>
        <w:ind w:left="720"/>
        <w:rPr>
          <w:szCs w:val="22"/>
        </w:rPr>
      </w:pPr>
      <w:r w:rsidRPr="00F06948">
        <w:rPr>
          <w:szCs w:val="22"/>
        </w:rPr>
        <w:t xml:space="preserve">To accomplish these tasks and meet all current commitments, First Data will add staffing hours in the form of </w:t>
      </w:r>
      <w:r w:rsidR="00DF649F">
        <w:rPr>
          <w:szCs w:val="22"/>
        </w:rPr>
        <w:t xml:space="preserve">two </w:t>
      </w:r>
      <w:r w:rsidR="007533C5">
        <w:rPr>
          <w:szCs w:val="22"/>
        </w:rPr>
        <w:t>f</w:t>
      </w:r>
      <w:r w:rsidR="00BA1EEB">
        <w:rPr>
          <w:szCs w:val="22"/>
        </w:rPr>
        <w:t xml:space="preserve">ull-time </w:t>
      </w:r>
      <w:r w:rsidR="0074180F" w:rsidRPr="00F06948">
        <w:rPr>
          <w:szCs w:val="22"/>
        </w:rPr>
        <w:t>equivalent</w:t>
      </w:r>
      <w:r w:rsidR="0074180F">
        <w:rPr>
          <w:szCs w:val="22"/>
        </w:rPr>
        <w:t xml:space="preserve"> </w:t>
      </w:r>
      <w:r w:rsidR="007354A5">
        <w:rPr>
          <w:szCs w:val="22"/>
        </w:rPr>
        <w:t xml:space="preserve">Application </w:t>
      </w:r>
      <w:r w:rsidR="00BA1EEB" w:rsidRPr="00BA1EEB">
        <w:rPr>
          <w:szCs w:val="22"/>
        </w:rPr>
        <w:t>Business Analyst</w:t>
      </w:r>
      <w:r w:rsidR="00DF649F">
        <w:rPr>
          <w:szCs w:val="22"/>
        </w:rPr>
        <w:t>s, with part</w:t>
      </w:r>
      <w:r w:rsidR="007354A5">
        <w:rPr>
          <w:szCs w:val="22"/>
        </w:rPr>
        <w:t>-time</w:t>
      </w:r>
      <w:r w:rsidR="00DF649F">
        <w:rPr>
          <w:szCs w:val="22"/>
        </w:rPr>
        <w:t xml:space="preserve"> hours for</w:t>
      </w:r>
      <w:r w:rsidR="00557A66">
        <w:rPr>
          <w:szCs w:val="22"/>
        </w:rPr>
        <w:t xml:space="preserve"> </w:t>
      </w:r>
      <w:r w:rsidR="00BA1EEB">
        <w:rPr>
          <w:szCs w:val="22"/>
        </w:rPr>
        <w:t>Technical</w:t>
      </w:r>
      <w:r w:rsidR="00DF649F">
        <w:rPr>
          <w:szCs w:val="22"/>
        </w:rPr>
        <w:t xml:space="preserve"> and </w:t>
      </w:r>
      <w:r w:rsidR="002B5510">
        <w:rPr>
          <w:szCs w:val="22"/>
        </w:rPr>
        <w:t>Project Management Support</w:t>
      </w:r>
      <w:r w:rsidRPr="00F06948">
        <w:rPr>
          <w:szCs w:val="22"/>
        </w:rPr>
        <w:t>.</w:t>
      </w:r>
      <w:r w:rsidR="00DE6728">
        <w:rPr>
          <w:szCs w:val="22"/>
        </w:rPr>
        <w:t xml:space="preserve">  </w:t>
      </w:r>
    </w:p>
    <w:p w14:paraId="384F8F5B" w14:textId="77777777" w:rsidR="0031496A" w:rsidRDefault="0031496A" w:rsidP="006738C1">
      <w:pPr>
        <w:tabs>
          <w:tab w:val="num" w:pos="1656"/>
        </w:tabs>
        <w:ind w:left="720"/>
        <w:rPr>
          <w:szCs w:val="22"/>
        </w:rPr>
      </w:pPr>
    </w:p>
    <w:p w14:paraId="349DA627" w14:textId="77777777" w:rsidR="009457F4" w:rsidRDefault="009457F4" w:rsidP="006738C1">
      <w:pPr>
        <w:tabs>
          <w:tab w:val="num" w:pos="1656"/>
        </w:tabs>
        <w:ind w:left="720"/>
        <w:rPr>
          <w:szCs w:val="22"/>
        </w:rPr>
      </w:pPr>
    </w:p>
    <w:p w14:paraId="1EFBEA81" w14:textId="77777777" w:rsidR="0031496A" w:rsidRPr="0031496A" w:rsidRDefault="0031496A" w:rsidP="006738C1">
      <w:pPr>
        <w:tabs>
          <w:tab w:val="num" w:pos="1656"/>
        </w:tabs>
        <w:ind w:left="720"/>
        <w:rPr>
          <w:b/>
          <w:szCs w:val="22"/>
        </w:rPr>
      </w:pPr>
      <w:r w:rsidRPr="0031496A">
        <w:rPr>
          <w:b/>
          <w:szCs w:val="22"/>
        </w:rPr>
        <w:t>Part B. M&amp;O</w:t>
      </w:r>
    </w:p>
    <w:p w14:paraId="41602384" w14:textId="77777777" w:rsidR="0031496A" w:rsidRDefault="0031496A" w:rsidP="006738C1">
      <w:pPr>
        <w:tabs>
          <w:tab w:val="num" w:pos="1656"/>
        </w:tabs>
        <w:ind w:left="720"/>
        <w:rPr>
          <w:szCs w:val="22"/>
        </w:rPr>
      </w:pPr>
    </w:p>
    <w:p w14:paraId="203F51D3" w14:textId="683305F4" w:rsidR="0031496A" w:rsidRPr="006717D8" w:rsidRDefault="0031496A" w:rsidP="0031496A">
      <w:pPr>
        <w:ind w:left="720"/>
        <w:jc w:val="both"/>
      </w:pPr>
      <w:r>
        <w:rPr>
          <w:bCs/>
        </w:rPr>
        <w:t xml:space="preserve">This Change Order includes an additional </w:t>
      </w:r>
      <w:r w:rsidR="006E4FF5">
        <w:rPr>
          <w:bCs/>
        </w:rPr>
        <w:t>19,908</w:t>
      </w:r>
      <w:r>
        <w:rPr>
          <w:bCs/>
        </w:rPr>
        <w:t xml:space="preserve"> hours of Services for First Data</w:t>
      </w:r>
      <w:r w:rsidRPr="006738C1">
        <w:rPr>
          <w:bCs/>
        </w:rPr>
        <w:t xml:space="preserve"> </w:t>
      </w:r>
      <w:r>
        <w:rPr>
          <w:bCs/>
        </w:rPr>
        <w:t xml:space="preserve">QA </w:t>
      </w:r>
      <w:r w:rsidRPr="006738C1">
        <w:rPr>
          <w:bCs/>
        </w:rPr>
        <w:t>Team</w:t>
      </w:r>
      <w:r>
        <w:rPr>
          <w:bCs/>
        </w:rPr>
        <w:t xml:space="preserve"> during the M&amp;O phase</w:t>
      </w:r>
      <w:r w:rsidRPr="006738C1">
        <w:rPr>
          <w:bCs/>
        </w:rPr>
        <w:t xml:space="preserve">.  </w:t>
      </w:r>
      <w:r w:rsidRPr="0031496A">
        <w:t xml:space="preserve">First Data will work collaboratively with the Consortium and Accenture teams to maximize the timeliness and success in the ongoing maintenance and operations of the </w:t>
      </w:r>
      <w:r>
        <w:t xml:space="preserve">expanded </w:t>
      </w:r>
      <w:r w:rsidRPr="0031496A">
        <w:t>Central Contact Center Platform</w:t>
      </w:r>
      <w:r w:rsidRPr="006717D8">
        <w:t xml:space="preserve">.  </w:t>
      </w:r>
    </w:p>
    <w:p w14:paraId="3832E172" w14:textId="77777777" w:rsidR="0031496A" w:rsidRDefault="0031496A" w:rsidP="0031496A">
      <w:pPr>
        <w:widowControl w:val="0"/>
        <w:tabs>
          <w:tab w:val="left" w:pos="90"/>
        </w:tabs>
        <w:autoSpaceDE w:val="0"/>
        <w:autoSpaceDN w:val="0"/>
        <w:adjustRightInd w:val="0"/>
        <w:ind w:left="720"/>
        <w:rPr>
          <w:bCs/>
        </w:rPr>
      </w:pPr>
    </w:p>
    <w:p w14:paraId="12FFAB6F" w14:textId="77777777" w:rsidR="0031496A" w:rsidRPr="00016119" w:rsidRDefault="0031496A" w:rsidP="0031496A">
      <w:pPr>
        <w:tabs>
          <w:tab w:val="num" w:pos="1656"/>
        </w:tabs>
        <w:ind w:left="720"/>
        <w:rPr>
          <w:szCs w:val="22"/>
        </w:rPr>
      </w:pPr>
      <w:r w:rsidRPr="00AD2046">
        <w:rPr>
          <w:szCs w:val="22"/>
        </w:rPr>
        <w:t xml:space="preserve">First Data will perform the following Services: </w:t>
      </w:r>
    </w:p>
    <w:p w14:paraId="75606CB4" w14:textId="77777777" w:rsidR="0031496A" w:rsidRPr="0031496A" w:rsidRDefault="0031496A" w:rsidP="0031496A">
      <w:pPr>
        <w:numPr>
          <w:ilvl w:val="0"/>
          <w:numId w:val="7"/>
        </w:numPr>
        <w:tabs>
          <w:tab w:val="num" w:pos="1656"/>
        </w:tabs>
        <w:ind w:left="1656"/>
        <w:rPr>
          <w:szCs w:val="22"/>
        </w:rPr>
      </w:pPr>
      <w:r w:rsidRPr="0031496A">
        <w:rPr>
          <w:szCs w:val="22"/>
        </w:rPr>
        <w:t xml:space="preserve">Review SCRs to validate design points are captured and align with </w:t>
      </w:r>
      <w:proofErr w:type="spellStart"/>
      <w:r w:rsidR="00623ABE">
        <w:rPr>
          <w:szCs w:val="22"/>
        </w:rPr>
        <w:t>CalSAWS</w:t>
      </w:r>
      <w:proofErr w:type="spellEnd"/>
      <w:r w:rsidRPr="0031496A">
        <w:rPr>
          <w:szCs w:val="22"/>
        </w:rPr>
        <w:t xml:space="preserve"> standards and provide feedback, as appropriate;</w:t>
      </w:r>
    </w:p>
    <w:p w14:paraId="0F373C1D" w14:textId="77777777" w:rsidR="0031496A" w:rsidRPr="0031496A" w:rsidRDefault="0031496A" w:rsidP="0031496A">
      <w:pPr>
        <w:numPr>
          <w:ilvl w:val="0"/>
          <w:numId w:val="7"/>
        </w:numPr>
        <w:tabs>
          <w:tab w:val="num" w:pos="1656"/>
        </w:tabs>
        <w:ind w:left="1656"/>
        <w:rPr>
          <w:szCs w:val="22"/>
        </w:rPr>
      </w:pPr>
      <w:r w:rsidRPr="0031496A">
        <w:rPr>
          <w:szCs w:val="22"/>
        </w:rPr>
        <w:t xml:space="preserve">Review and monitor SCR level of effort, costs, schedule and implementation plan for completeness and accuracy and provide feedback, as appropriate;  </w:t>
      </w:r>
    </w:p>
    <w:p w14:paraId="5509EECA" w14:textId="77777777" w:rsidR="0031496A" w:rsidRPr="0031496A" w:rsidRDefault="0031496A" w:rsidP="0031496A">
      <w:pPr>
        <w:numPr>
          <w:ilvl w:val="0"/>
          <w:numId w:val="7"/>
        </w:numPr>
        <w:tabs>
          <w:tab w:val="num" w:pos="1656"/>
        </w:tabs>
        <w:ind w:left="1656"/>
        <w:rPr>
          <w:szCs w:val="22"/>
        </w:rPr>
      </w:pPr>
      <w:r w:rsidRPr="0031496A">
        <w:rPr>
          <w:szCs w:val="22"/>
        </w:rPr>
        <w:t>Review resulting work products and provide recommendations, as appropriate;</w:t>
      </w:r>
    </w:p>
    <w:p w14:paraId="791A9572" w14:textId="77777777" w:rsidR="0031496A" w:rsidRPr="0031496A" w:rsidRDefault="0031496A" w:rsidP="0031496A">
      <w:pPr>
        <w:numPr>
          <w:ilvl w:val="0"/>
          <w:numId w:val="7"/>
        </w:numPr>
        <w:tabs>
          <w:tab w:val="num" w:pos="1656"/>
        </w:tabs>
        <w:ind w:left="1656"/>
        <w:rPr>
          <w:szCs w:val="22"/>
        </w:rPr>
      </w:pPr>
      <w:r w:rsidRPr="0031496A">
        <w:rPr>
          <w:szCs w:val="22"/>
        </w:rPr>
        <w:t xml:space="preserve">Conduct test as prioritized by the Consortium and provide thoroughly documented SIRs when an issue is discovered </w:t>
      </w:r>
      <w:proofErr w:type="gramStart"/>
      <w:r w:rsidRPr="0031496A">
        <w:rPr>
          <w:szCs w:val="22"/>
        </w:rPr>
        <w:t>as a result of</w:t>
      </w:r>
      <w:proofErr w:type="gramEnd"/>
      <w:r w:rsidRPr="0031496A">
        <w:rPr>
          <w:szCs w:val="22"/>
        </w:rPr>
        <w:t xml:space="preserve"> the testing;</w:t>
      </w:r>
    </w:p>
    <w:p w14:paraId="0BE41CFF" w14:textId="77777777" w:rsidR="0031496A" w:rsidRPr="0031496A" w:rsidRDefault="0031496A" w:rsidP="0031496A">
      <w:pPr>
        <w:numPr>
          <w:ilvl w:val="0"/>
          <w:numId w:val="7"/>
        </w:numPr>
        <w:tabs>
          <w:tab w:val="num" w:pos="1656"/>
        </w:tabs>
        <w:ind w:left="1656"/>
        <w:rPr>
          <w:szCs w:val="22"/>
        </w:rPr>
      </w:pPr>
      <w:r w:rsidRPr="0031496A">
        <w:rPr>
          <w:szCs w:val="22"/>
        </w:rPr>
        <w:t>Promptly complete a retest of SIRs and report findings;</w:t>
      </w:r>
    </w:p>
    <w:p w14:paraId="49390960" w14:textId="77777777" w:rsidR="0031496A" w:rsidRPr="0031496A" w:rsidRDefault="0031496A" w:rsidP="0031496A">
      <w:pPr>
        <w:numPr>
          <w:ilvl w:val="0"/>
          <w:numId w:val="7"/>
        </w:numPr>
        <w:tabs>
          <w:tab w:val="num" w:pos="1656"/>
        </w:tabs>
        <w:ind w:left="1656"/>
        <w:rPr>
          <w:szCs w:val="22"/>
        </w:rPr>
      </w:pPr>
      <w:r w:rsidRPr="0031496A">
        <w:rPr>
          <w:szCs w:val="22"/>
        </w:rPr>
        <w:t>Assess SCRs for production readiness;</w:t>
      </w:r>
    </w:p>
    <w:p w14:paraId="2C297E32" w14:textId="77777777" w:rsidR="0031496A" w:rsidRPr="0031496A" w:rsidRDefault="0031496A" w:rsidP="0031496A">
      <w:pPr>
        <w:numPr>
          <w:ilvl w:val="0"/>
          <w:numId w:val="7"/>
        </w:numPr>
        <w:tabs>
          <w:tab w:val="num" w:pos="1656"/>
        </w:tabs>
        <w:ind w:left="1656"/>
        <w:rPr>
          <w:szCs w:val="22"/>
        </w:rPr>
      </w:pPr>
      <w:r w:rsidRPr="0031496A">
        <w:rPr>
          <w:szCs w:val="22"/>
        </w:rPr>
        <w:t xml:space="preserve">Assess and monitor </w:t>
      </w:r>
      <w:r w:rsidR="00963A11">
        <w:rPr>
          <w:szCs w:val="22"/>
        </w:rPr>
        <w:t xml:space="preserve">Regional Contact Center (“RCC”) </w:t>
      </w:r>
      <w:r w:rsidRPr="0031496A">
        <w:rPr>
          <w:szCs w:val="22"/>
        </w:rPr>
        <w:t>Service Levels and performance, as well as service desk tickets and SIRs and provide recommendations associated with defect resolutions, as appropriate;</w:t>
      </w:r>
    </w:p>
    <w:p w14:paraId="4EDB013B" w14:textId="77777777" w:rsidR="0031496A" w:rsidRPr="0031496A" w:rsidRDefault="0031496A" w:rsidP="0031496A">
      <w:pPr>
        <w:numPr>
          <w:ilvl w:val="0"/>
          <w:numId w:val="7"/>
        </w:numPr>
        <w:tabs>
          <w:tab w:val="num" w:pos="1656"/>
        </w:tabs>
        <w:ind w:left="1656"/>
        <w:rPr>
          <w:szCs w:val="22"/>
        </w:rPr>
      </w:pPr>
      <w:r w:rsidRPr="0031496A">
        <w:rPr>
          <w:szCs w:val="22"/>
        </w:rPr>
        <w:t>Assist the Consortium with contract and fiscal management, communications, planning and problem solving during maintenance and operations</w:t>
      </w:r>
      <w:r w:rsidR="00424B9B">
        <w:rPr>
          <w:szCs w:val="22"/>
        </w:rPr>
        <w:t>; and</w:t>
      </w:r>
    </w:p>
    <w:p w14:paraId="42CB0FB2" w14:textId="77777777" w:rsidR="007E17C1" w:rsidRPr="00AD2046" w:rsidRDefault="007E17C1" w:rsidP="007E17C1">
      <w:pPr>
        <w:numPr>
          <w:ilvl w:val="0"/>
          <w:numId w:val="7"/>
        </w:numPr>
        <w:tabs>
          <w:tab w:val="num" w:pos="1656"/>
        </w:tabs>
        <w:ind w:left="1656"/>
        <w:rPr>
          <w:szCs w:val="22"/>
        </w:rPr>
      </w:pPr>
      <w:r w:rsidRPr="002575C3">
        <w:rPr>
          <w:szCs w:val="22"/>
        </w:rPr>
        <w:t>Ongoing</w:t>
      </w:r>
      <w:r>
        <w:rPr>
          <w:szCs w:val="22"/>
        </w:rPr>
        <w:t xml:space="preserve"> review,</w:t>
      </w:r>
      <w:r w:rsidRPr="00AD2046">
        <w:rPr>
          <w:szCs w:val="22"/>
        </w:rPr>
        <w:t xml:space="preserve"> </w:t>
      </w:r>
      <w:r>
        <w:rPr>
          <w:szCs w:val="22"/>
        </w:rPr>
        <w:t xml:space="preserve">tracking and reporting </w:t>
      </w:r>
      <w:r w:rsidRPr="00AD2046">
        <w:rPr>
          <w:szCs w:val="22"/>
        </w:rPr>
        <w:t>of</w:t>
      </w:r>
      <w:r>
        <w:rPr>
          <w:szCs w:val="22"/>
        </w:rPr>
        <w:t xml:space="preserve"> funding and actual costs</w:t>
      </w:r>
      <w:r w:rsidRPr="00AD2046">
        <w:rPr>
          <w:szCs w:val="22"/>
        </w:rPr>
        <w:t xml:space="preserve">, including compliance monitoring </w:t>
      </w:r>
      <w:r>
        <w:rPr>
          <w:szCs w:val="22"/>
        </w:rPr>
        <w:t>related to enhanced funding</w:t>
      </w:r>
      <w:r w:rsidR="00424B9B">
        <w:rPr>
          <w:szCs w:val="22"/>
        </w:rPr>
        <w:t>.</w:t>
      </w:r>
    </w:p>
    <w:p w14:paraId="032602A6" w14:textId="77777777" w:rsidR="0031496A" w:rsidRDefault="0031496A" w:rsidP="0031496A"/>
    <w:p w14:paraId="64404BC1" w14:textId="77777777" w:rsidR="004A09A8" w:rsidRDefault="007E17C1" w:rsidP="006738C1">
      <w:pPr>
        <w:tabs>
          <w:tab w:val="num" w:pos="1656"/>
        </w:tabs>
        <w:ind w:left="720"/>
        <w:rPr>
          <w:szCs w:val="22"/>
        </w:rPr>
      </w:pPr>
      <w:r w:rsidRPr="007E17C1">
        <w:rPr>
          <w:rFonts w:cs="Arial"/>
          <w:iCs/>
        </w:rPr>
        <w:t xml:space="preserve">To accomplish these tasks and meet all current commitments, First Data will add staffing hours in the form of </w:t>
      </w:r>
      <w:r w:rsidR="00D667AA">
        <w:rPr>
          <w:szCs w:val="22"/>
        </w:rPr>
        <w:t>one</w:t>
      </w:r>
      <w:r w:rsidR="00791A8E">
        <w:rPr>
          <w:szCs w:val="22"/>
        </w:rPr>
        <w:t xml:space="preserve"> full-time </w:t>
      </w:r>
      <w:r w:rsidR="00791A8E" w:rsidRPr="00F06948">
        <w:rPr>
          <w:szCs w:val="22"/>
        </w:rPr>
        <w:t>equivalent</w:t>
      </w:r>
      <w:r w:rsidR="00791A8E">
        <w:rPr>
          <w:szCs w:val="22"/>
        </w:rPr>
        <w:t xml:space="preserve"> </w:t>
      </w:r>
      <w:r w:rsidR="00791A8E" w:rsidRPr="00BA1EEB">
        <w:rPr>
          <w:szCs w:val="22"/>
        </w:rPr>
        <w:t>Business Analyst</w:t>
      </w:r>
      <w:r w:rsidR="00D667AA">
        <w:rPr>
          <w:szCs w:val="22"/>
        </w:rPr>
        <w:t>/Tester and one part-time equivalent Project Management Office (“PMO”)/Fiscal Analyst</w:t>
      </w:r>
      <w:r w:rsidR="00336814">
        <w:rPr>
          <w:szCs w:val="22"/>
        </w:rPr>
        <w:t xml:space="preserve"> through December 31, 2019 and one full-time </w:t>
      </w:r>
      <w:r w:rsidR="00336814" w:rsidRPr="00F06948">
        <w:rPr>
          <w:szCs w:val="22"/>
        </w:rPr>
        <w:t>equivalent</w:t>
      </w:r>
      <w:r w:rsidR="00336814">
        <w:rPr>
          <w:szCs w:val="22"/>
        </w:rPr>
        <w:t xml:space="preserve"> </w:t>
      </w:r>
      <w:r w:rsidR="00336814" w:rsidRPr="00BA1EEB">
        <w:rPr>
          <w:szCs w:val="22"/>
        </w:rPr>
        <w:t>Business Analyst</w:t>
      </w:r>
      <w:r w:rsidR="00336814">
        <w:rPr>
          <w:szCs w:val="22"/>
        </w:rPr>
        <w:t>/Tester beginning January 1, 2019</w:t>
      </w:r>
      <w:r w:rsidR="00791A8E">
        <w:rPr>
          <w:szCs w:val="22"/>
        </w:rPr>
        <w:t>.</w:t>
      </w:r>
    </w:p>
    <w:p w14:paraId="11A726D3" w14:textId="77777777" w:rsidR="004A09A8" w:rsidRPr="00F06948" w:rsidRDefault="004A09A8" w:rsidP="006738C1">
      <w:pPr>
        <w:tabs>
          <w:tab w:val="num" w:pos="1656"/>
        </w:tabs>
        <w:ind w:left="720"/>
        <w:rPr>
          <w:szCs w:val="22"/>
        </w:rPr>
      </w:pPr>
    </w:p>
    <w:p w14:paraId="548932DC" w14:textId="77777777" w:rsidR="004A09A8" w:rsidRPr="00F06948" w:rsidRDefault="004A09A8" w:rsidP="009D256D">
      <w:pPr>
        <w:keepNext/>
        <w:widowControl w:val="0"/>
        <w:tabs>
          <w:tab w:val="left" w:pos="90"/>
        </w:tabs>
        <w:autoSpaceDE w:val="0"/>
        <w:autoSpaceDN w:val="0"/>
        <w:adjustRightInd w:val="0"/>
        <w:ind w:left="720"/>
        <w:rPr>
          <w:bCs/>
        </w:rPr>
      </w:pPr>
      <w:r w:rsidRPr="00F06948">
        <w:rPr>
          <w:bCs/>
        </w:rPr>
        <w:t>Assumptions:</w:t>
      </w:r>
    </w:p>
    <w:p w14:paraId="2E710354" w14:textId="77777777" w:rsidR="00093A67" w:rsidRPr="007E17C1" w:rsidRDefault="004A09A8" w:rsidP="007E17C1">
      <w:pPr>
        <w:pStyle w:val="BodyText"/>
        <w:numPr>
          <w:ilvl w:val="0"/>
          <w:numId w:val="8"/>
        </w:numPr>
        <w:rPr>
          <w:rFonts w:ascii="Book Antiqua" w:hAnsi="Book Antiqua"/>
          <w:sz w:val="22"/>
          <w:szCs w:val="22"/>
        </w:rPr>
      </w:pPr>
      <w:r w:rsidRPr="007E17C1">
        <w:rPr>
          <w:rFonts w:ascii="Book Antiqua" w:hAnsi="Book Antiqua"/>
          <w:sz w:val="22"/>
          <w:szCs w:val="22"/>
        </w:rPr>
        <w:t xml:space="preserve">A maximum of </w:t>
      </w:r>
      <w:r w:rsidR="00DF649F" w:rsidRPr="007E17C1">
        <w:rPr>
          <w:rFonts w:ascii="Book Antiqua" w:hAnsi="Book Antiqua"/>
          <w:sz w:val="22"/>
          <w:szCs w:val="22"/>
        </w:rPr>
        <w:t>2,53</w:t>
      </w:r>
      <w:r w:rsidR="00690986" w:rsidRPr="007E17C1">
        <w:rPr>
          <w:rFonts w:ascii="Book Antiqua" w:hAnsi="Book Antiqua"/>
          <w:sz w:val="22"/>
          <w:szCs w:val="22"/>
        </w:rPr>
        <w:t>4</w:t>
      </w:r>
      <w:r w:rsidR="00E43826" w:rsidRPr="007E17C1">
        <w:rPr>
          <w:rFonts w:ascii="Book Antiqua" w:hAnsi="Book Antiqua"/>
          <w:sz w:val="22"/>
          <w:szCs w:val="22"/>
        </w:rPr>
        <w:t xml:space="preserve"> </w:t>
      </w:r>
      <w:r w:rsidR="006363A3" w:rsidRPr="007E17C1">
        <w:rPr>
          <w:rFonts w:ascii="Book Antiqua" w:hAnsi="Book Antiqua"/>
          <w:sz w:val="22"/>
          <w:szCs w:val="22"/>
        </w:rPr>
        <w:t>QA hours will be worked</w:t>
      </w:r>
      <w:r w:rsidR="006A75C3" w:rsidRPr="007E17C1">
        <w:rPr>
          <w:rFonts w:ascii="Book Antiqua" w:hAnsi="Book Antiqua"/>
          <w:sz w:val="22"/>
          <w:szCs w:val="22"/>
        </w:rPr>
        <w:t xml:space="preserve">; </w:t>
      </w:r>
      <w:r w:rsidR="006363A3" w:rsidRPr="007E17C1">
        <w:rPr>
          <w:rFonts w:ascii="Book Antiqua" w:hAnsi="Book Antiqua"/>
          <w:sz w:val="22"/>
          <w:szCs w:val="22"/>
        </w:rPr>
        <w:t>the minimum number of hours worked will be 95% of the maximum (</w:t>
      </w:r>
      <w:r w:rsidR="006E77FE" w:rsidRPr="007E17C1">
        <w:rPr>
          <w:rFonts w:ascii="Book Antiqua" w:hAnsi="Book Antiqua"/>
          <w:sz w:val="22"/>
          <w:szCs w:val="22"/>
        </w:rPr>
        <w:t>2,</w:t>
      </w:r>
      <w:r w:rsidR="00690986" w:rsidRPr="007E17C1">
        <w:rPr>
          <w:rFonts w:ascii="Book Antiqua" w:hAnsi="Book Antiqua"/>
          <w:sz w:val="22"/>
          <w:szCs w:val="22"/>
        </w:rPr>
        <w:t>407</w:t>
      </w:r>
      <w:r w:rsidR="00DF649F" w:rsidRPr="007E17C1">
        <w:rPr>
          <w:rFonts w:ascii="Book Antiqua" w:hAnsi="Book Antiqua"/>
          <w:sz w:val="22"/>
          <w:szCs w:val="22"/>
        </w:rPr>
        <w:t xml:space="preserve"> </w:t>
      </w:r>
      <w:r w:rsidR="006363A3" w:rsidRPr="007E17C1">
        <w:rPr>
          <w:rFonts w:ascii="Book Antiqua" w:hAnsi="Book Antiqua"/>
          <w:sz w:val="22"/>
          <w:szCs w:val="22"/>
        </w:rPr>
        <w:t>hours)</w:t>
      </w:r>
      <w:r w:rsidR="007E17C1" w:rsidRPr="007E17C1">
        <w:rPr>
          <w:rFonts w:ascii="Book Antiqua" w:hAnsi="Book Antiqua"/>
          <w:sz w:val="22"/>
          <w:szCs w:val="22"/>
        </w:rPr>
        <w:t xml:space="preserve"> </w:t>
      </w:r>
      <w:r w:rsidR="007E17C1" w:rsidRPr="002575C3">
        <w:rPr>
          <w:rFonts w:ascii="Book Antiqua" w:hAnsi="Book Antiqua"/>
          <w:sz w:val="22"/>
          <w:szCs w:val="22"/>
        </w:rPr>
        <w:t>for QA Services associated with D&amp;I</w:t>
      </w:r>
      <w:r w:rsidR="006363A3" w:rsidRPr="007E17C1">
        <w:rPr>
          <w:rFonts w:ascii="Book Antiqua" w:hAnsi="Book Antiqua"/>
          <w:sz w:val="22"/>
          <w:szCs w:val="22"/>
        </w:rPr>
        <w:t>.</w:t>
      </w:r>
    </w:p>
    <w:p w14:paraId="40998C73" w14:textId="77777777" w:rsidR="009D56C4" w:rsidRPr="009D56C4" w:rsidRDefault="009D56C4" w:rsidP="009D56C4">
      <w:pPr>
        <w:numPr>
          <w:ilvl w:val="0"/>
          <w:numId w:val="8"/>
        </w:numPr>
        <w:rPr>
          <w:rFonts w:cs="Arial"/>
          <w:szCs w:val="22"/>
        </w:rPr>
      </w:pPr>
      <w:r>
        <w:t xml:space="preserve">QA services </w:t>
      </w:r>
      <w:r w:rsidR="00D667AA">
        <w:t xml:space="preserve">during D&amp;I for </w:t>
      </w:r>
      <w:r>
        <w:t>the expansion of the C-IV CCP and enhancements to the C-IV System will conclude no later than December 2013.</w:t>
      </w:r>
    </w:p>
    <w:p w14:paraId="5DADF6EF" w14:textId="0CE1320F" w:rsidR="009D56C4" w:rsidRPr="00B87883" w:rsidRDefault="007E17C1" w:rsidP="00747381">
      <w:pPr>
        <w:numPr>
          <w:ilvl w:val="0"/>
          <w:numId w:val="8"/>
        </w:numPr>
        <w:rPr>
          <w:rFonts w:cs="Arial"/>
          <w:szCs w:val="22"/>
        </w:rPr>
      </w:pPr>
      <w:r>
        <w:rPr>
          <w:szCs w:val="22"/>
        </w:rPr>
        <w:t xml:space="preserve">A maximum of </w:t>
      </w:r>
      <w:r w:rsidR="005C555D">
        <w:rPr>
          <w:szCs w:val="22"/>
        </w:rPr>
        <w:t xml:space="preserve">19,908 </w:t>
      </w:r>
      <w:r w:rsidR="00424B9B">
        <w:rPr>
          <w:szCs w:val="22"/>
        </w:rPr>
        <w:t xml:space="preserve">hours of </w:t>
      </w:r>
      <w:r w:rsidRPr="0008635D">
        <w:rPr>
          <w:color w:val="000000"/>
        </w:rPr>
        <w:t>QA</w:t>
      </w:r>
      <w:r w:rsidR="00D667AA" w:rsidRPr="0008635D">
        <w:rPr>
          <w:color w:val="000000"/>
        </w:rPr>
        <w:t xml:space="preserve"> </w:t>
      </w:r>
      <w:proofErr w:type="gramStart"/>
      <w:r w:rsidR="00424B9B">
        <w:rPr>
          <w:color w:val="000000"/>
        </w:rPr>
        <w:t xml:space="preserve">Services </w:t>
      </w:r>
      <w:r>
        <w:rPr>
          <w:rFonts w:cs="Arial"/>
          <w:color w:val="000000"/>
          <w:szCs w:val="22"/>
        </w:rPr>
        <w:t xml:space="preserve"> will</w:t>
      </w:r>
      <w:proofErr w:type="gramEnd"/>
      <w:r w:rsidRPr="0008635D">
        <w:rPr>
          <w:color w:val="000000"/>
        </w:rPr>
        <w:t xml:space="preserve"> be </w:t>
      </w:r>
      <w:r w:rsidR="00747381" w:rsidRPr="00B87883">
        <w:t xml:space="preserve">performed as part of </w:t>
      </w:r>
      <w:r>
        <w:t>M&amp;O</w:t>
      </w:r>
      <w:r w:rsidR="00747381" w:rsidRPr="00B87883">
        <w:t xml:space="preserve"> Services.</w:t>
      </w:r>
    </w:p>
    <w:p w14:paraId="75E722E3" w14:textId="77777777" w:rsidR="009D56C4" w:rsidRPr="00B87883" w:rsidRDefault="004A09A8" w:rsidP="009D56C4">
      <w:pPr>
        <w:numPr>
          <w:ilvl w:val="0"/>
          <w:numId w:val="8"/>
        </w:numPr>
        <w:rPr>
          <w:rFonts w:cs="Arial"/>
          <w:szCs w:val="22"/>
        </w:rPr>
      </w:pPr>
      <w:r w:rsidRPr="00B87883">
        <w:rPr>
          <w:rFonts w:cs="Arial"/>
          <w:szCs w:val="22"/>
        </w:rPr>
        <w:t xml:space="preserve">Any additional </w:t>
      </w:r>
      <w:r w:rsidR="00D67CD0">
        <w:rPr>
          <w:rFonts w:cs="Arial"/>
          <w:szCs w:val="22"/>
        </w:rPr>
        <w:t>Central CCP</w:t>
      </w:r>
      <w:r w:rsidR="00DF6346">
        <w:rPr>
          <w:rFonts w:cs="Arial"/>
          <w:szCs w:val="22"/>
        </w:rPr>
        <w:t xml:space="preserve"> </w:t>
      </w:r>
      <w:r w:rsidR="006E77FE" w:rsidRPr="00B87883">
        <w:rPr>
          <w:rFonts w:cs="Arial"/>
          <w:szCs w:val="22"/>
        </w:rPr>
        <w:t xml:space="preserve">Covered CA </w:t>
      </w:r>
      <w:r w:rsidRPr="00B87883">
        <w:rPr>
          <w:rFonts w:cs="Arial"/>
          <w:szCs w:val="22"/>
        </w:rPr>
        <w:t xml:space="preserve">changes </w:t>
      </w:r>
      <w:r w:rsidR="0057497E" w:rsidRPr="00B87883">
        <w:rPr>
          <w:rFonts w:cs="Arial"/>
          <w:szCs w:val="22"/>
        </w:rPr>
        <w:t xml:space="preserve">to the system </w:t>
      </w:r>
      <w:r w:rsidRPr="00B87883">
        <w:rPr>
          <w:rFonts w:cs="Arial"/>
          <w:szCs w:val="22"/>
        </w:rPr>
        <w:t xml:space="preserve">will require a separate assessment and </w:t>
      </w:r>
      <w:r w:rsidR="00466171">
        <w:rPr>
          <w:rFonts w:cs="Arial"/>
          <w:szCs w:val="22"/>
        </w:rPr>
        <w:t>calculation</w:t>
      </w:r>
      <w:r w:rsidR="00466171" w:rsidRPr="00B87883">
        <w:rPr>
          <w:rFonts w:cs="Arial"/>
          <w:szCs w:val="22"/>
        </w:rPr>
        <w:t xml:space="preserve"> </w:t>
      </w:r>
      <w:r w:rsidRPr="00B87883">
        <w:rPr>
          <w:rFonts w:cs="Arial"/>
          <w:szCs w:val="22"/>
        </w:rPr>
        <w:t xml:space="preserve">for </w:t>
      </w:r>
      <w:r w:rsidR="0057497E" w:rsidRPr="00B87883">
        <w:rPr>
          <w:rFonts w:cs="Arial"/>
          <w:szCs w:val="22"/>
        </w:rPr>
        <w:t>QA</w:t>
      </w:r>
      <w:r w:rsidR="00466171">
        <w:rPr>
          <w:rFonts w:cs="Arial"/>
          <w:szCs w:val="22"/>
        </w:rPr>
        <w:t xml:space="preserve"> services</w:t>
      </w:r>
      <w:r w:rsidRPr="00B87883">
        <w:rPr>
          <w:rFonts w:cs="Arial"/>
          <w:szCs w:val="22"/>
        </w:rPr>
        <w:t>.</w:t>
      </w:r>
    </w:p>
    <w:p w14:paraId="3F32462A" w14:textId="77777777" w:rsidR="00E43826" w:rsidRDefault="00E43826" w:rsidP="0072602C">
      <w:pPr>
        <w:numPr>
          <w:ilvl w:val="0"/>
          <w:numId w:val="8"/>
        </w:numPr>
      </w:pPr>
      <w:r w:rsidRPr="00F06948">
        <w:t>As prioritized by the Consortium and as agreed in advance,</w:t>
      </w:r>
      <w:r>
        <w:t xml:space="preserve"> </w:t>
      </w:r>
      <w:r w:rsidRPr="00F06948">
        <w:t>Firs</w:t>
      </w:r>
      <w:r w:rsidRPr="007533C5">
        <w:t xml:space="preserve">t Data will conduct </w:t>
      </w:r>
      <w:r w:rsidR="0057497E">
        <w:t>t</w:t>
      </w:r>
      <w:r w:rsidR="007533C5" w:rsidRPr="007533C5">
        <w:t>est</w:t>
      </w:r>
      <w:r w:rsidR="002823C0">
        <w:t>s</w:t>
      </w:r>
      <w:r w:rsidRPr="007533C5">
        <w:t xml:space="preserve"> in an available System Test Environment(s).</w:t>
      </w:r>
    </w:p>
    <w:p w14:paraId="06BAA216" w14:textId="77777777" w:rsidR="004A09A8" w:rsidRPr="00F06948" w:rsidRDefault="0057497E" w:rsidP="0072602C">
      <w:pPr>
        <w:numPr>
          <w:ilvl w:val="0"/>
          <w:numId w:val="8"/>
        </w:numPr>
      </w:pPr>
      <w:r>
        <w:t>S</w:t>
      </w:r>
      <w:r w:rsidR="00372B77">
        <w:t xml:space="preserve">upport will be provided for the testing and batch needs in an available System Test Environment for the </w:t>
      </w:r>
      <w:r>
        <w:t xml:space="preserve">QA </w:t>
      </w:r>
      <w:r w:rsidR="00372B77">
        <w:t>Test Team’s SCR testing.</w:t>
      </w:r>
    </w:p>
    <w:p w14:paraId="40E8DDE4" w14:textId="77777777" w:rsidR="00372B77" w:rsidRPr="00F06948" w:rsidRDefault="00372B77" w:rsidP="00372B77">
      <w:pPr>
        <w:numPr>
          <w:ilvl w:val="0"/>
          <w:numId w:val="8"/>
        </w:numPr>
      </w:pPr>
      <w:r>
        <w:t>If test witnessing is necessary, Accenture will provide any related test artifacts.</w:t>
      </w:r>
    </w:p>
    <w:p w14:paraId="40953AA3" w14:textId="77777777" w:rsidR="00372B77" w:rsidRDefault="004A09A8" w:rsidP="0072602C">
      <w:pPr>
        <w:numPr>
          <w:ilvl w:val="0"/>
          <w:numId w:val="8"/>
        </w:numPr>
      </w:pPr>
      <w:r w:rsidRPr="00F06948">
        <w:t>Any duplicate or rejected SIRs will be discussed with the SIR originator before closing the SIR.</w:t>
      </w:r>
    </w:p>
    <w:p w14:paraId="37F74BA4" w14:textId="77777777" w:rsidR="004A09A8" w:rsidRDefault="004A09A8" w:rsidP="00654AED">
      <w:pPr>
        <w:pStyle w:val="BodyTextIndent2"/>
        <w:ind w:left="0"/>
        <w:rPr>
          <w:b/>
          <w:bCs/>
        </w:rPr>
      </w:pPr>
    </w:p>
    <w:p w14:paraId="251DB6E9" w14:textId="77777777" w:rsidR="004A09A8" w:rsidRDefault="004A09A8" w:rsidP="00891288">
      <w:pPr>
        <w:keepNext/>
        <w:widowControl w:val="0"/>
        <w:numPr>
          <w:ilvl w:val="0"/>
          <w:numId w:val="5"/>
        </w:numPr>
        <w:tabs>
          <w:tab w:val="left" w:pos="90"/>
        </w:tabs>
        <w:autoSpaceDE w:val="0"/>
        <w:autoSpaceDN w:val="0"/>
        <w:adjustRightInd w:val="0"/>
        <w:rPr>
          <w:b/>
          <w:bCs/>
        </w:rPr>
      </w:pPr>
      <w:r>
        <w:rPr>
          <w:b/>
          <w:bCs/>
        </w:rPr>
        <w:t xml:space="preserve">Schedule: </w:t>
      </w:r>
    </w:p>
    <w:p w14:paraId="7FFEC46F" w14:textId="77777777" w:rsidR="004A09A8" w:rsidRPr="00A567AB" w:rsidRDefault="004A09A8" w:rsidP="00891288">
      <w:pPr>
        <w:pStyle w:val="BodyTextIndent2"/>
        <w:keepNext/>
        <w:rPr>
          <w:bCs/>
          <w:sz w:val="12"/>
        </w:rPr>
      </w:pPr>
    </w:p>
    <w:p w14:paraId="6BC2D493" w14:textId="77777777" w:rsidR="00CB7B01" w:rsidRDefault="007E17C1" w:rsidP="007E17C1">
      <w:pPr>
        <w:pStyle w:val="BodyTextIndent2"/>
        <w:rPr>
          <w:bCs/>
        </w:rPr>
      </w:pPr>
      <w:r>
        <w:rPr>
          <w:bCs/>
        </w:rPr>
        <w:t xml:space="preserve">This </w:t>
      </w:r>
      <w:r w:rsidR="004A09A8" w:rsidRPr="00F06948">
        <w:rPr>
          <w:bCs/>
        </w:rPr>
        <w:t>Change Order</w:t>
      </w:r>
      <w:r>
        <w:rPr>
          <w:bCs/>
        </w:rPr>
        <w:t xml:space="preserve"> includes Services for the First Data QA Team during the D&amp;I phase that</w:t>
      </w:r>
      <w:r w:rsidR="004A09A8" w:rsidRPr="00F06948">
        <w:rPr>
          <w:bCs/>
        </w:rPr>
        <w:t xml:space="preserve"> </w:t>
      </w:r>
      <w:r w:rsidR="00CB7B01">
        <w:rPr>
          <w:bCs/>
        </w:rPr>
        <w:t xml:space="preserve">shall commence in SFY 2012/13 and </w:t>
      </w:r>
      <w:r w:rsidR="00424B9B">
        <w:rPr>
          <w:bCs/>
        </w:rPr>
        <w:t xml:space="preserve">be </w:t>
      </w:r>
      <w:r w:rsidR="00CB7B01">
        <w:rPr>
          <w:bCs/>
        </w:rPr>
        <w:t>complete</w:t>
      </w:r>
      <w:r w:rsidR="00424B9B">
        <w:rPr>
          <w:bCs/>
        </w:rPr>
        <w:t>d</w:t>
      </w:r>
      <w:r w:rsidR="00CB7B01">
        <w:rPr>
          <w:bCs/>
        </w:rPr>
        <w:t xml:space="preserve"> in </w:t>
      </w:r>
      <w:r w:rsidR="000E7991">
        <w:rPr>
          <w:bCs/>
        </w:rPr>
        <w:t>December 2013</w:t>
      </w:r>
      <w:r w:rsidR="00CB7B01">
        <w:rPr>
          <w:bCs/>
        </w:rPr>
        <w:t>.</w:t>
      </w:r>
      <w:r w:rsidR="00DE6728">
        <w:rPr>
          <w:bCs/>
        </w:rPr>
        <w:t xml:space="preserve"> </w:t>
      </w:r>
      <w:r>
        <w:rPr>
          <w:bCs/>
        </w:rPr>
        <w:t xml:space="preserve"> This Change Order also includes service</w:t>
      </w:r>
      <w:r w:rsidR="00D667AA">
        <w:rPr>
          <w:bCs/>
        </w:rPr>
        <w:t>s</w:t>
      </w:r>
      <w:r>
        <w:rPr>
          <w:bCs/>
        </w:rPr>
        <w:t xml:space="preserve"> for the First Data QA Team during the M&amp;O phase that </w:t>
      </w:r>
      <w:r w:rsidR="00DE6728">
        <w:rPr>
          <w:rFonts w:cs="Arial"/>
          <w:color w:val="000000"/>
          <w:szCs w:val="22"/>
        </w:rPr>
        <w:t xml:space="preserve">shall commence in SFY 14/15 and </w:t>
      </w:r>
      <w:r w:rsidRPr="007E17C1">
        <w:rPr>
          <w:rFonts w:cs="Arial"/>
          <w:color w:val="000000"/>
          <w:szCs w:val="22"/>
        </w:rPr>
        <w:t>continue for the Term of Agreement</w:t>
      </w:r>
      <w:r w:rsidR="00DE6728">
        <w:rPr>
          <w:rFonts w:cs="Arial"/>
          <w:color w:val="000000"/>
          <w:szCs w:val="22"/>
        </w:rPr>
        <w:t>.</w:t>
      </w:r>
    </w:p>
    <w:p w14:paraId="2C620E27" w14:textId="77777777" w:rsidR="00F15B1A" w:rsidRDefault="00F15B1A" w:rsidP="00F30209">
      <w:pPr>
        <w:pStyle w:val="BodyTextIndent2"/>
        <w:rPr>
          <w:bCs/>
        </w:rPr>
      </w:pPr>
    </w:p>
    <w:p w14:paraId="48C5C6A8" w14:textId="77777777" w:rsidR="004A09A8" w:rsidRDefault="004A09A8" w:rsidP="00713372">
      <w:pPr>
        <w:keepNext/>
        <w:widowControl w:val="0"/>
        <w:numPr>
          <w:ilvl w:val="0"/>
          <w:numId w:val="5"/>
        </w:numPr>
        <w:tabs>
          <w:tab w:val="left" w:pos="90"/>
        </w:tabs>
        <w:autoSpaceDE w:val="0"/>
        <w:autoSpaceDN w:val="0"/>
        <w:adjustRightInd w:val="0"/>
        <w:rPr>
          <w:b/>
          <w:bCs/>
        </w:rPr>
      </w:pPr>
      <w:r>
        <w:rPr>
          <w:b/>
          <w:bCs/>
        </w:rPr>
        <w:t xml:space="preserve">Total Change Order Cost: </w:t>
      </w:r>
    </w:p>
    <w:p w14:paraId="666308B9" w14:textId="77777777" w:rsidR="004A09A8" w:rsidRPr="00A567AB" w:rsidRDefault="004A09A8" w:rsidP="00A567AB">
      <w:pPr>
        <w:pStyle w:val="BodyTextIndent2"/>
        <w:keepNext/>
        <w:rPr>
          <w:bCs/>
          <w:sz w:val="14"/>
        </w:rPr>
      </w:pPr>
    </w:p>
    <w:p w14:paraId="00529E6B" w14:textId="77777777" w:rsidR="004A09A8" w:rsidRDefault="00107EAE" w:rsidP="00B502D8">
      <w:pPr>
        <w:pStyle w:val="BodyTextIndent2"/>
        <w:spacing w:after="120"/>
      </w:pPr>
      <w:r w:rsidRPr="00107EAE">
        <w:rPr>
          <w:bCs/>
        </w:rPr>
        <w:t xml:space="preserve">The following table summarizes the total costs for QA Services associated with this Change Order.  </w:t>
      </w:r>
      <w:r w:rsidR="004A09A8">
        <w:t>The costs will be billed in accordance with Section 6.6 of the Agreement and as reflected in Section IV below and Exhibit A.</w:t>
      </w:r>
    </w:p>
    <w:p w14:paraId="7C940FFC" w14:textId="77777777" w:rsidR="002577FD" w:rsidRDefault="0094346F" w:rsidP="00DF181B">
      <w:pPr>
        <w:pStyle w:val="BodyTextIndent2"/>
        <w:spacing w:after="120"/>
        <w:rPr>
          <w:bCs/>
        </w:rPr>
      </w:pPr>
      <w:r w:rsidRPr="0094346F">
        <w:rPr>
          <w:noProof/>
        </w:rPr>
        <w:drawing>
          <wp:inline distT="0" distB="0" distL="0" distR="0" wp14:anchorId="2B869C9A" wp14:editId="6632839B">
            <wp:extent cx="6400800" cy="10861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086162"/>
                    </a:xfrm>
                    <a:prstGeom prst="rect">
                      <a:avLst/>
                    </a:prstGeom>
                    <a:noFill/>
                    <a:ln>
                      <a:noFill/>
                    </a:ln>
                  </pic:spPr>
                </pic:pic>
              </a:graphicData>
            </a:graphic>
          </wp:inline>
        </w:drawing>
      </w:r>
    </w:p>
    <w:p w14:paraId="13812A4D" w14:textId="77777777" w:rsidR="003E51B4" w:rsidRDefault="003E51B4" w:rsidP="00B502D8">
      <w:pPr>
        <w:pStyle w:val="BodyTextIndent2"/>
        <w:spacing w:after="120"/>
        <w:rPr>
          <w:bCs/>
        </w:rPr>
      </w:pPr>
    </w:p>
    <w:p w14:paraId="5D4093AD" w14:textId="77777777" w:rsidR="001C36D5" w:rsidRDefault="001C36D5" w:rsidP="00B502D8">
      <w:pPr>
        <w:pStyle w:val="BodyTextIndent2"/>
        <w:spacing w:after="120"/>
      </w:pPr>
      <w:r w:rsidRPr="001C36D5">
        <w:t>The following table provides the hours for Services of the First Data QA Team associated with Payment Milestones.</w:t>
      </w:r>
    </w:p>
    <w:tbl>
      <w:tblPr>
        <w:tblW w:w="7947" w:type="dxa"/>
        <w:jc w:val="center"/>
        <w:tblLook w:val="04A0" w:firstRow="1" w:lastRow="0" w:firstColumn="1" w:lastColumn="0" w:noHBand="0" w:noVBand="1"/>
      </w:tblPr>
      <w:tblGrid>
        <w:gridCol w:w="460"/>
        <w:gridCol w:w="5854"/>
        <w:gridCol w:w="1633"/>
      </w:tblGrid>
      <w:tr w:rsidR="00F937B3" w:rsidRPr="00F937B3" w14:paraId="22C6C637" w14:textId="77777777" w:rsidTr="00144249">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1F497D" w:themeFill="text2"/>
            <w:vAlign w:val="bottom"/>
            <w:hideMark/>
          </w:tcPr>
          <w:p w14:paraId="116E4D89" w14:textId="77777777" w:rsidR="003E51B4" w:rsidRPr="00144249" w:rsidRDefault="003E51B4" w:rsidP="003477E1">
            <w:pPr>
              <w:jc w:val="center"/>
              <w:rPr>
                <w:rFonts w:cs="Arial"/>
                <w:b/>
                <w:bCs/>
                <w:color w:val="FFFFFF" w:themeColor="background1"/>
                <w:szCs w:val="22"/>
              </w:rPr>
            </w:pPr>
            <w:r w:rsidRPr="00144249">
              <w:rPr>
                <w:rFonts w:cs="Arial"/>
                <w:b/>
                <w:bCs/>
                <w:color w:val="FFFFFF" w:themeColor="background1"/>
                <w:szCs w:val="22"/>
              </w:rPr>
              <w:t> </w:t>
            </w:r>
          </w:p>
        </w:tc>
        <w:tc>
          <w:tcPr>
            <w:tcW w:w="5854" w:type="dxa"/>
            <w:tcBorders>
              <w:top w:val="single" w:sz="4" w:space="0" w:color="auto"/>
              <w:left w:val="nil"/>
              <w:bottom w:val="single" w:sz="4" w:space="0" w:color="auto"/>
              <w:right w:val="single" w:sz="4" w:space="0" w:color="auto"/>
            </w:tcBorders>
            <w:shd w:val="clear" w:color="auto" w:fill="1F497D" w:themeFill="text2"/>
            <w:vAlign w:val="center"/>
            <w:hideMark/>
          </w:tcPr>
          <w:p w14:paraId="4FA133A5" w14:textId="77777777" w:rsidR="003E51B4" w:rsidRPr="00144249" w:rsidRDefault="003E51B4" w:rsidP="000E7991">
            <w:pPr>
              <w:jc w:val="center"/>
              <w:rPr>
                <w:rFonts w:cs="Arial"/>
                <w:b/>
                <w:bCs/>
                <w:color w:val="FFFFFF" w:themeColor="background1"/>
                <w:szCs w:val="22"/>
              </w:rPr>
            </w:pPr>
            <w:r w:rsidRPr="00144249">
              <w:rPr>
                <w:rFonts w:cs="Arial"/>
                <w:b/>
                <w:bCs/>
                <w:color w:val="FFFFFF" w:themeColor="background1"/>
                <w:szCs w:val="22"/>
              </w:rPr>
              <w:t>QA Task</w:t>
            </w:r>
          </w:p>
        </w:tc>
        <w:tc>
          <w:tcPr>
            <w:tcW w:w="1633" w:type="dxa"/>
            <w:tcBorders>
              <w:top w:val="single" w:sz="4" w:space="0" w:color="auto"/>
              <w:left w:val="nil"/>
              <w:bottom w:val="single" w:sz="4" w:space="0" w:color="auto"/>
              <w:right w:val="single" w:sz="4" w:space="0" w:color="auto"/>
            </w:tcBorders>
            <w:shd w:val="clear" w:color="auto" w:fill="1F497D" w:themeFill="text2"/>
            <w:vAlign w:val="center"/>
            <w:hideMark/>
          </w:tcPr>
          <w:p w14:paraId="76472797" w14:textId="77777777" w:rsidR="003E51B4" w:rsidRPr="00144249" w:rsidRDefault="003E51B4" w:rsidP="000E7991">
            <w:pPr>
              <w:jc w:val="center"/>
              <w:rPr>
                <w:rFonts w:cs="Arial"/>
                <w:b/>
                <w:bCs/>
                <w:color w:val="FFFFFF" w:themeColor="background1"/>
                <w:szCs w:val="22"/>
              </w:rPr>
            </w:pPr>
            <w:r w:rsidRPr="00144249">
              <w:rPr>
                <w:rFonts w:cs="Arial"/>
                <w:b/>
                <w:bCs/>
                <w:color w:val="FFFFFF" w:themeColor="background1"/>
                <w:szCs w:val="22"/>
              </w:rPr>
              <w:t>Total Hours</w:t>
            </w:r>
          </w:p>
        </w:tc>
      </w:tr>
      <w:tr w:rsidR="003E51B4" w:rsidRPr="000E7991" w14:paraId="7065A15D" w14:textId="77777777" w:rsidTr="00144249">
        <w:trPr>
          <w:trHeight w:val="270"/>
          <w:jc w:val="center"/>
        </w:trPr>
        <w:tc>
          <w:tcPr>
            <w:tcW w:w="460" w:type="dxa"/>
            <w:tcBorders>
              <w:top w:val="nil"/>
              <w:left w:val="single" w:sz="4" w:space="0" w:color="auto"/>
              <w:bottom w:val="single" w:sz="4" w:space="0" w:color="auto"/>
              <w:right w:val="single" w:sz="4" w:space="0" w:color="auto"/>
            </w:tcBorders>
            <w:noWrap/>
            <w:vAlign w:val="bottom"/>
            <w:hideMark/>
          </w:tcPr>
          <w:p w14:paraId="3EAEF749" w14:textId="77777777" w:rsidR="003E51B4" w:rsidRPr="009B3B22" w:rsidRDefault="003E51B4" w:rsidP="003477E1">
            <w:pPr>
              <w:jc w:val="center"/>
              <w:rPr>
                <w:rFonts w:cs="Arial"/>
                <w:szCs w:val="22"/>
              </w:rPr>
            </w:pPr>
            <w:r w:rsidRPr="009B3B22">
              <w:rPr>
                <w:rFonts w:cs="Arial"/>
                <w:szCs w:val="22"/>
              </w:rPr>
              <w:t>1</w:t>
            </w:r>
          </w:p>
        </w:tc>
        <w:tc>
          <w:tcPr>
            <w:tcW w:w="5854" w:type="dxa"/>
            <w:tcBorders>
              <w:top w:val="nil"/>
              <w:left w:val="nil"/>
              <w:bottom w:val="single" w:sz="4" w:space="0" w:color="auto"/>
              <w:right w:val="single" w:sz="4" w:space="0" w:color="auto"/>
            </w:tcBorders>
            <w:noWrap/>
            <w:vAlign w:val="bottom"/>
            <w:hideMark/>
          </w:tcPr>
          <w:p w14:paraId="5951740D" w14:textId="77777777" w:rsidR="003E51B4" w:rsidRPr="009B3B22" w:rsidRDefault="003E51B4" w:rsidP="003477E1">
            <w:pPr>
              <w:rPr>
                <w:rFonts w:cs="Arial"/>
                <w:szCs w:val="22"/>
              </w:rPr>
            </w:pPr>
            <w:r w:rsidRPr="009B3B22">
              <w:rPr>
                <w:rFonts w:cs="Arial"/>
                <w:szCs w:val="22"/>
              </w:rPr>
              <w:t>QA Analysis, Design, Test &amp; Implementation Support</w:t>
            </w:r>
          </w:p>
        </w:tc>
        <w:tc>
          <w:tcPr>
            <w:tcW w:w="1633" w:type="dxa"/>
            <w:tcBorders>
              <w:top w:val="nil"/>
              <w:left w:val="nil"/>
              <w:bottom w:val="single" w:sz="4" w:space="0" w:color="auto"/>
              <w:right w:val="single" w:sz="4" w:space="0" w:color="auto"/>
            </w:tcBorders>
            <w:noWrap/>
            <w:vAlign w:val="bottom"/>
            <w:hideMark/>
          </w:tcPr>
          <w:p w14:paraId="24DDE9F8" w14:textId="77777777" w:rsidR="003E51B4" w:rsidRPr="003477E1" w:rsidRDefault="003E51B4" w:rsidP="003477E1">
            <w:pPr>
              <w:jc w:val="right"/>
              <w:rPr>
                <w:rFonts w:cs="Arial"/>
                <w:szCs w:val="22"/>
              </w:rPr>
            </w:pPr>
            <w:r w:rsidRPr="003477E1">
              <w:rPr>
                <w:rFonts w:cs="Arial"/>
                <w:szCs w:val="22"/>
              </w:rPr>
              <w:t>2,534</w:t>
            </w:r>
          </w:p>
        </w:tc>
      </w:tr>
      <w:tr w:rsidR="003E51B4" w:rsidRPr="009B3B22" w14:paraId="187CD472" w14:textId="77777777" w:rsidTr="00144249">
        <w:trPr>
          <w:trHeight w:val="300"/>
          <w:jc w:val="center"/>
        </w:trPr>
        <w:tc>
          <w:tcPr>
            <w:tcW w:w="460" w:type="dxa"/>
            <w:tcBorders>
              <w:top w:val="nil"/>
              <w:left w:val="single" w:sz="4" w:space="0" w:color="auto"/>
              <w:bottom w:val="single" w:sz="4" w:space="0" w:color="auto"/>
              <w:right w:val="single" w:sz="4" w:space="0" w:color="auto"/>
            </w:tcBorders>
            <w:noWrap/>
            <w:vAlign w:val="bottom"/>
            <w:hideMark/>
          </w:tcPr>
          <w:p w14:paraId="05EC5790" w14:textId="77777777" w:rsidR="003E51B4" w:rsidRPr="009B3B22" w:rsidRDefault="003E51B4" w:rsidP="003477E1">
            <w:pPr>
              <w:jc w:val="center"/>
              <w:rPr>
                <w:rFonts w:cs="Arial"/>
                <w:szCs w:val="22"/>
              </w:rPr>
            </w:pPr>
            <w:r w:rsidRPr="009B3B22">
              <w:rPr>
                <w:rFonts w:cs="Arial"/>
                <w:szCs w:val="22"/>
              </w:rPr>
              <w:t> </w:t>
            </w:r>
          </w:p>
        </w:tc>
        <w:tc>
          <w:tcPr>
            <w:tcW w:w="5854" w:type="dxa"/>
            <w:tcBorders>
              <w:top w:val="nil"/>
              <w:left w:val="nil"/>
              <w:bottom w:val="single" w:sz="4" w:space="0" w:color="auto"/>
              <w:right w:val="single" w:sz="4" w:space="0" w:color="auto"/>
            </w:tcBorders>
            <w:noWrap/>
            <w:vAlign w:val="bottom"/>
            <w:hideMark/>
          </w:tcPr>
          <w:p w14:paraId="56E7DCA5" w14:textId="77777777" w:rsidR="003E51B4" w:rsidRPr="009B3B22" w:rsidRDefault="003E51B4" w:rsidP="003477E1">
            <w:pPr>
              <w:rPr>
                <w:rFonts w:cs="Arial"/>
                <w:b/>
                <w:bCs/>
                <w:szCs w:val="22"/>
              </w:rPr>
            </w:pPr>
            <w:r w:rsidRPr="009B3B22">
              <w:rPr>
                <w:rFonts w:cs="Arial"/>
                <w:b/>
                <w:bCs/>
                <w:szCs w:val="22"/>
              </w:rPr>
              <w:t>Total</w:t>
            </w:r>
          </w:p>
        </w:tc>
        <w:tc>
          <w:tcPr>
            <w:tcW w:w="1633" w:type="dxa"/>
            <w:tcBorders>
              <w:top w:val="nil"/>
              <w:left w:val="nil"/>
              <w:bottom w:val="single" w:sz="4" w:space="0" w:color="auto"/>
              <w:right w:val="single" w:sz="4" w:space="0" w:color="auto"/>
            </w:tcBorders>
            <w:noWrap/>
            <w:vAlign w:val="bottom"/>
            <w:hideMark/>
          </w:tcPr>
          <w:p w14:paraId="18087BAA" w14:textId="77777777" w:rsidR="003E51B4" w:rsidRPr="000E7991" w:rsidRDefault="003E51B4" w:rsidP="003477E1">
            <w:pPr>
              <w:jc w:val="right"/>
              <w:rPr>
                <w:rFonts w:cs="Arial"/>
                <w:b/>
                <w:bCs/>
                <w:szCs w:val="22"/>
              </w:rPr>
            </w:pPr>
            <w:r w:rsidRPr="000E7991">
              <w:rPr>
                <w:rFonts w:cs="Arial"/>
                <w:b/>
                <w:szCs w:val="22"/>
              </w:rPr>
              <w:t>2,534</w:t>
            </w:r>
          </w:p>
        </w:tc>
      </w:tr>
    </w:tbl>
    <w:p w14:paraId="07EEC8EC" w14:textId="77777777" w:rsidR="00713372" w:rsidRDefault="00713372" w:rsidP="00A567AB">
      <w:pPr>
        <w:ind w:left="720"/>
      </w:pPr>
    </w:p>
    <w:p w14:paraId="6E9EBF5A" w14:textId="77777777" w:rsidR="001C36D5" w:rsidRDefault="001C36D5" w:rsidP="001C36D5">
      <w:pPr>
        <w:pStyle w:val="BodyTextIndent2"/>
        <w:spacing w:after="120"/>
      </w:pPr>
      <w:r>
        <w:t xml:space="preserve">The following table provides the hours for </w:t>
      </w:r>
      <w:r w:rsidRPr="00D50473">
        <w:t>Services of the First Data QA Team</w:t>
      </w:r>
      <w:r>
        <w:t xml:space="preserve"> associated with M&amp;O.</w:t>
      </w:r>
    </w:p>
    <w:p w14:paraId="5F6507F2" w14:textId="77777777" w:rsidR="001C36D5" w:rsidRPr="00A567AB" w:rsidRDefault="001C36D5" w:rsidP="00144249"/>
    <w:tbl>
      <w:tblPr>
        <w:tblW w:w="4698" w:type="dxa"/>
        <w:tblInd w:w="2160" w:type="dxa"/>
        <w:tblLook w:val="04A0" w:firstRow="1" w:lastRow="0" w:firstColumn="1" w:lastColumn="0" w:noHBand="0" w:noVBand="1"/>
      </w:tblPr>
      <w:tblGrid>
        <w:gridCol w:w="3078"/>
        <w:gridCol w:w="1620"/>
      </w:tblGrid>
      <w:tr w:rsidR="0094346F" w:rsidRPr="0094346F" w14:paraId="71F2BEF0" w14:textId="77777777" w:rsidTr="00DF181B">
        <w:trPr>
          <w:trHeight w:val="510"/>
        </w:trPr>
        <w:tc>
          <w:tcPr>
            <w:tcW w:w="307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41EEA7B4" w14:textId="77777777" w:rsidR="0094346F" w:rsidRPr="0094346F" w:rsidRDefault="0094346F" w:rsidP="0094346F">
            <w:pPr>
              <w:jc w:val="center"/>
              <w:rPr>
                <w:rFonts w:ascii="Times New Roman" w:hAnsi="Times New Roman"/>
                <w:b/>
                <w:bCs/>
                <w:color w:val="FFFFFF"/>
                <w:sz w:val="20"/>
              </w:rPr>
            </w:pPr>
            <w:r w:rsidRPr="0094346F">
              <w:rPr>
                <w:rFonts w:ascii="Times New Roman" w:hAnsi="Times New Roman"/>
                <w:b/>
                <w:bCs/>
                <w:color w:val="FFFFFF"/>
                <w:sz w:val="20"/>
              </w:rPr>
              <w:t>SFY</w:t>
            </w:r>
          </w:p>
        </w:tc>
        <w:tc>
          <w:tcPr>
            <w:tcW w:w="1620" w:type="dxa"/>
            <w:tcBorders>
              <w:top w:val="single" w:sz="4" w:space="0" w:color="auto"/>
              <w:left w:val="nil"/>
              <w:bottom w:val="single" w:sz="4" w:space="0" w:color="auto"/>
              <w:right w:val="single" w:sz="4" w:space="0" w:color="auto"/>
            </w:tcBorders>
            <w:shd w:val="clear" w:color="000000" w:fill="1F497D"/>
            <w:vAlign w:val="center"/>
            <w:hideMark/>
          </w:tcPr>
          <w:p w14:paraId="7BA48798" w14:textId="77777777" w:rsidR="0094346F" w:rsidRPr="0094346F" w:rsidRDefault="0094346F" w:rsidP="0094346F">
            <w:pPr>
              <w:jc w:val="center"/>
              <w:rPr>
                <w:rFonts w:ascii="Times New Roman" w:hAnsi="Times New Roman"/>
                <w:b/>
                <w:bCs/>
                <w:color w:val="FFFFFF"/>
                <w:sz w:val="20"/>
              </w:rPr>
            </w:pPr>
            <w:r w:rsidRPr="0094346F">
              <w:rPr>
                <w:rFonts w:ascii="Times New Roman" w:hAnsi="Times New Roman"/>
                <w:b/>
                <w:bCs/>
                <w:color w:val="FFFFFF"/>
                <w:sz w:val="20"/>
              </w:rPr>
              <w:t>First Data Hours</w:t>
            </w:r>
          </w:p>
        </w:tc>
      </w:tr>
      <w:tr w:rsidR="0094346F" w:rsidRPr="0094346F" w14:paraId="581B8CC0"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0893EC9C" w14:textId="77777777" w:rsidR="0094346F" w:rsidRPr="0094346F" w:rsidRDefault="0094346F" w:rsidP="0094346F">
            <w:pPr>
              <w:rPr>
                <w:rFonts w:ascii="Times New Roman" w:hAnsi="Times New Roman"/>
                <w:sz w:val="20"/>
              </w:rPr>
            </w:pPr>
            <w:r w:rsidRPr="0094346F">
              <w:rPr>
                <w:rFonts w:ascii="Times New Roman" w:hAnsi="Times New Roman"/>
                <w:sz w:val="20"/>
              </w:rPr>
              <w:t>2013/2014 (01/2014-06/2014)</w:t>
            </w:r>
          </w:p>
        </w:tc>
        <w:tc>
          <w:tcPr>
            <w:tcW w:w="1620" w:type="dxa"/>
            <w:tcBorders>
              <w:top w:val="nil"/>
              <w:left w:val="nil"/>
              <w:bottom w:val="single" w:sz="4" w:space="0" w:color="auto"/>
              <w:right w:val="single" w:sz="4" w:space="0" w:color="auto"/>
            </w:tcBorders>
            <w:shd w:val="clear" w:color="auto" w:fill="auto"/>
            <w:noWrap/>
            <w:vAlign w:val="center"/>
            <w:hideMark/>
          </w:tcPr>
          <w:p w14:paraId="2DE8D40C"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0</w:t>
            </w:r>
          </w:p>
        </w:tc>
      </w:tr>
      <w:tr w:rsidR="0094346F" w:rsidRPr="0094346F" w14:paraId="479146E9"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33F38B06" w14:textId="77777777" w:rsidR="0094346F" w:rsidRPr="0094346F" w:rsidRDefault="0094346F" w:rsidP="0094346F">
            <w:pPr>
              <w:rPr>
                <w:rFonts w:ascii="Times New Roman" w:hAnsi="Times New Roman"/>
                <w:sz w:val="20"/>
              </w:rPr>
            </w:pPr>
            <w:r w:rsidRPr="0094346F">
              <w:rPr>
                <w:rFonts w:ascii="Times New Roman" w:hAnsi="Times New Roman"/>
                <w:sz w:val="20"/>
              </w:rPr>
              <w:t>2014/2015</w:t>
            </w:r>
          </w:p>
        </w:tc>
        <w:tc>
          <w:tcPr>
            <w:tcW w:w="1620" w:type="dxa"/>
            <w:tcBorders>
              <w:top w:val="nil"/>
              <w:left w:val="nil"/>
              <w:bottom w:val="single" w:sz="4" w:space="0" w:color="auto"/>
              <w:right w:val="single" w:sz="4" w:space="0" w:color="auto"/>
            </w:tcBorders>
            <w:shd w:val="clear" w:color="auto" w:fill="auto"/>
            <w:noWrap/>
            <w:vAlign w:val="center"/>
            <w:hideMark/>
          </w:tcPr>
          <w:p w14:paraId="212946E3"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3,024</w:t>
            </w:r>
          </w:p>
        </w:tc>
      </w:tr>
      <w:tr w:rsidR="0094346F" w:rsidRPr="0094346F" w14:paraId="5E741A86"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2B5A2752" w14:textId="77777777" w:rsidR="0094346F" w:rsidRPr="0094346F" w:rsidRDefault="0094346F" w:rsidP="0094346F">
            <w:pPr>
              <w:rPr>
                <w:rFonts w:ascii="Times New Roman" w:hAnsi="Times New Roman"/>
                <w:sz w:val="20"/>
              </w:rPr>
            </w:pPr>
            <w:r w:rsidRPr="0094346F">
              <w:rPr>
                <w:rFonts w:ascii="Times New Roman" w:hAnsi="Times New Roman"/>
                <w:sz w:val="20"/>
              </w:rPr>
              <w:t>2015/2016</w:t>
            </w:r>
          </w:p>
        </w:tc>
        <w:tc>
          <w:tcPr>
            <w:tcW w:w="1620" w:type="dxa"/>
            <w:tcBorders>
              <w:top w:val="nil"/>
              <w:left w:val="nil"/>
              <w:bottom w:val="single" w:sz="4" w:space="0" w:color="auto"/>
              <w:right w:val="single" w:sz="4" w:space="0" w:color="auto"/>
            </w:tcBorders>
            <w:shd w:val="clear" w:color="auto" w:fill="auto"/>
            <w:noWrap/>
            <w:vAlign w:val="center"/>
            <w:hideMark/>
          </w:tcPr>
          <w:p w14:paraId="3CA343FD"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3,024</w:t>
            </w:r>
          </w:p>
        </w:tc>
      </w:tr>
      <w:tr w:rsidR="0094346F" w:rsidRPr="0094346F" w14:paraId="65B2D0BD"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272A69D0" w14:textId="77777777" w:rsidR="0094346F" w:rsidRPr="0094346F" w:rsidRDefault="0094346F" w:rsidP="0094346F">
            <w:pPr>
              <w:rPr>
                <w:rFonts w:ascii="Times New Roman" w:hAnsi="Times New Roman"/>
                <w:sz w:val="20"/>
              </w:rPr>
            </w:pPr>
            <w:r w:rsidRPr="0094346F">
              <w:rPr>
                <w:rFonts w:ascii="Times New Roman" w:hAnsi="Times New Roman"/>
                <w:sz w:val="20"/>
              </w:rPr>
              <w:t>2016/2017 (6/2016-12/2016)</w:t>
            </w:r>
          </w:p>
        </w:tc>
        <w:tc>
          <w:tcPr>
            <w:tcW w:w="1620" w:type="dxa"/>
            <w:tcBorders>
              <w:top w:val="nil"/>
              <w:left w:val="nil"/>
              <w:bottom w:val="single" w:sz="4" w:space="0" w:color="auto"/>
              <w:right w:val="single" w:sz="4" w:space="0" w:color="auto"/>
            </w:tcBorders>
            <w:shd w:val="clear" w:color="auto" w:fill="auto"/>
            <w:noWrap/>
            <w:vAlign w:val="center"/>
            <w:hideMark/>
          </w:tcPr>
          <w:p w14:paraId="212A0FF4"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1,764</w:t>
            </w:r>
          </w:p>
        </w:tc>
      </w:tr>
      <w:tr w:rsidR="0094346F" w:rsidRPr="0094346F" w14:paraId="2F676489"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17FEDF58" w14:textId="77777777" w:rsidR="0094346F" w:rsidRPr="0094346F" w:rsidRDefault="0094346F" w:rsidP="0094346F">
            <w:pPr>
              <w:rPr>
                <w:rFonts w:ascii="Times New Roman" w:hAnsi="Times New Roman"/>
                <w:sz w:val="20"/>
              </w:rPr>
            </w:pPr>
            <w:r w:rsidRPr="0094346F">
              <w:rPr>
                <w:rFonts w:ascii="Times New Roman" w:hAnsi="Times New Roman"/>
                <w:sz w:val="20"/>
              </w:rPr>
              <w:t>2016/2017 (1/2017-06/2017)</w:t>
            </w:r>
          </w:p>
        </w:tc>
        <w:tc>
          <w:tcPr>
            <w:tcW w:w="1620" w:type="dxa"/>
            <w:tcBorders>
              <w:top w:val="nil"/>
              <w:left w:val="nil"/>
              <w:bottom w:val="single" w:sz="4" w:space="0" w:color="auto"/>
              <w:right w:val="single" w:sz="4" w:space="0" w:color="auto"/>
            </w:tcBorders>
            <w:shd w:val="clear" w:color="auto" w:fill="auto"/>
            <w:noWrap/>
            <w:vAlign w:val="center"/>
            <w:hideMark/>
          </w:tcPr>
          <w:p w14:paraId="27CAF00A"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1,260</w:t>
            </w:r>
          </w:p>
        </w:tc>
      </w:tr>
      <w:tr w:rsidR="0094346F" w:rsidRPr="0094346F" w14:paraId="475DFF00"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2C889863" w14:textId="77777777" w:rsidR="0094346F" w:rsidRPr="0094346F" w:rsidRDefault="0094346F" w:rsidP="0094346F">
            <w:pPr>
              <w:rPr>
                <w:rFonts w:ascii="Times New Roman" w:hAnsi="Times New Roman"/>
                <w:sz w:val="20"/>
              </w:rPr>
            </w:pPr>
            <w:r w:rsidRPr="0094346F">
              <w:rPr>
                <w:rFonts w:ascii="Times New Roman" w:hAnsi="Times New Roman"/>
                <w:sz w:val="20"/>
              </w:rPr>
              <w:t>2017/2018</w:t>
            </w:r>
          </w:p>
        </w:tc>
        <w:tc>
          <w:tcPr>
            <w:tcW w:w="1620" w:type="dxa"/>
            <w:tcBorders>
              <w:top w:val="nil"/>
              <w:left w:val="nil"/>
              <w:bottom w:val="single" w:sz="4" w:space="0" w:color="auto"/>
              <w:right w:val="single" w:sz="4" w:space="0" w:color="auto"/>
            </w:tcBorders>
            <w:shd w:val="clear" w:color="auto" w:fill="auto"/>
            <w:noWrap/>
            <w:vAlign w:val="center"/>
            <w:hideMark/>
          </w:tcPr>
          <w:p w14:paraId="0F4AE5C9"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3,024</w:t>
            </w:r>
          </w:p>
        </w:tc>
      </w:tr>
      <w:tr w:rsidR="0094346F" w:rsidRPr="0094346F" w14:paraId="3D88B8FD"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7C0C7891" w14:textId="77777777" w:rsidR="0094346F" w:rsidRPr="0094346F" w:rsidRDefault="0094346F" w:rsidP="0094346F">
            <w:pPr>
              <w:rPr>
                <w:rFonts w:ascii="Times New Roman" w:hAnsi="Times New Roman"/>
                <w:sz w:val="20"/>
              </w:rPr>
            </w:pPr>
            <w:r w:rsidRPr="0094346F">
              <w:rPr>
                <w:rFonts w:ascii="Times New Roman" w:hAnsi="Times New Roman"/>
                <w:sz w:val="20"/>
              </w:rPr>
              <w:t>2018/2019</w:t>
            </w:r>
          </w:p>
        </w:tc>
        <w:tc>
          <w:tcPr>
            <w:tcW w:w="1620" w:type="dxa"/>
            <w:tcBorders>
              <w:top w:val="nil"/>
              <w:left w:val="nil"/>
              <w:bottom w:val="single" w:sz="4" w:space="0" w:color="auto"/>
              <w:right w:val="single" w:sz="4" w:space="0" w:color="auto"/>
            </w:tcBorders>
            <w:shd w:val="clear" w:color="auto" w:fill="auto"/>
            <w:noWrap/>
            <w:vAlign w:val="center"/>
            <w:hideMark/>
          </w:tcPr>
          <w:p w14:paraId="057A3D27"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3,024</w:t>
            </w:r>
          </w:p>
        </w:tc>
      </w:tr>
      <w:tr w:rsidR="0094346F" w:rsidRPr="0094346F" w14:paraId="3642D696"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412DA81D" w14:textId="77777777" w:rsidR="0094346F" w:rsidRPr="0094346F" w:rsidRDefault="0094346F" w:rsidP="0094346F">
            <w:pPr>
              <w:rPr>
                <w:rFonts w:ascii="Times New Roman" w:hAnsi="Times New Roman"/>
                <w:sz w:val="20"/>
              </w:rPr>
            </w:pPr>
            <w:r w:rsidRPr="0094346F">
              <w:rPr>
                <w:rFonts w:ascii="Times New Roman" w:hAnsi="Times New Roman"/>
                <w:sz w:val="20"/>
              </w:rPr>
              <w:t>2019/2020 (6/2019-12/2019)</w:t>
            </w:r>
          </w:p>
        </w:tc>
        <w:tc>
          <w:tcPr>
            <w:tcW w:w="1620" w:type="dxa"/>
            <w:tcBorders>
              <w:top w:val="nil"/>
              <w:left w:val="nil"/>
              <w:bottom w:val="single" w:sz="4" w:space="0" w:color="auto"/>
              <w:right w:val="single" w:sz="4" w:space="0" w:color="auto"/>
            </w:tcBorders>
            <w:shd w:val="clear" w:color="auto" w:fill="auto"/>
            <w:noWrap/>
            <w:vAlign w:val="center"/>
            <w:hideMark/>
          </w:tcPr>
          <w:p w14:paraId="0F973116"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1,764</w:t>
            </w:r>
          </w:p>
        </w:tc>
      </w:tr>
      <w:tr w:rsidR="0094346F" w:rsidRPr="0094346F" w14:paraId="795F4550"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3D2EF7CF" w14:textId="77777777" w:rsidR="0094346F" w:rsidRPr="0094346F" w:rsidRDefault="0094346F" w:rsidP="0094346F">
            <w:pPr>
              <w:rPr>
                <w:rFonts w:ascii="Times New Roman" w:hAnsi="Times New Roman"/>
                <w:sz w:val="20"/>
              </w:rPr>
            </w:pPr>
            <w:r w:rsidRPr="0094346F">
              <w:rPr>
                <w:rFonts w:ascii="Times New Roman" w:hAnsi="Times New Roman"/>
                <w:sz w:val="20"/>
              </w:rPr>
              <w:t>2019/2020 (1/2020-06/2020)</w:t>
            </w:r>
          </w:p>
        </w:tc>
        <w:tc>
          <w:tcPr>
            <w:tcW w:w="1620" w:type="dxa"/>
            <w:tcBorders>
              <w:top w:val="nil"/>
              <w:left w:val="nil"/>
              <w:bottom w:val="single" w:sz="4" w:space="0" w:color="auto"/>
              <w:right w:val="single" w:sz="4" w:space="0" w:color="auto"/>
            </w:tcBorders>
            <w:shd w:val="clear" w:color="auto" w:fill="auto"/>
            <w:noWrap/>
            <w:vAlign w:val="center"/>
            <w:hideMark/>
          </w:tcPr>
          <w:p w14:paraId="4DE58655"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1,008</w:t>
            </w:r>
          </w:p>
        </w:tc>
      </w:tr>
      <w:tr w:rsidR="0094346F" w:rsidRPr="0094346F" w14:paraId="00C99490"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56F3177B" w14:textId="77777777" w:rsidR="0094346F" w:rsidRPr="0094346F" w:rsidRDefault="0094346F" w:rsidP="0094346F">
            <w:pPr>
              <w:rPr>
                <w:rFonts w:ascii="Times New Roman" w:hAnsi="Times New Roman"/>
                <w:sz w:val="20"/>
              </w:rPr>
            </w:pPr>
            <w:r w:rsidRPr="0094346F">
              <w:rPr>
                <w:rFonts w:ascii="Times New Roman" w:hAnsi="Times New Roman"/>
                <w:sz w:val="20"/>
              </w:rPr>
              <w:t>2020/2021</w:t>
            </w:r>
          </w:p>
        </w:tc>
        <w:tc>
          <w:tcPr>
            <w:tcW w:w="1620" w:type="dxa"/>
            <w:tcBorders>
              <w:top w:val="nil"/>
              <w:left w:val="nil"/>
              <w:bottom w:val="single" w:sz="4" w:space="0" w:color="auto"/>
              <w:right w:val="single" w:sz="4" w:space="0" w:color="auto"/>
            </w:tcBorders>
            <w:shd w:val="clear" w:color="auto" w:fill="auto"/>
            <w:noWrap/>
            <w:vAlign w:val="center"/>
            <w:hideMark/>
          </w:tcPr>
          <w:p w14:paraId="46D8A89E" w14:textId="77777777" w:rsidR="0094346F" w:rsidRPr="0094346F" w:rsidRDefault="0094346F" w:rsidP="0094346F">
            <w:pPr>
              <w:jc w:val="right"/>
              <w:rPr>
                <w:rFonts w:ascii="Times New Roman" w:hAnsi="Times New Roman"/>
                <w:color w:val="000000"/>
                <w:sz w:val="20"/>
              </w:rPr>
            </w:pPr>
            <w:r w:rsidRPr="0094346F">
              <w:rPr>
                <w:rFonts w:ascii="Times New Roman" w:hAnsi="Times New Roman"/>
                <w:color w:val="000000"/>
                <w:sz w:val="20"/>
              </w:rPr>
              <w:t>2,016</w:t>
            </w:r>
          </w:p>
        </w:tc>
      </w:tr>
      <w:tr w:rsidR="0094346F" w:rsidRPr="0094346F" w14:paraId="2775F9A7" w14:textId="77777777" w:rsidTr="00DF181B">
        <w:trPr>
          <w:trHeight w:val="300"/>
        </w:trPr>
        <w:tc>
          <w:tcPr>
            <w:tcW w:w="3078" w:type="dxa"/>
            <w:tcBorders>
              <w:top w:val="nil"/>
              <w:left w:val="single" w:sz="4" w:space="0" w:color="auto"/>
              <w:bottom w:val="single" w:sz="4" w:space="0" w:color="auto"/>
              <w:right w:val="single" w:sz="4" w:space="0" w:color="auto"/>
            </w:tcBorders>
            <w:shd w:val="clear" w:color="auto" w:fill="auto"/>
            <w:noWrap/>
            <w:vAlign w:val="center"/>
            <w:hideMark/>
          </w:tcPr>
          <w:p w14:paraId="5054FFA6" w14:textId="77777777" w:rsidR="0094346F" w:rsidRPr="0094346F" w:rsidRDefault="0094346F" w:rsidP="0094346F">
            <w:pPr>
              <w:rPr>
                <w:rFonts w:ascii="Times New Roman" w:hAnsi="Times New Roman"/>
                <w:b/>
                <w:bCs/>
                <w:sz w:val="20"/>
              </w:rPr>
            </w:pPr>
            <w:r w:rsidRPr="0094346F">
              <w:rPr>
                <w:rFonts w:ascii="Times New Roman" w:hAnsi="Times New Roman"/>
                <w:b/>
                <w:bCs/>
                <w:sz w:val="20"/>
              </w:rPr>
              <w:t>Total First Data Hours</w:t>
            </w:r>
          </w:p>
        </w:tc>
        <w:tc>
          <w:tcPr>
            <w:tcW w:w="1620" w:type="dxa"/>
            <w:tcBorders>
              <w:top w:val="nil"/>
              <w:left w:val="nil"/>
              <w:bottom w:val="single" w:sz="4" w:space="0" w:color="auto"/>
              <w:right w:val="single" w:sz="4" w:space="0" w:color="auto"/>
            </w:tcBorders>
            <w:shd w:val="clear" w:color="auto" w:fill="auto"/>
            <w:noWrap/>
            <w:vAlign w:val="center"/>
            <w:hideMark/>
          </w:tcPr>
          <w:p w14:paraId="67E06B01" w14:textId="77777777" w:rsidR="0094346F" w:rsidRPr="0094346F" w:rsidRDefault="0094346F" w:rsidP="0094346F">
            <w:pPr>
              <w:jc w:val="right"/>
              <w:rPr>
                <w:rFonts w:ascii="Times New Roman" w:hAnsi="Times New Roman"/>
                <w:b/>
                <w:bCs/>
                <w:color w:val="000000"/>
                <w:sz w:val="20"/>
              </w:rPr>
            </w:pPr>
            <w:r w:rsidRPr="0094346F">
              <w:rPr>
                <w:rFonts w:ascii="Times New Roman" w:hAnsi="Times New Roman"/>
                <w:b/>
                <w:bCs/>
                <w:color w:val="000000"/>
                <w:sz w:val="20"/>
              </w:rPr>
              <w:t>19,908</w:t>
            </w:r>
          </w:p>
        </w:tc>
      </w:tr>
    </w:tbl>
    <w:p w14:paraId="73F751E8" w14:textId="77777777" w:rsidR="0084275F" w:rsidRDefault="0084275F" w:rsidP="0084275F">
      <w:pPr>
        <w:pStyle w:val="BodyTextIndent2"/>
        <w:rPr>
          <w:sz w:val="18"/>
          <w:szCs w:val="16"/>
        </w:rPr>
      </w:pPr>
    </w:p>
    <w:p w14:paraId="720E341A" w14:textId="77777777" w:rsidR="0094346F" w:rsidRPr="00A567AB" w:rsidRDefault="0094346F" w:rsidP="0084275F">
      <w:pPr>
        <w:pStyle w:val="BodyTextIndent2"/>
        <w:rPr>
          <w:sz w:val="18"/>
          <w:szCs w:val="16"/>
        </w:rPr>
      </w:pPr>
    </w:p>
    <w:p w14:paraId="25F1CF58" w14:textId="77777777" w:rsidR="004A09A8" w:rsidRDefault="004A09A8" w:rsidP="001A5B98">
      <w:pPr>
        <w:pStyle w:val="BodyTextIndent2"/>
        <w:keepNext/>
        <w:numPr>
          <w:ilvl w:val="0"/>
          <w:numId w:val="5"/>
        </w:numPr>
        <w:rPr>
          <w:b/>
          <w:bCs/>
        </w:rPr>
      </w:pPr>
      <w:r>
        <w:rPr>
          <w:b/>
          <w:bCs/>
        </w:rPr>
        <w:t>Payment Schedule:</w:t>
      </w:r>
    </w:p>
    <w:p w14:paraId="48AC2D39" w14:textId="77777777" w:rsidR="00F06948" w:rsidRDefault="004A09A8" w:rsidP="00AB34B5">
      <w:pPr>
        <w:pStyle w:val="BodyTextIndent2"/>
        <w:numPr>
          <w:ilvl w:val="0"/>
          <w:numId w:val="13"/>
        </w:numPr>
        <w:spacing w:after="120"/>
        <w:rPr>
          <w:bCs/>
        </w:rPr>
      </w:pPr>
      <w:r w:rsidRPr="00B502D8">
        <w:rPr>
          <w:bCs/>
        </w:rPr>
        <w:t xml:space="preserve">The following table outlines the charges and invoicing timelines for Payment Milestones associated with the </w:t>
      </w:r>
      <w:r w:rsidR="00AB34B5" w:rsidRPr="00AB34B5">
        <w:rPr>
          <w:bCs/>
        </w:rPr>
        <w:t xml:space="preserve">QA </w:t>
      </w:r>
      <w:r>
        <w:rPr>
          <w:bCs/>
        </w:rPr>
        <w:t>Services</w:t>
      </w:r>
      <w:r w:rsidR="00E34485">
        <w:rPr>
          <w:bCs/>
        </w:rPr>
        <w:t xml:space="preserve"> during the D&amp;I phase</w:t>
      </w:r>
      <w:r>
        <w:rPr>
          <w:bCs/>
        </w:rPr>
        <w:t>.</w:t>
      </w:r>
    </w:p>
    <w:tbl>
      <w:tblPr>
        <w:tblW w:w="9270" w:type="dxa"/>
        <w:tblInd w:w="828" w:type="dxa"/>
        <w:tblLayout w:type="fixed"/>
        <w:tblLook w:val="04A0" w:firstRow="1" w:lastRow="0" w:firstColumn="1" w:lastColumn="0" w:noHBand="0" w:noVBand="1"/>
      </w:tblPr>
      <w:tblGrid>
        <w:gridCol w:w="450"/>
        <w:gridCol w:w="4230"/>
        <w:gridCol w:w="720"/>
        <w:gridCol w:w="1440"/>
        <w:gridCol w:w="1215"/>
        <w:gridCol w:w="1215"/>
      </w:tblGrid>
      <w:tr w:rsidR="00336814" w:rsidRPr="00336814" w14:paraId="76DEF545" w14:textId="77777777" w:rsidTr="00336814">
        <w:trPr>
          <w:trHeight w:val="330"/>
        </w:trPr>
        <w:tc>
          <w:tcPr>
            <w:tcW w:w="450"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04FBDC6" w14:textId="77777777" w:rsidR="00557A66" w:rsidRPr="00144249" w:rsidRDefault="00557A66" w:rsidP="003477E1">
            <w:pPr>
              <w:jc w:val="center"/>
              <w:rPr>
                <w:b/>
                <w:bCs/>
                <w:color w:val="FFFFFF" w:themeColor="background1"/>
                <w:szCs w:val="22"/>
              </w:rPr>
            </w:pPr>
            <w:r w:rsidRPr="00144249">
              <w:rPr>
                <w:b/>
                <w:bCs/>
                <w:color w:val="FFFFFF" w:themeColor="background1"/>
                <w:szCs w:val="22"/>
              </w:rPr>
              <w:t>#</w:t>
            </w:r>
          </w:p>
        </w:tc>
        <w:tc>
          <w:tcPr>
            <w:tcW w:w="4230" w:type="dxa"/>
            <w:tcBorders>
              <w:top w:val="single" w:sz="4" w:space="0" w:color="auto"/>
              <w:left w:val="nil"/>
              <w:bottom w:val="single" w:sz="4" w:space="0" w:color="auto"/>
              <w:right w:val="single" w:sz="4" w:space="0" w:color="auto"/>
            </w:tcBorders>
            <w:shd w:val="clear" w:color="auto" w:fill="1F497D" w:themeFill="text2"/>
            <w:vAlign w:val="center"/>
            <w:hideMark/>
          </w:tcPr>
          <w:p w14:paraId="5E301524" w14:textId="77777777" w:rsidR="00557A66" w:rsidRPr="00144249" w:rsidRDefault="00557A66" w:rsidP="00D67CD0">
            <w:pPr>
              <w:jc w:val="center"/>
              <w:rPr>
                <w:b/>
                <w:bCs/>
                <w:color w:val="FFFFFF" w:themeColor="background1"/>
                <w:szCs w:val="22"/>
              </w:rPr>
            </w:pPr>
            <w:r w:rsidRPr="00144249">
              <w:rPr>
                <w:b/>
                <w:bCs/>
                <w:color w:val="FFFFFF" w:themeColor="background1"/>
                <w:szCs w:val="22"/>
              </w:rPr>
              <w:t xml:space="preserve">C-IV </w:t>
            </w:r>
            <w:r w:rsidR="00D67CD0" w:rsidRPr="00144249">
              <w:rPr>
                <w:b/>
                <w:bCs/>
                <w:color w:val="FFFFFF" w:themeColor="background1"/>
                <w:szCs w:val="22"/>
              </w:rPr>
              <w:t>Central CCP Covered CA</w:t>
            </w:r>
            <w:r w:rsidR="00D67CD0" w:rsidRPr="00144249">
              <w:rPr>
                <w:color w:val="FFFFFF" w:themeColor="background1"/>
                <w:szCs w:val="22"/>
              </w:rPr>
              <w:t xml:space="preserve"> </w:t>
            </w:r>
            <w:r w:rsidRPr="00144249">
              <w:rPr>
                <w:b/>
                <w:bCs/>
                <w:color w:val="FFFFFF" w:themeColor="background1"/>
                <w:szCs w:val="22"/>
              </w:rPr>
              <w:t>Milestone Name</w:t>
            </w:r>
          </w:p>
        </w:tc>
        <w:tc>
          <w:tcPr>
            <w:tcW w:w="720" w:type="dxa"/>
            <w:tcBorders>
              <w:top w:val="single" w:sz="4" w:space="0" w:color="auto"/>
              <w:left w:val="nil"/>
              <w:bottom w:val="single" w:sz="4" w:space="0" w:color="auto"/>
              <w:right w:val="single" w:sz="4" w:space="0" w:color="auto"/>
            </w:tcBorders>
            <w:shd w:val="clear" w:color="auto" w:fill="1F497D" w:themeFill="text2"/>
            <w:vAlign w:val="center"/>
            <w:hideMark/>
          </w:tcPr>
          <w:p w14:paraId="75A7F977" w14:textId="77777777" w:rsidR="00557A66" w:rsidRPr="00144249" w:rsidRDefault="00557A66" w:rsidP="003477E1">
            <w:pPr>
              <w:jc w:val="center"/>
              <w:rPr>
                <w:b/>
                <w:bCs/>
                <w:color w:val="FFFFFF" w:themeColor="background1"/>
                <w:szCs w:val="22"/>
              </w:rPr>
            </w:pPr>
            <w:r w:rsidRPr="00144249">
              <w:rPr>
                <w:b/>
                <w:bCs/>
                <w:color w:val="FFFFFF" w:themeColor="background1"/>
                <w:szCs w:val="22"/>
              </w:rPr>
              <w:t>%</w:t>
            </w:r>
          </w:p>
        </w:tc>
        <w:tc>
          <w:tcPr>
            <w:tcW w:w="1440" w:type="dxa"/>
            <w:tcBorders>
              <w:top w:val="single" w:sz="4" w:space="0" w:color="auto"/>
              <w:left w:val="nil"/>
              <w:bottom w:val="single" w:sz="4" w:space="0" w:color="auto"/>
              <w:right w:val="single" w:sz="4" w:space="0" w:color="auto"/>
            </w:tcBorders>
            <w:shd w:val="clear" w:color="auto" w:fill="1F497D" w:themeFill="text2"/>
            <w:vAlign w:val="center"/>
            <w:hideMark/>
          </w:tcPr>
          <w:p w14:paraId="481A3FF1" w14:textId="77777777" w:rsidR="00557A66" w:rsidRPr="00144249" w:rsidRDefault="00557A66" w:rsidP="003477E1">
            <w:pPr>
              <w:jc w:val="center"/>
              <w:rPr>
                <w:b/>
                <w:bCs/>
                <w:color w:val="FFFFFF" w:themeColor="background1"/>
                <w:szCs w:val="22"/>
              </w:rPr>
            </w:pPr>
            <w:r w:rsidRPr="00144249">
              <w:rPr>
                <w:b/>
                <w:bCs/>
                <w:color w:val="FFFFFF" w:themeColor="background1"/>
                <w:szCs w:val="22"/>
              </w:rPr>
              <w:t>Due Date</w:t>
            </w:r>
          </w:p>
        </w:tc>
        <w:tc>
          <w:tcPr>
            <w:tcW w:w="1215"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3213E82E" w14:textId="77777777" w:rsidR="00557A66" w:rsidRPr="00144249" w:rsidRDefault="00557A66" w:rsidP="003477E1">
            <w:pPr>
              <w:jc w:val="center"/>
              <w:rPr>
                <w:b/>
                <w:bCs/>
                <w:color w:val="FFFFFF" w:themeColor="background1"/>
                <w:szCs w:val="22"/>
              </w:rPr>
            </w:pPr>
            <w:r w:rsidRPr="00144249">
              <w:rPr>
                <w:b/>
                <w:bCs/>
                <w:color w:val="FFFFFF" w:themeColor="background1"/>
                <w:szCs w:val="22"/>
              </w:rPr>
              <w:t>SFY 2013/14</w:t>
            </w:r>
          </w:p>
        </w:tc>
        <w:tc>
          <w:tcPr>
            <w:tcW w:w="1215"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40BEE834" w14:textId="77777777" w:rsidR="00557A66" w:rsidRPr="00144249" w:rsidRDefault="00557A66" w:rsidP="003477E1">
            <w:pPr>
              <w:jc w:val="center"/>
              <w:rPr>
                <w:b/>
                <w:bCs/>
                <w:color w:val="FFFFFF" w:themeColor="background1"/>
                <w:szCs w:val="22"/>
              </w:rPr>
            </w:pPr>
            <w:r w:rsidRPr="00144249">
              <w:rPr>
                <w:b/>
                <w:bCs/>
                <w:color w:val="FFFFFF" w:themeColor="background1"/>
                <w:szCs w:val="22"/>
              </w:rPr>
              <w:t>Total</w:t>
            </w:r>
          </w:p>
        </w:tc>
      </w:tr>
      <w:tr w:rsidR="00093A67" w:rsidRPr="00690986" w14:paraId="22C24EFB"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27444DC" w14:textId="77777777" w:rsidR="00557A66" w:rsidRPr="00690986" w:rsidRDefault="00557A66" w:rsidP="003477E1">
            <w:pPr>
              <w:jc w:val="center"/>
              <w:rPr>
                <w:szCs w:val="22"/>
              </w:rPr>
            </w:pPr>
            <w:r w:rsidRPr="00690986">
              <w:rPr>
                <w:szCs w:val="22"/>
              </w:rPr>
              <w:t>1</w:t>
            </w:r>
          </w:p>
        </w:tc>
        <w:tc>
          <w:tcPr>
            <w:tcW w:w="4230" w:type="dxa"/>
            <w:tcBorders>
              <w:top w:val="nil"/>
              <w:left w:val="nil"/>
              <w:bottom w:val="single" w:sz="4" w:space="0" w:color="auto"/>
              <w:right w:val="single" w:sz="4" w:space="0" w:color="auto"/>
            </w:tcBorders>
            <w:shd w:val="clear" w:color="auto" w:fill="auto"/>
            <w:vAlign w:val="center"/>
            <w:hideMark/>
          </w:tcPr>
          <w:p w14:paraId="2182A23C" w14:textId="77777777" w:rsidR="00557A66" w:rsidRPr="00690986" w:rsidRDefault="00557A66" w:rsidP="003477E1">
            <w:pPr>
              <w:rPr>
                <w:color w:val="000000"/>
                <w:szCs w:val="22"/>
              </w:rPr>
            </w:pPr>
            <w:r w:rsidRPr="00690986">
              <w:rPr>
                <w:color w:val="000000"/>
                <w:szCs w:val="22"/>
              </w:rPr>
              <w:t>Monthly Status Report - May 2013</w:t>
            </w:r>
          </w:p>
        </w:tc>
        <w:tc>
          <w:tcPr>
            <w:tcW w:w="720" w:type="dxa"/>
            <w:tcBorders>
              <w:top w:val="nil"/>
              <w:left w:val="nil"/>
              <w:bottom w:val="single" w:sz="4" w:space="0" w:color="auto"/>
              <w:right w:val="single" w:sz="4" w:space="0" w:color="auto"/>
            </w:tcBorders>
            <w:shd w:val="clear" w:color="auto" w:fill="auto"/>
            <w:vAlign w:val="center"/>
            <w:hideMark/>
          </w:tcPr>
          <w:p w14:paraId="2B96AA5F" w14:textId="77777777" w:rsidR="00557A66" w:rsidRPr="00690986" w:rsidRDefault="00557A66" w:rsidP="003477E1">
            <w:pPr>
              <w:jc w:val="center"/>
              <w:rPr>
                <w:color w:val="000000"/>
                <w:szCs w:val="22"/>
              </w:rPr>
            </w:pPr>
            <w:r w:rsidRPr="00690986">
              <w:rPr>
                <w:color w:val="000000"/>
                <w:szCs w:val="22"/>
              </w:rPr>
              <w:t>10%</w:t>
            </w:r>
          </w:p>
        </w:tc>
        <w:tc>
          <w:tcPr>
            <w:tcW w:w="1440" w:type="dxa"/>
            <w:tcBorders>
              <w:top w:val="nil"/>
              <w:left w:val="nil"/>
              <w:bottom w:val="single" w:sz="4" w:space="0" w:color="auto"/>
              <w:right w:val="single" w:sz="4" w:space="0" w:color="auto"/>
            </w:tcBorders>
            <w:shd w:val="clear" w:color="auto" w:fill="auto"/>
            <w:vAlign w:val="center"/>
            <w:hideMark/>
          </w:tcPr>
          <w:p w14:paraId="4E12B86E" w14:textId="77777777" w:rsidR="00557A66" w:rsidRPr="00690986" w:rsidRDefault="00557A66" w:rsidP="003477E1">
            <w:pPr>
              <w:jc w:val="center"/>
              <w:rPr>
                <w:color w:val="000000"/>
                <w:szCs w:val="22"/>
              </w:rPr>
            </w:pPr>
            <w:r w:rsidRPr="00690986">
              <w:rPr>
                <w:color w:val="000000"/>
                <w:szCs w:val="22"/>
              </w:rPr>
              <w:t>5/31/2013</w:t>
            </w:r>
          </w:p>
        </w:tc>
        <w:tc>
          <w:tcPr>
            <w:tcW w:w="1215" w:type="dxa"/>
            <w:tcBorders>
              <w:top w:val="nil"/>
              <w:left w:val="nil"/>
              <w:bottom w:val="single" w:sz="4" w:space="0" w:color="auto"/>
              <w:right w:val="single" w:sz="4" w:space="0" w:color="auto"/>
            </w:tcBorders>
            <w:shd w:val="clear" w:color="auto" w:fill="auto"/>
            <w:noWrap/>
            <w:vAlign w:val="center"/>
            <w:hideMark/>
          </w:tcPr>
          <w:p w14:paraId="3F3A3D76" w14:textId="77777777" w:rsidR="00557A66" w:rsidRPr="00690986" w:rsidRDefault="00557A66" w:rsidP="003477E1">
            <w:pPr>
              <w:jc w:val="right"/>
              <w:rPr>
                <w:szCs w:val="22"/>
              </w:rPr>
            </w:pPr>
            <w:r w:rsidRPr="00690986">
              <w:rPr>
                <w:szCs w:val="22"/>
              </w:rPr>
              <w:t xml:space="preserve">$34,020 </w:t>
            </w:r>
          </w:p>
        </w:tc>
        <w:tc>
          <w:tcPr>
            <w:tcW w:w="1215" w:type="dxa"/>
            <w:tcBorders>
              <w:top w:val="nil"/>
              <w:left w:val="nil"/>
              <w:bottom w:val="single" w:sz="4" w:space="0" w:color="auto"/>
              <w:right w:val="single" w:sz="4" w:space="0" w:color="auto"/>
            </w:tcBorders>
            <w:shd w:val="clear" w:color="auto" w:fill="auto"/>
            <w:noWrap/>
            <w:vAlign w:val="center"/>
            <w:hideMark/>
          </w:tcPr>
          <w:p w14:paraId="3854A81E" w14:textId="77777777" w:rsidR="00557A66" w:rsidRPr="00690986" w:rsidRDefault="00557A66" w:rsidP="003477E1">
            <w:pPr>
              <w:jc w:val="right"/>
              <w:rPr>
                <w:szCs w:val="22"/>
              </w:rPr>
            </w:pPr>
            <w:r w:rsidRPr="00690986">
              <w:rPr>
                <w:szCs w:val="22"/>
              </w:rPr>
              <w:t xml:space="preserve">$34,020 </w:t>
            </w:r>
          </w:p>
        </w:tc>
      </w:tr>
      <w:tr w:rsidR="00093A67" w:rsidRPr="00690986" w14:paraId="55B95922"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135CC2FC" w14:textId="77777777" w:rsidR="00557A66" w:rsidRPr="00690986" w:rsidRDefault="00557A66" w:rsidP="003477E1">
            <w:pPr>
              <w:jc w:val="center"/>
              <w:rPr>
                <w:szCs w:val="22"/>
              </w:rPr>
            </w:pPr>
            <w:r w:rsidRPr="00690986">
              <w:rPr>
                <w:szCs w:val="22"/>
              </w:rPr>
              <w:t>2</w:t>
            </w:r>
          </w:p>
        </w:tc>
        <w:tc>
          <w:tcPr>
            <w:tcW w:w="4230" w:type="dxa"/>
            <w:tcBorders>
              <w:top w:val="nil"/>
              <w:left w:val="nil"/>
              <w:bottom w:val="single" w:sz="4" w:space="0" w:color="auto"/>
              <w:right w:val="single" w:sz="4" w:space="0" w:color="auto"/>
            </w:tcBorders>
            <w:shd w:val="clear" w:color="auto" w:fill="auto"/>
            <w:vAlign w:val="center"/>
            <w:hideMark/>
          </w:tcPr>
          <w:p w14:paraId="68B1022E" w14:textId="77777777" w:rsidR="00557A66" w:rsidRPr="00690986" w:rsidRDefault="00557A66" w:rsidP="003477E1">
            <w:pPr>
              <w:rPr>
                <w:color w:val="000000"/>
                <w:szCs w:val="22"/>
              </w:rPr>
            </w:pPr>
            <w:r w:rsidRPr="00690986">
              <w:rPr>
                <w:color w:val="000000"/>
                <w:szCs w:val="22"/>
              </w:rPr>
              <w:t>Monthly Status Report - June 2013</w:t>
            </w:r>
          </w:p>
        </w:tc>
        <w:tc>
          <w:tcPr>
            <w:tcW w:w="720" w:type="dxa"/>
            <w:tcBorders>
              <w:top w:val="nil"/>
              <w:left w:val="nil"/>
              <w:bottom w:val="single" w:sz="4" w:space="0" w:color="auto"/>
              <w:right w:val="single" w:sz="4" w:space="0" w:color="auto"/>
            </w:tcBorders>
            <w:shd w:val="clear" w:color="auto" w:fill="auto"/>
            <w:vAlign w:val="center"/>
            <w:hideMark/>
          </w:tcPr>
          <w:p w14:paraId="69AD873C" w14:textId="77777777" w:rsidR="00557A66" w:rsidRPr="00690986" w:rsidRDefault="00557A66" w:rsidP="003477E1">
            <w:pPr>
              <w:jc w:val="center"/>
              <w:rPr>
                <w:color w:val="000000"/>
                <w:szCs w:val="22"/>
              </w:rPr>
            </w:pPr>
            <w:r w:rsidRPr="00690986">
              <w:rPr>
                <w:color w:val="000000"/>
                <w:szCs w:val="22"/>
              </w:rPr>
              <w:t>10%</w:t>
            </w:r>
          </w:p>
        </w:tc>
        <w:tc>
          <w:tcPr>
            <w:tcW w:w="1440" w:type="dxa"/>
            <w:tcBorders>
              <w:top w:val="nil"/>
              <w:left w:val="nil"/>
              <w:bottom w:val="single" w:sz="4" w:space="0" w:color="auto"/>
              <w:right w:val="single" w:sz="4" w:space="0" w:color="auto"/>
            </w:tcBorders>
            <w:shd w:val="clear" w:color="auto" w:fill="auto"/>
            <w:vAlign w:val="center"/>
            <w:hideMark/>
          </w:tcPr>
          <w:p w14:paraId="4129F18C" w14:textId="77777777" w:rsidR="00557A66" w:rsidRPr="00690986" w:rsidRDefault="00557A66" w:rsidP="003477E1">
            <w:pPr>
              <w:jc w:val="center"/>
              <w:rPr>
                <w:color w:val="000000"/>
                <w:szCs w:val="22"/>
              </w:rPr>
            </w:pPr>
            <w:r w:rsidRPr="00690986">
              <w:rPr>
                <w:color w:val="000000"/>
                <w:szCs w:val="22"/>
              </w:rPr>
              <w:t>6/28/2013</w:t>
            </w:r>
          </w:p>
        </w:tc>
        <w:tc>
          <w:tcPr>
            <w:tcW w:w="1215" w:type="dxa"/>
            <w:tcBorders>
              <w:top w:val="nil"/>
              <w:left w:val="nil"/>
              <w:bottom w:val="single" w:sz="4" w:space="0" w:color="auto"/>
              <w:right w:val="single" w:sz="4" w:space="0" w:color="auto"/>
            </w:tcBorders>
            <w:shd w:val="clear" w:color="auto" w:fill="auto"/>
            <w:noWrap/>
            <w:vAlign w:val="center"/>
            <w:hideMark/>
          </w:tcPr>
          <w:p w14:paraId="01245F28" w14:textId="77777777" w:rsidR="00557A66" w:rsidRPr="00690986" w:rsidRDefault="00557A66" w:rsidP="003477E1">
            <w:pPr>
              <w:jc w:val="right"/>
              <w:rPr>
                <w:szCs w:val="22"/>
              </w:rPr>
            </w:pPr>
            <w:r w:rsidRPr="00690986">
              <w:rPr>
                <w:szCs w:val="22"/>
              </w:rPr>
              <w:t xml:space="preserve">$34,020 </w:t>
            </w:r>
          </w:p>
        </w:tc>
        <w:tc>
          <w:tcPr>
            <w:tcW w:w="1215" w:type="dxa"/>
            <w:tcBorders>
              <w:top w:val="nil"/>
              <w:left w:val="nil"/>
              <w:bottom w:val="single" w:sz="4" w:space="0" w:color="auto"/>
              <w:right w:val="single" w:sz="4" w:space="0" w:color="auto"/>
            </w:tcBorders>
            <w:shd w:val="clear" w:color="auto" w:fill="auto"/>
            <w:noWrap/>
            <w:vAlign w:val="center"/>
            <w:hideMark/>
          </w:tcPr>
          <w:p w14:paraId="6B632618" w14:textId="77777777" w:rsidR="00557A66" w:rsidRPr="00690986" w:rsidRDefault="00557A66" w:rsidP="003477E1">
            <w:pPr>
              <w:jc w:val="right"/>
              <w:rPr>
                <w:szCs w:val="22"/>
              </w:rPr>
            </w:pPr>
            <w:r w:rsidRPr="00690986">
              <w:rPr>
                <w:szCs w:val="22"/>
              </w:rPr>
              <w:t xml:space="preserve">$34,020 </w:t>
            </w:r>
          </w:p>
        </w:tc>
      </w:tr>
      <w:tr w:rsidR="00093A67" w:rsidRPr="00690986" w14:paraId="6D3480DA"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429D60D1" w14:textId="77777777" w:rsidR="00557A66" w:rsidRPr="00690986" w:rsidRDefault="00557A66" w:rsidP="003477E1">
            <w:pPr>
              <w:jc w:val="center"/>
              <w:rPr>
                <w:szCs w:val="22"/>
              </w:rPr>
            </w:pPr>
            <w:r w:rsidRPr="00690986">
              <w:rPr>
                <w:szCs w:val="22"/>
              </w:rPr>
              <w:t>3</w:t>
            </w:r>
          </w:p>
        </w:tc>
        <w:tc>
          <w:tcPr>
            <w:tcW w:w="4230" w:type="dxa"/>
            <w:tcBorders>
              <w:top w:val="nil"/>
              <w:left w:val="nil"/>
              <w:bottom w:val="single" w:sz="4" w:space="0" w:color="auto"/>
              <w:right w:val="single" w:sz="4" w:space="0" w:color="auto"/>
            </w:tcBorders>
            <w:shd w:val="clear" w:color="auto" w:fill="auto"/>
            <w:vAlign w:val="center"/>
            <w:hideMark/>
          </w:tcPr>
          <w:p w14:paraId="2A98083F" w14:textId="77777777" w:rsidR="00557A66" w:rsidRPr="00690986" w:rsidRDefault="00557A66" w:rsidP="003477E1">
            <w:pPr>
              <w:rPr>
                <w:color w:val="000000"/>
                <w:szCs w:val="22"/>
              </w:rPr>
            </w:pPr>
            <w:r w:rsidRPr="00690986">
              <w:rPr>
                <w:color w:val="000000"/>
                <w:szCs w:val="22"/>
              </w:rPr>
              <w:t>Monthly Status Report - July 2013</w:t>
            </w:r>
          </w:p>
        </w:tc>
        <w:tc>
          <w:tcPr>
            <w:tcW w:w="720" w:type="dxa"/>
            <w:tcBorders>
              <w:top w:val="nil"/>
              <w:left w:val="nil"/>
              <w:bottom w:val="single" w:sz="4" w:space="0" w:color="auto"/>
              <w:right w:val="single" w:sz="4" w:space="0" w:color="auto"/>
            </w:tcBorders>
            <w:shd w:val="clear" w:color="auto" w:fill="auto"/>
            <w:vAlign w:val="center"/>
            <w:hideMark/>
          </w:tcPr>
          <w:p w14:paraId="258115F5" w14:textId="77777777" w:rsidR="00557A66" w:rsidRPr="00690986" w:rsidRDefault="00557A66" w:rsidP="003477E1">
            <w:pPr>
              <w:jc w:val="center"/>
              <w:rPr>
                <w:color w:val="000000"/>
                <w:szCs w:val="22"/>
              </w:rPr>
            </w:pPr>
            <w:r w:rsidRPr="00690986">
              <w:rPr>
                <w:color w:val="000000"/>
                <w:szCs w:val="22"/>
              </w:rPr>
              <w:t>12%</w:t>
            </w:r>
          </w:p>
        </w:tc>
        <w:tc>
          <w:tcPr>
            <w:tcW w:w="1440" w:type="dxa"/>
            <w:tcBorders>
              <w:top w:val="nil"/>
              <w:left w:val="nil"/>
              <w:bottom w:val="single" w:sz="4" w:space="0" w:color="auto"/>
              <w:right w:val="single" w:sz="4" w:space="0" w:color="auto"/>
            </w:tcBorders>
            <w:shd w:val="clear" w:color="auto" w:fill="auto"/>
            <w:vAlign w:val="center"/>
            <w:hideMark/>
          </w:tcPr>
          <w:p w14:paraId="64340CE7" w14:textId="77777777" w:rsidR="00557A66" w:rsidRPr="00690986" w:rsidRDefault="00557A66" w:rsidP="003477E1">
            <w:pPr>
              <w:jc w:val="center"/>
              <w:rPr>
                <w:color w:val="000000"/>
                <w:szCs w:val="22"/>
              </w:rPr>
            </w:pPr>
            <w:r w:rsidRPr="00690986">
              <w:rPr>
                <w:color w:val="000000"/>
                <w:szCs w:val="22"/>
              </w:rPr>
              <w:t>7/31/2013</w:t>
            </w:r>
          </w:p>
        </w:tc>
        <w:tc>
          <w:tcPr>
            <w:tcW w:w="1215" w:type="dxa"/>
            <w:tcBorders>
              <w:top w:val="nil"/>
              <w:left w:val="nil"/>
              <w:bottom w:val="single" w:sz="4" w:space="0" w:color="auto"/>
              <w:right w:val="single" w:sz="4" w:space="0" w:color="auto"/>
            </w:tcBorders>
            <w:shd w:val="clear" w:color="auto" w:fill="auto"/>
            <w:noWrap/>
            <w:vAlign w:val="center"/>
            <w:hideMark/>
          </w:tcPr>
          <w:p w14:paraId="3BDFDCE6" w14:textId="77777777" w:rsidR="00557A66" w:rsidRPr="00690986" w:rsidRDefault="00557A66" w:rsidP="003477E1">
            <w:pPr>
              <w:jc w:val="right"/>
              <w:rPr>
                <w:szCs w:val="22"/>
              </w:rPr>
            </w:pPr>
            <w:r w:rsidRPr="00690986">
              <w:rPr>
                <w:szCs w:val="22"/>
              </w:rPr>
              <w:t xml:space="preserve">$40,824 </w:t>
            </w:r>
          </w:p>
        </w:tc>
        <w:tc>
          <w:tcPr>
            <w:tcW w:w="1215" w:type="dxa"/>
            <w:tcBorders>
              <w:top w:val="nil"/>
              <w:left w:val="nil"/>
              <w:bottom w:val="single" w:sz="4" w:space="0" w:color="auto"/>
              <w:right w:val="single" w:sz="4" w:space="0" w:color="auto"/>
            </w:tcBorders>
            <w:shd w:val="clear" w:color="auto" w:fill="auto"/>
            <w:noWrap/>
            <w:vAlign w:val="center"/>
            <w:hideMark/>
          </w:tcPr>
          <w:p w14:paraId="162A3B60" w14:textId="77777777" w:rsidR="00557A66" w:rsidRPr="00690986" w:rsidRDefault="00557A66" w:rsidP="003477E1">
            <w:pPr>
              <w:jc w:val="right"/>
              <w:rPr>
                <w:szCs w:val="22"/>
              </w:rPr>
            </w:pPr>
            <w:r w:rsidRPr="00690986">
              <w:rPr>
                <w:szCs w:val="22"/>
              </w:rPr>
              <w:t xml:space="preserve">$40,824 </w:t>
            </w:r>
          </w:p>
        </w:tc>
      </w:tr>
      <w:tr w:rsidR="00093A67" w:rsidRPr="00690986" w14:paraId="1485EDB8"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12402721" w14:textId="77777777" w:rsidR="00557A66" w:rsidRPr="00690986" w:rsidRDefault="00557A66" w:rsidP="003477E1">
            <w:pPr>
              <w:jc w:val="center"/>
              <w:rPr>
                <w:szCs w:val="22"/>
              </w:rPr>
            </w:pPr>
            <w:r w:rsidRPr="00690986">
              <w:rPr>
                <w:szCs w:val="22"/>
              </w:rPr>
              <w:t>4</w:t>
            </w:r>
          </w:p>
        </w:tc>
        <w:tc>
          <w:tcPr>
            <w:tcW w:w="4230" w:type="dxa"/>
            <w:tcBorders>
              <w:top w:val="nil"/>
              <w:left w:val="nil"/>
              <w:bottom w:val="single" w:sz="4" w:space="0" w:color="auto"/>
              <w:right w:val="single" w:sz="4" w:space="0" w:color="auto"/>
            </w:tcBorders>
            <w:shd w:val="clear" w:color="auto" w:fill="auto"/>
            <w:vAlign w:val="center"/>
            <w:hideMark/>
          </w:tcPr>
          <w:p w14:paraId="4229E140" w14:textId="77777777" w:rsidR="00557A66" w:rsidRPr="00690986" w:rsidRDefault="00557A66" w:rsidP="003477E1">
            <w:pPr>
              <w:rPr>
                <w:color w:val="000000"/>
                <w:szCs w:val="22"/>
              </w:rPr>
            </w:pPr>
            <w:r w:rsidRPr="00690986">
              <w:rPr>
                <w:color w:val="000000"/>
                <w:szCs w:val="22"/>
              </w:rPr>
              <w:t>Monthly Status Report - August 2013</w:t>
            </w:r>
          </w:p>
        </w:tc>
        <w:tc>
          <w:tcPr>
            <w:tcW w:w="720" w:type="dxa"/>
            <w:tcBorders>
              <w:top w:val="nil"/>
              <w:left w:val="nil"/>
              <w:bottom w:val="single" w:sz="4" w:space="0" w:color="auto"/>
              <w:right w:val="single" w:sz="4" w:space="0" w:color="auto"/>
            </w:tcBorders>
            <w:shd w:val="clear" w:color="auto" w:fill="auto"/>
            <w:vAlign w:val="center"/>
            <w:hideMark/>
          </w:tcPr>
          <w:p w14:paraId="5BB319EF" w14:textId="77777777" w:rsidR="00557A66" w:rsidRPr="00690986" w:rsidRDefault="00557A66" w:rsidP="003477E1">
            <w:pPr>
              <w:jc w:val="center"/>
              <w:rPr>
                <w:color w:val="000000"/>
                <w:szCs w:val="22"/>
              </w:rPr>
            </w:pPr>
            <w:r w:rsidRPr="00690986">
              <w:rPr>
                <w:color w:val="000000"/>
                <w:szCs w:val="22"/>
              </w:rPr>
              <w:t>15%</w:t>
            </w:r>
          </w:p>
        </w:tc>
        <w:tc>
          <w:tcPr>
            <w:tcW w:w="1440" w:type="dxa"/>
            <w:tcBorders>
              <w:top w:val="nil"/>
              <w:left w:val="nil"/>
              <w:bottom w:val="single" w:sz="4" w:space="0" w:color="auto"/>
              <w:right w:val="single" w:sz="4" w:space="0" w:color="auto"/>
            </w:tcBorders>
            <w:shd w:val="clear" w:color="auto" w:fill="auto"/>
            <w:vAlign w:val="center"/>
            <w:hideMark/>
          </w:tcPr>
          <w:p w14:paraId="00F6BCD2" w14:textId="77777777" w:rsidR="00557A66" w:rsidRPr="00690986" w:rsidRDefault="00557A66" w:rsidP="003477E1">
            <w:pPr>
              <w:jc w:val="center"/>
              <w:rPr>
                <w:color w:val="000000"/>
                <w:szCs w:val="22"/>
              </w:rPr>
            </w:pPr>
            <w:r w:rsidRPr="00690986">
              <w:rPr>
                <w:color w:val="000000"/>
                <w:szCs w:val="22"/>
              </w:rPr>
              <w:t>8/30/2013</w:t>
            </w:r>
          </w:p>
        </w:tc>
        <w:tc>
          <w:tcPr>
            <w:tcW w:w="1215" w:type="dxa"/>
            <w:tcBorders>
              <w:top w:val="nil"/>
              <w:left w:val="nil"/>
              <w:bottom w:val="single" w:sz="4" w:space="0" w:color="auto"/>
              <w:right w:val="single" w:sz="4" w:space="0" w:color="auto"/>
            </w:tcBorders>
            <w:shd w:val="clear" w:color="auto" w:fill="auto"/>
            <w:noWrap/>
            <w:vAlign w:val="center"/>
            <w:hideMark/>
          </w:tcPr>
          <w:p w14:paraId="14B67359" w14:textId="77777777" w:rsidR="00557A66" w:rsidRPr="00690986" w:rsidRDefault="00557A66" w:rsidP="003477E1">
            <w:pPr>
              <w:jc w:val="right"/>
              <w:rPr>
                <w:szCs w:val="22"/>
              </w:rPr>
            </w:pPr>
            <w:r w:rsidRPr="00690986">
              <w:rPr>
                <w:szCs w:val="22"/>
              </w:rPr>
              <w:t xml:space="preserve">$51,030 </w:t>
            </w:r>
          </w:p>
        </w:tc>
        <w:tc>
          <w:tcPr>
            <w:tcW w:w="1215" w:type="dxa"/>
            <w:tcBorders>
              <w:top w:val="nil"/>
              <w:left w:val="nil"/>
              <w:bottom w:val="single" w:sz="4" w:space="0" w:color="auto"/>
              <w:right w:val="single" w:sz="4" w:space="0" w:color="auto"/>
            </w:tcBorders>
            <w:shd w:val="clear" w:color="auto" w:fill="auto"/>
            <w:noWrap/>
            <w:vAlign w:val="center"/>
            <w:hideMark/>
          </w:tcPr>
          <w:p w14:paraId="3673D382" w14:textId="77777777" w:rsidR="00557A66" w:rsidRPr="00690986" w:rsidRDefault="00557A66" w:rsidP="003477E1">
            <w:pPr>
              <w:jc w:val="right"/>
              <w:rPr>
                <w:szCs w:val="22"/>
              </w:rPr>
            </w:pPr>
            <w:r w:rsidRPr="00690986">
              <w:rPr>
                <w:szCs w:val="22"/>
              </w:rPr>
              <w:t xml:space="preserve">$51,030 </w:t>
            </w:r>
          </w:p>
        </w:tc>
      </w:tr>
      <w:tr w:rsidR="00093A67" w:rsidRPr="00690986" w14:paraId="0613B652"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70FD7293" w14:textId="77777777" w:rsidR="00557A66" w:rsidRPr="00690986" w:rsidRDefault="00557A66" w:rsidP="003477E1">
            <w:pPr>
              <w:jc w:val="center"/>
              <w:rPr>
                <w:szCs w:val="22"/>
              </w:rPr>
            </w:pPr>
            <w:r w:rsidRPr="00690986">
              <w:rPr>
                <w:szCs w:val="22"/>
              </w:rPr>
              <w:t>5</w:t>
            </w:r>
          </w:p>
        </w:tc>
        <w:tc>
          <w:tcPr>
            <w:tcW w:w="4230" w:type="dxa"/>
            <w:tcBorders>
              <w:top w:val="nil"/>
              <w:left w:val="nil"/>
              <w:bottom w:val="single" w:sz="4" w:space="0" w:color="auto"/>
              <w:right w:val="single" w:sz="4" w:space="0" w:color="auto"/>
            </w:tcBorders>
            <w:shd w:val="clear" w:color="auto" w:fill="auto"/>
            <w:vAlign w:val="center"/>
            <w:hideMark/>
          </w:tcPr>
          <w:p w14:paraId="46215D39" w14:textId="77777777" w:rsidR="00557A66" w:rsidRPr="00690986" w:rsidRDefault="00557A66" w:rsidP="003477E1">
            <w:pPr>
              <w:rPr>
                <w:color w:val="000000"/>
                <w:szCs w:val="22"/>
              </w:rPr>
            </w:pPr>
            <w:r w:rsidRPr="00690986">
              <w:rPr>
                <w:color w:val="000000"/>
                <w:szCs w:val="22"/>
              </w:rPr>
              <w:t>Monthly Status Report - September 2013</w:t>
            </w:r>
          </w:p>
        </w:tc>
        <w:tc>
          <w:tcPr>
            <w:tcW w:w="720" w:type="dxa"/>
            <w:tcBorders>
              <w:top w:val="nil"/>
              <w:left w:val="nil"/>
              <w:bottom w:val="single" w:sz="4" w:space="0" w:color="auto"/>
              <w:right w:val="single" w:sz="4" w:space="0" w:color="auto"/>
            </w:tcBorders>
            <w:shd w:val="clear" w:color="auto" w:fill="auto"/>
            <w:vAlign w:val="center"/>
            <w:hideMark/>
          </w:tcPr>
          <w:p w14:paraId="09023C3C" w14:textId="77777777" w:rsidR="00557A66" w:rsidRPr="00690986" w:rsidRDefault="00557A66" w:rsidP="003477E1">
            <w:pPr>
              <w:jc w:val="center"/>
              <w:rPr>
                <w:color w:val="000000"/>
                <w:szCs w:val="22"/>
              </w:rPr>
            </w:pPr>
            <w:r w:rsidRPr="00690986">
              <w:rPr>
                <w:color w:val="000000"/>
                <w:szCs w:val="22"/>
              </w:rPr>
              <w:t>15%</w:t>
            </w:r>
          </w:p>
        </w:tc>
        <w:tc>
          <w:tcPr>
            <w:tcW w:w="1440" w:type="dxa"/>
            <w:tcBorders>
              <w:top w:val="nil"/>
              <w:left w:val="nil"/>
              <w:bottom w:val="single" w:sz="4" w:space="0" w:color="auto"/>
              <w:right w:val="single" w:sz="4" w:space="0" w:color="auto"/>
            </w:tcBorders>
            <w:shd w:val="clear" w:color="auto" w:fill="auto"/>
            <w:vAlign w:val="center"/>
            <w:hideMark/>
          </w:tcPr>
          <w:p w14:paraId="35CD8C2F" w14:textId="77777777" w:rsidR="00557A66" w:rsidRPr="00690986" w:rsidRDefault="00557A66" w:rsidP="003477E1">
            <w:pPr>
              <w:jc w:val="center"/>
              <w:rPr>
                <w:color w:val="000000"/>
                <w:szCs w:val="22"/>
              </w:rPr>
            </w:pPr>
            <w:r w:rsidRPr="00690986">
              <w:rPr>
                <w:color w:val="000000"/>
                <w:szCs w:val="22"/>
              </w:rPr>
              <w:t>9/30/2013</w:t>
            </w:r>
          </w:p>
        </w:tc>
        <w:tc>
          <w:tcPr>
            <w:tcW w:w="1215" w:type="dxa"/>
            <w:tcBorders>
              <w:top w:val="nil"/>
              <w:left w:val="nil"/>
              <w:bottom w:val="single" w:sz="4" w:space="0" w:color="auto"/>
              <w:right w:val="single" w:sz="4" w:space="0" w:color="auto"/>
            </w:tcBorders>
            <w:shd w:val="clear" w:color="auto" w:fill="auto"/>
            <w:noWrap/>
            <w:vAlign w:val="center"/>
            <w:hideMark/>
          </w:tcPr>
          <w:p w14:paraId="2987BE5E" w14:textId="77777777" w:rsidR="00557A66" w:rsidRPr="00690986" w:rsidRDefault="00557A66" w:rsidP="003477E1">
            <w:pPr>
              <w:jc w:val="right"/>
              <w:rPr>
                <w:szCs w:val="22"/>
              </w:rPr>
            </w:pPr>
            <w:r w:rsidRPr="00690986">
              <w:rPr>
                <w:szCs w:val="22"/>
              </w:rPr>
              <w:t xml:space="preserve">$51,030 </w:t>
            </w:r>
          </w:p>
        </w:tc>
        <w:tc>
          <w:tcPr>
            <w:tcW w:w="1215" w:type="dxa"/>
            <w:tcBorders>
              <w:top w:val="nil"/>
              <w:left w:val="nil"/>
              <w:bottom w:val="single" w:sz="4" w:space="0" w:color="auto"/>
              <w:right w:val="single" w:sz="4" w:space="0" w:color="auto"/>
            </w:tcBorders>
            <w:shd w:val="clear" w:color="auto" w:fill="auto"/>
            <w:noWrap/>
            <w:vAlign w:val="center"/>
            <w:hideMark/>
          </w:tcPr>
          <w:p w14:paraId="579EE713" w14:textId="77777777" w:rsidR="00557A66" w:rsidRPr="00690986" w:rsidRDefault="00557A66" w:rsidP="003477E1">
            <w:pPr>
              <w:jc w:val="right"/>
              <w:rPr>
                <w:szCs w:val="22"/>
              </w:rPr>
            </w:pPr>
            <w:r w:rsidRPr="00690986">
              <w:rPr>
                <w:szCs w:val="22"/>
              </w:rPr>
              <w:t xml:space="preserve">$51,030 </w:t>
            </w:r>
          </w:p>
        </w:tc>
      </w:tr>
      <w:tr w:rsidR="00093A67" w:rsidRPr="00690986" w14:paraId="4E95B8A9"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D462947" w14:textId="77777777" w:rsidR="00557A66" w:rsidRPr="00690986" w:rsidRDefault="00557A66" w:rsidP="003477E1">
            <w:pPr>
              <w:jc w:val="center"/>
              <w:rPr>
                <w:szCs w:val="22"/>
              </w:rPr>
            </w:pPr>
            <w:r w:rsidRPr="00690986">
              <w:rPr>
                <w:szCs w:val="22"/>
              </w:rPr>
              <w:t>6</w:t>
            </w:r>
          </w:p>
        </w:tc>
        <w:tc>
          <w:tcPr>
            <w:tcW w:w="4230" w:type="dxa"/>
            <w:tcBorders>
              <w:top w:val="nil"/>
              <w:left w:val="nil"/>
              <w:bottom w:val="single" w:sz="4" w:space="0" w:color="auto"/>
              <w:right w:val="single" w:sz="4" w:space="0" w:color="auto"/>
            </w:tcBorders>
            <w:shd w:val="clear" w:color="auto" w:fill="auto"/>
            <w:vAlign w:val="center"/>
            <w:hideMark/>
          </w:tcPr>
          <w:p w14:paraId="47AA5931" w14:textId="77777777" w:rsidR="00557A66" w:rsidRPr="00690986" w:rsidRDefault="00557A66" w:rsidP="003477E1">
            <w:pPr>
              <w:rPr>
                <w:color w:val="000000"/>
                <w:szCs w:val="22"/>
              </w:rPr>
            </w:pPr>
            <w:r w:rsidRPr="00690986">
              <w:rPr>
                <w:color w:val="000000"/>
                <w:szCs w:val="22"/>
              </w:rPr>
              <w:t>Monthly Status Report - October 2013</w:t>
            </w:r>
          </w:p>
        </w:tc>
        <w:tc>
          <w:tcPr>
            <w:tcW w:w="720" w:type="dxa"/>
            <w:tcBorders>
              <w:top w:val="nil"/>
              <w:left w:val="nil"/>
              <w:bottom w:val="single" w:sz="4" w:space="0" w:color="auto"/>
              <w:right w:val="single" w:sz="4" w:space="0" w:color="auto"/>
            </w:tcBorders>
            <w:shd w:val="clear" w:color="auto" w:fill="auto"/>
            <w:vAlign w:val="center"/>
            <w:hideMark/>
          </w:tcPr>
          <w:p w14:paraId="6D2C82D1" w14:textId="77777777" w:rsidR="00557A66" w:rsidRPr="00690986" w:rsidRDefault="00557A66" w:rsidP="003477E1">
            <w:pPr>
              <w:jc w:val="center"/>
              <w:rPr>
                <w:color w:val="000000"/>
                <w:szCs w:val="22"/>
              </w:rPr>
            </w:pPr>
            <w:r w:rsidRPr="00690986">
              <w:rPr>
                <w:color w:val="000000"/>
                <w:szCs w:val="22"/>
              </w:rPr>
              <w:t>15%</w:t>
            </w:r>
          </w:p>
        </w:tc>
        <w:tc>
          <w:tcPr>
            <w:tcW w:w="1440" w:type="dxa"/>
            <w:tcBorders>
              <w:top w:val="nil"/>
              <w:left w:val="nil"/>
              <w:bottom w:val="single" w:sz="4" w:space="0" w:color="auto"/>
              <w:right w:val="single" w:sz="4" w:space="0" w:color="auto"/>
            </w:tcBorders>
            <w:shd w:val="clear" w:color="auto" w:fill="auto"/>
            <w:vAlign w:val="center"/>
            <w:hideMark/>
          </w:tcPr>
          <w:p w14:paraId="5FA379D8" w14:textId="77777777" w:rsidR="00557A66" w:rsidRPr="00690986" w:rsidRDefault="00557A66" w:rsidP="003477E1">
            <w:pPr>
              <w:jc w:val="center"/>
              <w:rPr>
                <w:color w:val="000000"/>
                <w:szCs w:val="22"/>
              </w:rPr>
            </w:pPr>
            <w:r w:rsidRPr="00690986">
              <w:rPr>
                <w:color w:val="000000"/>
                <w:szCs w:val="22"/>
              </w:rPr>
              <w:t>10/31/2013</w:t>
            </w:r>
          </w:p>
        </w:tc>
        <w:tc>
          <w:tcPr>
            <w:tcW w:w="1215" w:type="dxa"/>
            <w:tcBorders>
              <w:top w:val="nil"/>
              <w:left w:val="nil"/>
              <w:bottom w:val="single" w:sz="4" w:space="0" w:color="auto"/>
              <w:right w:val="single" w:sz="4" w:space="0" w:color="auto"/>
            </w:tcBorders>
            <w:shd w:val="clear" w:color="auto" w:fill="auto"/>
            <w:noWrap/>
            <w:vAlign w:val="center"/>
            <w:hideMark/>
          </w:tcPr>
          <w:p w14:paraId="1D863F4B" w14:textId="77777777" w:rsidR="00557A66" w:rsidRPr="00690986" w:rsidRDefault="00557A66" w:rsidP="003477E1">
            <w:pPr>
              <w:jc w:val="right"/>
              <w:rPr>
                <w:szCs w:val="22"/>
              </w:rPr>
            </w:pPr>
            <w:r w:rsidRPr="00690986">
              <w:rPr>
                <w:szCs w:val="22"/>
              </w:rPr>
              <w:t xml:space="preserve">$51,030 </w:t>
            </w:r>
          </w:p>
        </w:tc>
        <w:tc>
          <w:tcPr>
            <w:tcW w:w="1215" w:type="dxa"/>
            <w:tcBorders>
              <w:top w:val="nil"/>
              <w:left w:val="nil"/>
              <w:bottom w:val="single" w:sz="4" w:space="0" w:color="auto"/>
              <w:right w:val="single" w:sz="4" w:space="0" w:color="auto"/>
            </w:tcBorders>
            <w:shd w:val="clear" w:color="auto" w:fill="auto"/>
            <w:noWrap/>
            <w:vAlign w:val="center"/>
            <w:hideMark/>
          </w:tcPr>
          <w:p w14:paraId="4236E255" w14:textId="77777777" w:rsidR="00557A66" w:rsidRPr="00690986" w:rsidRDefault="00557A66" w:rsidP="003477E1">
            <w:pPr>
              <w:jc w:val="right"/>
              <w:rPr>
                <w:szCs w:val="22"/>
              </w:rPr>
            </w:pPr>
            <w:r w:rsidRPr="00690986">
              <w:rPr>
                <w:szCs w:val="22"/>
              </w:rPr>
              <w:t xml:space="preserve">$51,030 </w:t>
            </w:r>
          </w:p>
        </w:tc>
      </w:tr>
      <w:tr w:rsidR="00093A67" w:rsidRPr="00690986" w14:paraId="5487581C"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0DA06CE" w14:textId="77777777" w:rsidR="00557A66" w:rsidRPr="00690986" w:rsidRDefault="00557A66" w:rsidP="003477E1">
            <w:pPr>
              <w:jc w:val="center"/>
              <w:rPr>
                <w:szCs w:val="22"/>
              </w:rPr>
            </w:pPr>
            <w:r w:rsidRPr="00690986">
              <w:rPr>
                <w:szCs w:val="22"/>
              </w:rPr>
              <w:t>7</w:t>
            </w:r>
          </w:p>
        </w:tc>
        <w:tc>
          <w:tcPr>
            <w:tcW w:w="4230" w:type="dxa"/>
            <w:tcBorders>
              <w:top w:val="nil"/>
              <w:left w:val="nil"/>
              <w:bottom w:val="single" w:sz="4" w:space="0" w:color="auto"/>
              <w:right w:val="single" w:sz="4" w:space="0" w:color="auto"/>
            </w:tcBorders>
            <w:shd w:val="clear" w:color="auto" w:fill="auto"/>
            <w:vAlign w:val="center"/>
            <w:hideMark/>
          </w:tcPr>
          <w:p w14:paraId="2743FDC1" w14:textId="77777777" w:rsidR="00557A66" w:rsidRPr="00690986" w:rsidRDefault="00557A66" w:rsidP="003477E1">
            <w:pPr>
              <w:rPr>
                <w:color w:val="000000"/>
                <w:szCs w:val="22"/>
              </w:rPr>
            </w:pPr>
            <w:r w:rsidRPr="00690986">
              <w:rPr>
                <w:color w:val="000000"/>
                <w:szCs w:val="22"/>
              </w:rPr>
              <w:t>Monthly Status Report - November 2013</w:t>
            </w:r>
          </w:p>
        </w:tc>
        <w:tc>
          <w:tcPr>
            <w:tcW w:w="720" w:type="dxa"/>
            <w:tcBorders>
              <w:top w:val="nil"/>
              <w:left w:val="nil"/>
              <w:bottom w:val="single" w:sz="4" w:space="0" w:color="auto"/>
              <w:right w:val="single" w:sz="4" w:space="0" w:color="auto"/>
            </w:tcBorders>
            <w:shd w:val="clear" w:color="auto" w:fill="auto"/>
            <w:vAlign w:val="center"/>
            <w:hideMark/>
          </w:tcPr>
          <w:p w14:paraId="766AA4AF" w14:textId="77777777" w:rsidR="00557A66" w:rsidRPr="00690986" w:rsidRDefault="00557A66" w:rsidP="003477E1">
            <w:pPr>
              <w:jc w:val="center"/>
              <w:rPr>
                <w:color w:val="000000"/>
                <w:szCs w:val="22"/>
              </w:rPr>
            </w:pPr>
            <w:r w:rsidRPr="00690986">
              <w:rPr>
                <w:color w:val="000000"/>
                <w:szCs w:val="22"/>
              </w:rPr>
              <w:t>12%</w:t>
            </w:r>
          </w:p>
        </w:tc>
        <w:tc>
          <w:tcPr>
            <w:tcW w:w="1440" w:type="dxa"/>
            <w:tcBorders>
              <w:top w:val="nil"/>
              <w:left w:val="nil"/>
              <w:bottom w:val="single" w:sz="4" w:space="0" w:color="auto"/>
              <w:right w:val="single" w:sz="4" w:space="0" w:color="auto"/>
            </w:tcBorders>
            <w:shd w:val="clear" w:color="auto" w:fill="auto"/>
            <w:vAlign w:val="center"/>
            <w:hideMark/>
          </w:tcPr>
          <w:p w14:paraId="743CCA07" w14:textId="77777777" w:rsidR="00557A66" w:rsidRPr="00690986" w:rsidRDefault="00557A66" w:rsidP="003477E1">
            <w:pPr>
              <w:jc w:val="center"/>
              <w:rPr>
                <w:color w:val="000000"/>
                <w:szCs w:val="22"/>
              </w:rPr>
            </w:pPr>
            <w:r w:rsidRPr="00690986">
              <w:rPr>
                <w:color w:val="000000"/>
                <w:szCs w:val="22"/>
              </w:rPr>
              <w:t>11/27/2013</w:t>
            </w:r>
          </w:p>
        </w:tc>
        <w:tc>
          <w:tcPr>
            <w:tcW w:w="1215" w:type="dxa"/>
            <w:tcBorders>
              <w:top w:val="nil"/>
              <w:left w:val="nil"/>
              <w:bottom w:val="single" w:sz="4" w:space="0" w:color="auto"/>
              <w:right w:val="single" w:sz="4" w:space="0" w:color="auto"/>
            </w:tcBorders>
            <w:shd w:val="clear" w:color="auto" w:fill="auto"/>
            <w:noWrap/>
            <w:vAlign w:val="center"/>
            <w:hideMark/>
          </w:tcPr>
          <w:p w14:paraId="5B1F6381" w14:textId="77777777" w:rsidR="00557A66" w:rsidRPr="00690986" w:rsidRDefault="00557A66" w:rsidP="003477E1">
            <w:pPr>
              <w:jc w:val="right"/>
              <w:rPr>
                <w:szCs w:val="22"/>
              </w:rPr>
            </w:pPr>
            <w:r w:rsidRPr="00690986">
              <w:rPr>
                <w:szCs w:val="22"/>
              </w:rPr>
              <w:t xml:space="preserve">$40,824 </w:t>
            </w:r>
          </w:p>
        </w:tc>
        <w:tc>
          <w:tcPr>
            <w:tcW w:w="1215" w:type="dxa"/>
            <w:tcBorders>
              <w:top w:val="nil"/>
              <w:left w:val="nil"/>
              <w:bottom w:val="single" w:sz="4" w:space="0" w:color="auto"/>
              <w:right w:val="single" w:sz="4" w:space="0" w:color="auto"/>
            </w:tcBorders>
            <w:shd w:val="clear" w:color="auto" w:fill="auto"/>
            <w:noWrap/>
            <w:vAlign w:val="center"/>
            <w:hideMark/>
          </w:tcPr>
          <w:p w14:paraId="5E393A88" w14:textId="77777777" w:rsidR="00557A66" w:rsidRPr="00690986" w:rsidRDefault="00557A66" w:rsidP="003477E1">
            <w:pPr>
              <w:jc w:val="right"/>
              <w:rPr>
                <w:szCs w:val="22"/>
              </w:rPr>
            </w:pPr>
            <w:r w:rsidRPr="00690986">
              <w:rPr>
                <w:szCs w:val="22"/>
              </w:rPr>
              <w:t xml:space="preserve">$40,824 </w:t>
            </w:r>
          </w:p>
        </w:tc>
      </w:tr>
      <w:tr w:rsidR="00093A67" w:rsidRPr="00690986" w14:paraId="478D36B4" w14:textId="77777777" w:rsidTr="003E51B4">
        <w:trPr>
          <w:trHeight w:val="33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74C08CE" w14:textId="77777777" w:rsidR="00557A66" w:rsidRPr="00690986" w:rsidRDefault="00557A66" w:rsidP="003477E1">
            <w:pPr>
              <w:jc w:val="center"/>
              <w:rPr>
                <w:szCs w:val="22"/>
              </w:rPr>
            </w:pPr>
            <w:r w:rsidRPr="00690986">
              <w:rPr>
                <w:szCs w:val="22"/>
              </w:rPr>
              <w:t>8</w:t>
            </w:r>
          </w:p>
        </w:tc>
        <w:tc>
          <w:tcPr>
            <w:tcW w:w="4230" w:type="dxa"/>
            <w:tcBorders>
              <w:top w:val="nil"/>
              <w:left w:val="nil"/>
              <w:bottom w:val="single" w:sz="4" w:space="0" w:color="auto"/>
              <w:right w:val="single" w:sz="4" w:space="0" w:color="auto"/>
            </w:tcBorders>
            <w:shd w:val="clear" w:color="auto" w:fill="auto"/>
            <w:vAlign w:val="center"/>
            <w:hideMark/>
          </w:tcPr>
          <w:p w14:paraId="6AFAB07C" w14:textId="77777777" w:rsidR="00557A66" w:rsidRPr="00690986" w:rsidRDefault="00557A66" w:rsidP="003477E1">
            <w:pPr>
              <w:rPr>
                <w:color w:val="000000"/>
                <w:szCs w:val="22"/>
              </w:rPr>
            </w:pPr>
            <w:r w:rsidRPr="00690986">
              <w:rPr>
                <w:color w:val="000000"/>
                <w:szCs w:val="22"/>
              </w:rPr>
              <w:t>Monthly Status Report - December 2013</w:t>
            </w:r>
          </w:p>
        </w:tc>
        <w:tc>
          <w:tcPr>
            <w:tcW w:w="720" w:type="dxa"/>
            <w:tcBorders>
              <w:top w:val="nil"/>
              <w:left w:val="nil"/>
              <w:bottom w:val="single" w:sz="4" w:space="0" w:color="auto"/>
              <w:right w:val="single" w:sz="4" w:space="0" w:color="auto"/>
            </w:tcBorders>
            <w:shd w:val="clear" w:color="auto" w:fill="auto"/>
            <w:vAlign w:val="center"/>
            <w:hideMark/>
          </w:tcPr>
          <w:p w14:paraId="2E51633C" w14:textId="77777777" w:rsidR="00557A66" w:rsidRPr="00690986" w:rsidRDefault="00557A66" w:rsidP="003477E1">
            <w:pPr>
              <w:jc w:val="center"/>
              <w:rPr>
                <w:color w:val="000000"/>
                <w:szCs w:val="22"/>
              </w:rPr>
            </w:pPr>
            <w:r w:rsidRPr="00690986">
              <w:rPr>
                <w:color w:val="000000"/>
                <w:szCs w:val="22"/>
              </w:rPr>
              <w:t>11%</w:t>
            </w:r>
          </w:p>
        </w:tc>
        <w:tc>
          <w:tcPr>
            <w:tcW w:w="1440" w:type="dxa"/>
            <w:tcBorders>
              <w:top w:val="nil"/>
              <w:left w:val="nil"/>
              <w:bottom w:val="single" w:sz="4" w:space="0" w:color="auto"/>
              <w:right w:val="single" w:sz="4" w:space="0" w:color="auto"/>
            </w:tcBorders>
            <w:shd w:val="clear" w:color="auto" w:fill="auto"/>
            <w:vAlign w:val="center"/>
            <w:hideMark/>
          </w:tcPr>
          <w:p w14:paraId="0358B4B7" w14:textId="77777777" w:rsidR="00557A66" w:rsidRPr="00690986" w:rsidRDefault="00557A66" w:rsidP="003477E1">
            <w:pPr>
              <w:jc w:val="center"/>
              <w:rPr>
                <w:color w:val="000000"/>
                <w:szCs w:val="22"/>
              </w:rPr>
            </w:pPr>
            <w:r w:rsidRPr="00690986">
              <w:rPr>
                <w:color w:val="000000"/>
                <w:szCs w:val="22"/>
              </w:rPr>
              <w:t>12/31/2013</w:t>
            </w:r>
          </w:p>
        </w:tc>
        <w:tc>
          <w:tcPr>
            <w:tcW w:w="1215" w:type="dxa"/>
            <w:tcBorders>
              <w:top w:val="nil"/>
              <w:left w:val="nil"/>
              <w:bottom w:val="single" w:sz="4" w:space="0" w:color="auto"/>
              <w:right w:val="single" w:sz="4" w:space="0" w:color="auto"/>
            </w:tcBorders>
            <w:shd w:val="clear" w:color="auto" w:fill="auto"/>
            <w:noWrap/>
            <w:vAlign w:val="center"/>
            <w:hideMark/>
          </w:tcPr>
          <w:p w14:paraId="7D1981A1" w14:textId="77777777" w:rsidR="00557A66" w:rsidRPr="00690986" w:rsidRDefault="00557A66" w:rsidP="003477E1">
            <w:pPr>
              <w:jc w:val="right"/>
              <w:rPr>
                <w:szCs w:val="22"/>
              </w:rPr>
            </w:pPr>
            <w:r w:rsidRPr="00690986">
              <w:rPr>
                <w:szCs w:val="22"/>
              </w:rPr>
              <w:t xml:space="preserve">$37,422 </w:t>
            </w:r>
          </w:p>
        </w:tc>
        <w:tc>
          <w:tcPr>
            <w:tcW w:w="1215" w:type="dxa"/>
            <w:tcBorders>
              <w:top w:val="nil"/>
              <w:left w:val="nil"/>
              <w:bottom w:val="single" w:sz="4" w:space="0" w:color="auto"/>
              <w:right w:val="single" w:sz="4" w:space="0" w:color="auto"/>
            </w:tcBorders>
            <w:shd w:val="clear" w:color="auto" w:fill="auto"/>
            <w:noWrap/>
            <w:vAlign w:val="center"/>
            <w:hideMark/>
          </w:tcPr>
          <w:p w14:paraId="568F03AF" w14:textId="77777777" w:rsidR="00557A66" w:rsidRPr="00690986" w:rsidRDefault="00557A66" w:rsidP="003477E1">
            <w:pPr>
              <w:jc w:val="right"/>
              <w:rPr>
                <w:szCs w:val="22"/>
              </w:rPr>
            </w:pPr>
            <w:r w:rsidRPr="00690986">
              <w:rPr>
                <w:szCs w:val="22"/>
              </w:rPr>
              <w:t xml:space="preserve">$37,422 </w:t>
            </w:r>
          </w:p>
        </w:tc>
      </w:tr>
      <w:tr w:rsidR="00093A67" w:rsidRPr="00690986" w14:paraId="07EE8DC2" w14:textId="77777777" w:rsidTr="003E51B4">
        <w:trPr>
          <w:trHeight w:val="300"/>
        </w:trPr>
        <w:tc>
          <w:tcPr>
            <w:tcW w:w="68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860F9" w14:textId="77777777" w:rsidR="00557A66" w:rsidRPr="00690986" w:rsidRDefault="00557A66" w:rsidP="00C46818">
            <w:pPr>
              <w:jc w:val="right"/>
              <w:rPr>
                <w:b/>
                <w:bCs/>
                <w:szCs w:val="22"/>
              </w:rPr>
            </w:pPr>
            <w:r w:rsidRPr="00690986">
              <w:rPr>
                <w:b/>
                <w:bCs/>
                <w:szCs w:val="22"/>
              </w:rPr>
              <w:t>Total</w:t>
            </w:r>
            <w:r w:rsidR="00093A67">
              <w:rPr>
                <w:b/>
                <w:bCs/>
                <w:szCs w:val="22"/>
              </w:rPr>
              <w:t xml:space="preserve"> </w:t>
            </w:r>
          </w:p>
        </w:tc>
        <w:tc>
          <w:tcPr>
            <w:tcW w:w="1215" w:type="dxa"/>
            <w:tcBorders>
              <w:top w:val="nil"/>
              <w:left w:val="nil"/>
              <w:bottom w:val="single" w:sz="4" w:space="0" w:color="auto"/>
              <w:right w:val="single" w:sz="4" w:space="0" w:color="auto"/>
            </w:tcBorders>
            <w:shd w:val="clear" w:color="auto" w:fill="auto"/>
            <w:noWrap/>
            <w:vAlign w:val="center"/>
            <w:hideMark/>
          </w:tcPr>
          <w:p w14:paraId="182CF22C" w14:textId="77777777" w:rsidR="00557A66" w:rsidRPr="00690986" w:rsidRDefault="00557A66" w:rsidP="003477E1">
            <w:pPr>
              <w:jc w:val="right"/>
              <w:rPr>
                <w:b/>
                <w:bCs/>
                <w:szCs w:val="22"/>
              </w:rPr>
            </w:pPr>
            <w:r w:rsidRPr="00690986">
              <w:rPr>
                <w:b/>
                <w:bCs/>
                <w:szCs w:val="22"/>
              </w:rPr>
              <w:t xml:space="preserve">$340,200 </w:t>
            </w:r>
          </w:p>
        </w:tc>
        <w:tc>
          <w:tcPr>
            <w:tcW w:w="1215" w:type="dxa"/>
            <w:tcBorders>
              <w:top w:val="nil"/>
              <w:left w:val="nil"/>
              <w:bottom w:val="single" w:sz="4" w:space="0" w:color="auto"/>
              <w:right w:val="single" w:sz="4" w:space="0" w:color="auto"/>
            </w:tcBorders>
            <w:shd w:val="clear" w:color="auto" w:fill="auto"/>
            <w:noWrap/>
            <w:vAlign w:val="center"/>
            <w:hideMark/>
          </w:tcPr>
          <w:p w14:paraId="0F5340ED" w14:textId="77777777" w:rsidR="00557A66" w:rsidRPr="00690986" w:rsidRDefault="00557A66" w:rsidP="003477E1">
            <w:pPr>
              <w:jc w:val="right"/>
              <w:rPr>
                <w:b/>
                <w:bCs/>
                <w:szCs w:val="22"/>
              </w:rPr>
            </w:pPr>
            <w:r w:rsidRPr="00690986">
              <w:rPr>
                <w:b/>
                <w:bCs/>
                <w:szCs w:val="22"/>
              </w:rPr>
              <w:t xml:space="preserve">$340,200 </w:t>
            </w:r>
          </w:p>
        </w:tc>
      </w:tr>
    </w:tbl>
    <w:p w14:paraId="65C0EDCB" w14:textId="77777777" w:rsidR="00A567AB" w:rsidRDefault="00A567AB" w:rsidP="0084275F">
      <w:pPr>
        <w:ind w:left="720"/>
      </w:pPr>
      <w:bookmarkStart w:id="2" w:name="RANGE!A1:D4"/>
      <w:bookmarkEnd w:id="2"/>
    </w:p>
    <w:p w14:paraId="356F65EE" w14:textId="77777777" w:rsidR="00E34485" w:rsidRDefault="00ED79D3" w:rsidP="00B77AC0">
      <w:pPr>
        <w:pStyle w:val="BodyTextIndent2"/>
        <w:numPr>
          <w:ilvl w:val="0"/>
          <w:numId w:val="13"/>
        </w:numPr>
        <w:spacing w:after="120"/>
        <w:rPr>
          <w:bCs/>
        </w:rPr>
      </w:pPr>
      <w:r w:rsidRPr="00ED79D3">
        <w:rPr>
          <w:bCs/>
        </w:rPr>
        <w:t>The following tables summarize the hours and costs by State Fiscal Year (“SFY”) for M&amp;O QA Services</w:t>
      </w:r>
      <w:r w:rsidR="00014323">
        <w:rPr>
          <w:bCs/>
        </w:rPr>
        <w:t>.</w:t>
      </w:r>
      <w:r w:rsidR="00B77AC0">
        <w:rPr>
          <w:bCs/>
        </w:rPr>
        <w:t xml:space="preserve">  </w:t>
      </w:r>
    </w:p>
    <w:p w14:paraId="0DA6257E" w14:textId="77777777" w:rsidR="00B77AC0" w:rsidRDefault="00B77AC0" w:rsidP="00E20A61">
      <w:pPr>
        <w:ind w:left="720"/>
        <w:rPr>
          <w:rFonts w:cs="Arial"/>
          <w:szCs w:val="22"/>
        </w:rPr>
      </w:pPr>
      <w:r w:rsidRPr="00B77AC0" w:rsidDel="00B77AC0">
        <w:t xml:space="preserve"> </w:t>
      </w:r>
    </w:p>
    <w:tbl>
      <w:tblPr>
        <w:tblW w:w="10681" w:type="dxa"/>
        <w:tblInd w:w="113" w:type="dxa"/>
        <w:tblLook w:val="04A0" w:firstRow="1" w:lastRow="0" w:firstColumn="1" w:lastColumn="0" w:noHBand="0" w:noVBand="1"/>
      </w:tblPr>
      <w:tblGrid>
        <w:gridCol w:w="1345"/>
        <w:gridCol w:w="766"/>
        <w:gridCol w:w="1124"/>
        <w:gridCol w:w="774"/>
        <w:gridCol w:w="1116"/>
        <w:gridCol w:w="794"/>
        <w:gridCol w:w="1096"/>
        <w:gridCol w:w="750"/>
        <w:gridCol w:w="1050"/>
        <w:gridCol w:w="750"/>
        <w:gridCol w:w="1116"/>
      </w:tblGrid>
      <w:tr w:rsidR="00F937B3" w:rsidRPr="00F937B3" w14:paraId="6099C8F2" w14:textId="77777777" w:rsidTr="00144249">
        <w:trPr>
          <w:trHeight w:val="810"/>
        </w:trPr>
        <w:tc>
          <w:tcPr>
            <w:tcW w:w="1345"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39F917EF" w14:textId="77777777" w:rsidR="00F937B3" w:rsidRPr="00F937B3" w:rsidRDefault="00F937B3" w:rsidP="00F937B3">
            <w:pPr>
              <w:jc w:val="center"/>
              <w:rPr>
                <w:rFonts w:cs="Calibri"/>
                <w:b/>
                <w:bCs/>
                <w:color w:val="FFFFFF"/>
                <w:sz w:val="20"/>
              </w:rPr>
            </w:pPr>
            <w:r w:rsidRPr="00F937B3">
              <w:rPr>
                <w:rFonts w:cs="Calibri"/>
                <w:b/>
                <w:bCs/>
                <w:color w:val="FFFFFF"/>
                <w:sz w:val="20"/>
              </w:rPr>
              <w:t>M&amp;O QA</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2417F867"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13/14</w:t>
            </w:r>
            <w:r w:rsidRPr="00F937B3">
              <w:rPr>
                <w:rFonts w:ascii="Times New Roman" w:hAnsi="Times New Roman"/>
                <w:b/>
                <w:bCs/>
                <w:color w:val="FFFFFF"/>
                <w:sz w:val="20"/>
              </w:rPr>
              <w:br/>
              <w:t>(Extension)</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46A15352"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14/15</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36064AB4"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15/16</w:t>
            </w:r>
          </w:p>
        </w:tc>
        <w:tc>
          <w:tcPr>
            <w:tcW w:w="1800" w:type="dxa"/>
            <w:gridSpan w:val="2"/>
            <w:tcBorders>
              <w:top w:val="single" w:sz="4" w:space="0" w:color="auto"/>
              <w:left w:val="nil"/>
              <w:bottom w:val="single" w:sz="4" w:space="0" w:color="auto"/>
              <w:right w:val="single" w:sz="4" w:space="0" w:color="000000"/>
            </w:tcBorders>
            <w:shd w:val="clear" w:color="000000" w:fill="1F497D"/>
            <w:vAlign w:val="center"/>
            <w:hideMark/>
          </w:tcPr>
          <w:p w14:paraId="2A6CB408"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16/17</w:t>
            </w:r>
            <w:r w:rsidRPr="00F937B3">
              <w:rPr>
                <w:rFonts w:ascii="Times New Roman" w:hAnsi="Times New Roman"/>
                <w:b/>
                <w:bCs/>
                <w:color w:val="FFFFFF"/>
                <w:sz w:val="20"/>
              </w:rPr>
              <w:br/>
              <w:t>(12/2016)</w:t>
            </w:r>
          </w:p>
        </w:tc>
        <w:tc>
          <w:tcPr>
            <w:tcW w:w="1866" w:type="dxa"/>
            <w:gridSpan w:val="2"/>
            <w:tcBorders>
              <w:top w:val="single" w:sz="4" w:space="0" w:color="auto"/>
              <w:left w:val="nil"/>
              <w:bottom w:val="single" w:sz="4" w:space="0" w:color="auto"/>
              <w:right w:val="single" w:sz="4" w:space="0" w:color="000000"/>
            </w:tcBorders>
            <w:shd w:val="clear" w:color="000000" w:fill="1F497D"/>
            <w:vAlign w:val="center"/>
            <w:hideMark/>
          </w:tcPr>
          <w:p w14:paraId="27436C2D"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Total Cost</w:t>
            </w:r>
            <w:r w:rsidRPr="00F937B3">
              <w:rPr>
                <w:rFonts w:ascii="Times New Roman" w:hAnsi="Times New Roman"/>
                <w:b/>
                <w:bCs/>
                <w:color w:val="FFFFFF"/>
                <w:sz w:val="20"/>
              </w:rPr>
              <w:br/>
              <w:t>Further Extension Term</w:t>
            </w:r>
          </w:p>
        </w:tc>
      </w:tr>
      <w:tr w:rsidR="00144249" w:rsidRPr="00F937B3" w14:paraId="249096DE" w14:textId="77777777" w:rsidTr="00144249">
        <w:trPr>
          <w:trHeight w:val="290"/>
        </w:trPr>
        <w:tc>
          <w:tcPr>
            <w:tcW w:w="1345" w:type="dxa"/>
            <w:vMerge/>
            <w:tcBorders>
              <w:top w:val="single" w:sz="4" w:space="0" w:color="auto"/>
              <w:left w:val="single" w:sz="4" w:space="0" w:color="auto"/>
              <w:bottom w:val="single" w:sz="4" w:space="0" w:color="000000"/>
              <w:right w:val="single" w:sz="4" w:space="0" w:color="auto"/>
            </w:tcBorders>
            <w:vAlign w:val="center"/>
            <w:hideMark/>
          </w:tcPr>
          <w:p w14:paraId="06BEDA83" w14:textId="77777777" w:rsidR="00F937B3" w:rsidRPr="00F937B3" w:rsidRDefault="00F937B3" w:rsidP="00F937B3">
            <w:pPr>
              <w:rPr>
                <w:rFonts w:cs="Calibri"/>
                <w:b/>
                <w:bCs/>
                <w:color w:val="FFFFFF"/>
                <w:sz w:val="20"/>
              </w:rPr>
            </w:pPr>
          </w:p>
        </w:tc>
        <w:tc>
          <w:tcPr>
            <w:tcW w:w="766"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62D18AF6"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24" w:type="dxa"/>
            <w:tcBorders>
              <w:top w:val="single" w:sz="4" w:space="0" w:color="auto"/>
              <w:left w:val="nil"/>
              <w:bottom w:val="single" w:sz="4" w:space="0" w:color="auto"/>
              <w:right w:val="single" w:sz="4" w:space="0" w:color="auto"/>
            </w:tcBorders>
            <w:shd w:val="clear" w:color="000000" w:fill="1F497D"/>
            <w:vAlign w:val="center"/>
            <w:hideMark/>
          </w:tcPr>
          <w:p w14:paraId="1BCCE220"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74" w:type="dxa"/>
            <w:tcBorders>
              <w:top w:val="single" w:sz="4" w:space="0" w:color="auto"/>
              <w:left w:val="nil"/>
              <w:bottom w:val="single" w:sz="4" w:space="0" w:color="auto"/>
              <w:right w:val="single" w:sz="4" w:space="0" w:color="auto"/>
            </w:tcBorders>
            <w:shd w:val="clear" w:color="000000" w:fill="1F497D"/>
            <w:noWrap/>
            <w:vAlign w:val="center"/>
            <w:hideMark/>
          </w:tcPr>
          <w:p w14:paraId="1E0BA88A"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16" w:type="dxa"/>
            <w:tcBorders>
              <w:top w:val="single" w:sz="4" w:space="0" w:color="auto"/>
              <w:left w:val="nil"/>
              <w:bottom w:val="single" w:sz="4" w:space="0" w:color="auto"/>
              <w:right w:val="single" w:sz="4" w:space="0" w:color="auto"/>
            </w:tcBorders>
            <w:shd w:val="clear" w:color="000000" w:fill="1F497D"/>
            <w:vAlign w:val="center"/>
            <w:hideMark/>
          </w:tcPr>
          <w:p w14:paraId="404D717A"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94" w:type="dxa"/>
            <w:tcBorders>
              <w:top w:val="single" w:sz="4" w:space="0" w:color="auto"/>
              <w:left w:val="nil"/>
              <w:bottom w:val="single" w:sz="4" w:space="0" w:color="auto"/>
              <w:right w:val="single" w:sz="4" w:space="0" w:color="auto"/>
            </w:tcBorders>
            <w:shd w:val="clear" w:color="000000" w:fill="1F497D"/>
            <w:noWrap/>
            <w:vAlign w:val="center"/>
            <w:hideMark/>
          </w:tcPr>
          <w:p w14:paraId="760729C3"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096" w:type="dxa"/>
            <w:tcBorders>
              <w:top w:val="single" w:sz="4" w:space="0" w:color="auto"/>
              <w:left w:val="nil"/>
              <w:bottom w:val="single" w:sz="4" w:space="0" w:color="auto"/>
              <w:right w:val="single" w:sz="4" w:space="0" w:color="auto"/>
            </w:tcBorders>
            <w:shd w:val="clear" w:color="000000" w:fill="1F497D"/>
            <w:vAlign w:val="center"/>
            <w:hideMark/>
          </w:tcPr>
          <w:p w14:paraId="0BDA12E2"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50" w:type="dxa"/>
            <w:tcBorders>
              <w:top w:val="single" w:sz="4" w:space="0" w:color="auto"/>
              <w:left w:val="nil"/>
              <w:bottom w:val="single" w:sz="4" w:space="0" w:color="auto"/>
              <w:right w:val="single" w:sz="4" w:space="0" w:color="auto"/>
            </w:tcBorders>
            <w:shd w:val="clear" w:color="000000" w:fill="1F497D"/>
            <w:noWrap/>
            <w:vAlign w:val="center"/>
            <w:hideMark/>
          </w:tcPr>
          <w:p w14:paraId="48131116"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050" w:type="dxa"/>
            <w:tcBorders>
              <w:top w:val="single" w:sz="4" w:space="0" w:color="auto"/>
              <w:left w:val="nil"/>
              <w:bottom w:val="single" w:sz="4" w:space="0" w:color="auto"/>
              <w:right w:val="single" w:sz="4" w:space="0" w:color="auto"/>
            </w:tcBorders>
            <w:shd w:val="clear" w:color="000000" w:fill="1F497D"/>
            <w:vAlign w:val="center"/>
            <w:hideMark/>
          </w:tcPr>
          <w:p w14:paraId="1E83608C"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50" w:type="dxa"/>
            <w:tcBorders>
              <w:top w:val="single" w:sz="4" w:space="0" w:color="auto"/>
              <w:left w:val="nil"/>
              <w:bottom w:val="single" w:sz="4" w:space="0" w:color="auto"/>
              <w:right w:val="single" w:sz="4" w:space="0" w:color="auto"/>
            </w:tcBorders>
            <w:shd w:val="clear" w:color="000000" w:fill="1F497D"/>
            <w:noWrap/>
            <w:vAlign w:val="center"/>
            <w:hideMark/>
          </w:tcPr>
          <w:p w14:paraId="311B8F63"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16" w:type="dxa"/>
            <w:tcBorders>
              <w:top w:val="single" w:sz="4" w:space="0" w:color="auto"/>
              <w:left w:val="nil"/>
              <w:bottom w:val="single" w:sz="4" w:space="0" w:color="auto"/>
              <w:right w:val="single" w:sz="4" w:space="0" w:color="auto"/>
            </w:tcBorders>
            <w:shd w:val="clear" w:color="000000" w:fill="1F497D"/>
            <w:vAlign w:val="center"/>
            <w:hideMark/>
          </w:tcPr>
          <w:p w14:paraId="0958891B"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r>
      <w:tr w:rsidR="00F937B3" w:rsidRPr="00F937B3" w14:paraId="79FDEB5A" w14:textId="77777777" w:rsidTr="00144249">
        <w:trPr>
          <w:trHeight w:val="29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8961E" w14:textId="77777777" w:rsidR="00F937B3" w:rsidRPr="00F937B3" w:rsidRDefault="00F937B3" w:rsidP="00F937B3">
            <w:pPr>
              <w:rPr>
                <w:rFonts w:ascii="Times New Roman" w:hAnsi="Times New Roman"/>
                <w:b/>
                <w:bCs/>
                <w:color w:val="000000"/>
                <w:sz w:val="20"/>
              </w:rPr>
            </w:pPr>
            <w:r w:rsidRPr="00F937B3">
              <w:rPr>
                <w:rFonts w:ascii="Times New Roman" w:hAnsi="Times New Roman"/>
                <w:b/>
                <w:bCs/>
                <w:color w:val="000000"/>
                <w:sz w:val="20"/>
              </w:rPr>
              <w:t>Total</w:t>
            </w:r>
          </w:p>
        </w:tc>
        <w:tc>
          <w:tcPr>
            <w:tcW w:w="766" w:type="dxa"/>
            <w:tcBorders>
              <w:top w:val="nil"/>
              <w:left w:val="nil"/>
              <w:bottom w:val="single" w:sz="4" w:space="0" w:color="auto"/>
              <w:right w:val="single" w:sz="4" w:space="0" w:color="auto"/>
            </w:tcBorders>
            <w:shd w:val="clear" w:color="auto" w:fill="auto"/>
            <w:noWrap/>
            <w:vAlign w:val="center"/>
            <w:hideMark/>
          </w:tcPr>
          <w:p w14:paraId="30A3E413"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0</w:t>
            </w:r>
          </w:p>
        </w:tc>
        <w:tc>
          <w:tcPr>
            <w:tcW w:w="1124" w:type="dxa"/>
            <w:tcBorders>
              <w:top w:val="nil"/>
              <w:left w:val="nil"/>
              <w:bottom w:val="single" w:sz="4" w:space="0" w:color="auto"/>
              <w:right w:val="single" w:sz="4" w:space="0" w:color="auto"/>
            </w:tcBorders>
            <w:shd w:val="clear" w:color="auto" w:fill="auto"/>
            <w:noWrap/>
            <w:vAlign w:val="center"/>
            <w:hideMark/>
          </w:tcPr>
          <w:p w14:paraId="1A718B51"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$0</w:t>
            </w:r>
          </w:p>
        </w:tc>
        <w:tc>
          <w:tcPr>
            <w:tcW w:w="774" w:type="dxa"/>
            <w:tcBorders>
              <w:top w:val="nil"/>
              <w:left w:val="nil"/>
              <w:bottom w:val="single" w:sz="4" w:space="0" w:color="auto"/>
              <w:right w:val="single" w:sz="4" w:space="0" w:color="auto"/>
            </w:tcBorders>
            <w:shd w:val="clear" w:color="auto" w:fill="auto"/>
            <w:noWrap/>
            <w:vAlign w:val="center"/>
            <w:hideMark/>
          </w:tcPr>
          <w:p w14:paraId="10FA50CF"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3,024</w:t>
            </w:r>
          </w:p>
        </w:tc>
        <w:tc>
          <w:tcPr>
            <w:tcW w:w="1116" w:type="dxa"/>
            <w:tcBorders>
              <w:top w:val="nil"/>
              <w:left w:val="nil"/>
              <w:bottom w:val="single" w:sz="4" w:space="0" w:color="auto"/>
              <w:right w:val="single" w:sz="4" w:space="0" w:color="auto"/>
            </w:tcBorders>
            <w:shd w:val="clear" w:color="auto" w:fill="auto"/>
            <w:noWrap/>
            <w:vAlign w:val="center"/>
            <w:hideMark/>
          </w:tcPr>
          <w:p w14:paraId="6DFAD962"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$373,704</w:t>
            </w:r>
          </w:p>
        </w:tc>
        <w:tc>
          <w:tcPr>
            <w:tcW w:w="794" w:type="dxa"/>
            <w:tcBorders>
              <w:top w:val="nil"/>
              <w:left w:val="nil"/>
              <w:bottom w:val="single" w:sz="4" w:space="0" w:color="auto"/>
              <w:right w:val="single" w:sz="4" w:space="0" w:color="auto"/>
            </w:tcBorders>
            <w:shd w:val="clear" w:color="auto" w:fill="auto"/>
            <w:noWrap/>
            <w:vAlign w:val="center"/>
            <w:hideMark/>
          </w:tcPr>
          <w:p w14:paraId="4B7269AE"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3,024</w:t>
            </w:r>
          </w:p>
        </w:tc>
        <w:tc>
          <w:tcPr>
            <w:tcW w:w="1096" w:type="dxa"/>
            <w:tcBorders>
              <w:top w:val="nil"/>
              <w:left w:val="nil"/>
              <w:bottom w:val="single" w:sz="4" w:space="0" w:color="auto"/>
              <w:right w:val="single" w:sz="4" w:space="0" w:color="auto"/>
            </w:tcBorders>
            <w:shd w:val="clear" w:color="auto" w:fill="auto"/>
            <w:noWrap/>
            <w:vAlign w:val="center"/>
            <w:hideMark/>
          </w:tcPr>
          <w:p w14:paraId="7F4D1365"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$373,704</w:t>
            </w:r>
          </w:p>
        </w:tc>
        <w:tc>
          <w:tcPr>
            <w:tcW w:w="750" w:type="dxa"/>
            <w:tcBorders>
              <w:top w:val="nil"/>
              <w:left w:val="nil"/>
              <w:bottom w:val="single" w:sz="4" w:space="0" w:color="auto"/>
              <w:right w:val="single" w:sz="4" w:space="0" w:color="auto"/>
            </w:tcBorders>
            <w:shd w:val="clear" w:color="auto" w:fill="auto"/>
            <w:noWrap/>
            <w:vAlign w:val="center"/>
            <w:hideMark/>
          </w:tcPr>
          <w:p w14:paraId="4AEE0C11"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1,764</w:t>
            </w:r>
          </w:p>
        </w:tc>
        <w:tc>
          <w:tcPr>
            <w:tcW w:w="1050" w:type="dxa"/>
            <w:tcBorders>
              <w:top w:val="nil"/>
              <w:left w:val="nil"/>
              <w:bottom w:val="single" w:sz="4" w:space="0" w:color="auto"/>
              <w:right w:val="single" w:sz="4" w:space="0" w:color="auto"/>
            </w:tcBorders>
            <w:shd w:val="clear" w:color="auto" w:fill="auto"/>
            <w:noWrap/>
            <w:vAlign w:val="center"/>
            <w:hideMark/>
          </w:tcPr>
          <w:p w14:paraId="2951C41D"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$217,994</w:t>
            </w:r>
          </w:p>
        </w:tc>
        <w:tc>
          <w:tcPr>
            <w:tcW w:w="750" w:type="dxa"/>
            <w:tcBorders>
              <w:top w:val="nil"/>
              <w:left w:val="nil"/>
              <w:bottom w:val="single" w:sz="4" w:space="0" w:color="auto"/>
              <w:right w:val="single" w:sz="4" w:space="0" w:color="auto"/>
            </w:tcBorders>
            <w:shd w:val="clear" w:color="auto" w:fill="auto"/>
            <w:noWrap/>
            <w:vAlign w:val="center"/>
            <w:hideMark/>
          </w:tcPr>
          <w:p w14:paraId="40DD6181"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7,812</w:t>
            </w:r>
          </w:p>
        </w:tc>
        <w:tc>
          <w:tcPr>
            <w:tcW w:w="1116" w:type="dxa"/>
            <w:tcBorders>
              <w:top w:val="nil"/>
              <w:left w:val="nil"/>
              <w:bottom w:val="single" w:sz="4" w:space="0" w:color="auto"/>
              <w:right w:val="single" w:sz="4" w:space="0" w:color="auto"/>
            </w:tcBorders>
            <w:shd w:val="clear" w:color="auto" w:fill="auto"/>
            <w:noWrap/>
            <w:vAlign w:val="center"/>
            <w:hideMark/>
          </w:tcPr>
          <w:p w14:paraId="07F26AF5"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$965,402</w:t>
            </w:r>
          </w:p>
        </w:tc>
      </w:tr>
      <w:tr w:rsidR="00F937B3" w:rsidRPr="00F937B3" w14:paraId="609EB9FF" w14:textId="77777777" w:rsidTr="00144249">
        <w:trPr>
          <w:trHeight w:val="290"/>
        </w:trPr>
        <w:tc>
          <w:tcPr>
            <w:tcW w:w="1345" w:type="dxa"/>
            <w:tcBorders>
              <w:top w:val="nil"/>
              <w:left w:val="nil"/>
              <w:bottom w:val="nil"/>
              <w:right w:val="nil"/>
            </w:tcBorders>
            <w:shd w:val="clear" w:color="auto" w:fill="auto"/>
            <w:noWrap/>
            <w:vAlign w:val="center"/>
            <w:hideMark/>
          </w:tcPr>
          <w:p w14:paraId="1D3ADE4C" w14:textId="77777777" w:rsidR="00F937B3" w:rsidRPr="00F937B3" w:rsidRDefault="00F937B3" w:rsidP="00F937B3">
            <w:pPr>
              <w:jc w:val="right"/>
              <w:rPr>
                <w:rFonts w:ascii="Times New Roman" w:hAnsi="Times New Roman"/>
                <w:b/>
                <w:bCs/>
                <w:color w:val="000000"/>
                <w:sz w:val="20"/>
              </w:rPr>
            </w:pPr>
          </w:p>
        </w:tc>
        <w:tc>
          <w:tcPr>
            <w:tcW w:w="766" w:type="dxa"/>
            <w:tcBorders>
              <w:top w:val="nil"/>
              <w:left w:val="nil"/>
              <w:bottom w:val="nil"/>
              <w:right w:val="nil"/>
            </w:tcBorders>
            <w:shd w:val="clear" w:color="auto" w:fill="auto"/>
            <w:noWrap/>
            <w:vAlign w:val="bottom"/>
            <w:hideMark/>
          </w:tcPr>
          <w:p w14:paraId="766ED429" w14:textId="77777777" w:rsidR="00F937B3" w:rsidRPr="00F937B3" w:rsidRDefault="00F937B3" w:rsidP="00F937B3">
            <w:pPr>
              <w:rPr>
                <w:rFonts w:ascii="Times New Roman" w:hAnsi="Times New Roman"/>
                <w:sz w:val="20"/>
              </w:rPr>
            </w:pPr>
          </w:p>
        </w:tc>
        <w:tc>
          <w:tcPr>
            <w:tcW w:w="1124" w:type="dxa"/>
            <w:tcBorders>
              <w:top w:val="nil"/>
              <w:left w:val="nil"/>
              <w:bottom w:val="nil"/>
              <w:right w:val="nil"/>
            </w:tcBorders>
            <w:shd w:val="clear" w:color="auto" w:fill="auto"/>
            <w:noWrap/>
            <w:vAlign w:val="bottom"/>
            <w:hideMark/>
          </w:tcPr>
          <w:p w14:paraId="14CE1ED6" w14:textId="77777777" w:rsidR="00F937B3" w:rsidRPr="00F937B3" w:rsidRDefault="00F937B3" w:rsidP="00F937B3">
            <w:pPr>
              <w:rPr>
                <w:rFonts w:ascii="Times New Roman" w:hAnsi="Times New Roman"/>
                <w:sz w:val="20"/>
              </w:rPr>
            </w:pPr>
          </w:p>
        </w:tc>
        <w:tc>
          <w:tcPr>
            <w:tcW w:w="774" w:type="dxa"/>
            <w:tcBorders>
              <w:top w:val="nil"/>
              <w:left w:val="nil"/>
              <w:bottom w:val="nil"/>
              <w:right w:val="nil"/>
            </w:tcBorders>
            <w:shd w:val="clear" w:color="auto" w:fill="auto"/>
            <w:noWrap/>
            <w:vAlign w:val="center"/>
            <w:hideMark/>
          </w:tcPr>
          <w:p w14:paraId="4281A79F" w14:textId="77777777" w:rsidR="00F937B3" w:rsidRPr="00F937B3" w:rsidRDefault="00F937B3" w:rsidP="00F937B3">
            <w:pPr>
              <w:rPr>
                <w:rFonts w:ascii="Times New Roman" w:hAnsi="Times New Roman"/>
                <w:sz w:val="20"/>
              </w:rPr>
            </w:pPr>
          </w:p>
        </w:tc>
        <w:tc>
          <w:tcPr>
            <w:tcW w:w="1116" w:type="dxa"/>
            <w:tcBorders>
              <w:top w:val="nil"/>
              <w:left w:val="nil"/>
              <w:bottom w:val="nil"/>
              <w:right w:val="nil"/>
            </w:tcBorders>
            <w:shd w:val="clear" w:color="auto" w:fill="auto"/>
            <w:noWrap/>
            <w:vAlign w:val="center"/>
            <w:hideMark/>
          </w:tcPr>
          <w:p w14:paraId="03085B3A" w14:textId="77777777" w:rsidR="00F937B3" w:rsidRPr="00F937B3" w:rsidRDefault="00F937B3" w:rsidP="00F937B3">
            <w:pPr>
              <w:jc w:val="right"/>
              <w:rPr>
                <w:rFonts w:ascii="Times New Roman" w:hAnsi="Times New Roman"/>
                <w:sz w:val="20"/>
              </w:rPr>
            </w:pPr>
          </w:p>
        </w:tc>
        <w:tc>
          <w:tcPr>
            <w:tcW w:w="794" w:type="dxa"/>
            <w:tcBorders>
              <w:top w:val="nil"/>
              <w:left w:val="nil"/>
              <w:bottom w:val="nil"/>
              <w:right w:val="nil"/>
            </w:tcBorders>
            <w:shd w:val="clear" w:color="auto" w:fill="auto"/>
            <w:noWrap/>
            <w:vAlign w:val="center"/>
            <w:hideMark/>
          </w:tcPr>
          <w:p w14:paraId="72A07917" w14:textId="77777777" w:rsidR="00F937B3" w:rsidRPr="00F937B3" w:rsidRDefault="00F937B3" w:rsidP="00F937B3">
            <w:pPr>
              <w:jc w:val="right"/>
              <w:rPr>
                <w:rFonts w:ascii="Times New Roman" w:hAnsi="Times New Roman"/>
                <w:sz w:val="20"/>
              </w:rPr>
            </w:pPr>
          </w:p>
        </w:tc>
        <w:tc>
          <w:tcPr>
            <w:tcW w:w="1096" w:type="dxa"/>
            <w:tcBorders>
              <w:top w:val="nil"/>
              <w:left w:val="nil"/>
              <w:bottom w:val="nil"/>
              <w:right w:val="nil"/>
            </w:tcBorders>
            <w:shd w:val="clear" w:color="auto" w:fill="auto"/>
            <w:noWrap/>
            <w:vAlign w:val="center"/>
            <w:hideMark/>
          </w:tcPr>
          <w:p w14:paraId="115249F7" w14:textId="77777777" w:rsidR="00F937B3" w:rsidRPr="00F937B3" w:rsidRDefault="00F937B3" w:rsidP="00F937B3">
            <w:pPr>
              <w:jc w:val="right"/>
              <w:rPr>
                <w:rFonts w:ascii="Times New Roman" w:hAnsi="Times New Roman"/>
                <w:sz w:val="20"/>
              </w:rPr>
            </w:pPr>
          </w:p>
        </w:tc>
        <w:tc>
          <w:tcPr>
            <w:tcW w:w="750" w:type="dxa"/>
            <w:tcBorders>
              <w:top w:val="nil"/>
              <w:left w:val="nil"/>
              <w:bottom w:val="nil"/>
              <w:right w:val="nil"/>
            </w:tcBorders>
            <w:shd w:val="clear" w:color="auto" w:fill="auto"/>
            <w:noWrap/>
            <w:vAlign w:val="center"/>
            <w:hideMark/>
          </w:tcPr>
          <w:p w14:paraId="1CEC54C9" w14:textId="77777777" w:rsidR="00F937B3" w:rsidRPr="00F937B3" w:rsidRDefault="00F937B3" w:rsidP="00F937B3">
            <w:pPr>
              <w:jc w:val="right"/>
              <w:rPr>
                <w:rFonts w:ascii="Times New Roman" w:hAnsi="Times New Roman"/>
                <w:sz w:val="20"/>
              </w:rPr>
            </w:pPr>
          </w:p>
        </w:tc>
        <w:tc>
          <w:tcPr>
            <w:tcW w:w="1050" w:type="dxa"/>
            <w:tcBorders>
              <w:top w:val="nil"/>
              <w:left w:val="nil"/>
              <w:bottom w:val="nil"/>
              <w:right w:val="nil"/>
            </w:tcBorders>
            <w:shd w:val="clear" w:color="auto" w:fill="auto"/>
            <w:noWrap/>
            <w:vAlign w:val="center"/>
            <w:hideMark/>
          </w:tcPr>
          <w:p w14:paraId="317D6482" w14:textId="77777777" w:rsidR="00F937B3" w:rsidRPr="00F937B3" w:rsidRDefault="00F937B3" w:rsidP="00F937B3">
            <w:pPr>
              <w:jc w:val="right"/>
              <w:rPr>
                <w:rFonts w:ascii="Times New Roman" w:hAnsi="Times New Roman"/>
                <w:sz w:val="20"/>
              </w:rPr>
            </w:pPr>
          </w:p>
        </w:tc>
        <w:tc>
          <w:tcPr>
            <w:tcW w:w="750" w:type="dxa"/>
            <w:tcBorders>
              <w:top w:val="nil"/>
              <w:left w:val="nil"/>
              <w:bottom w:val="nil"/>
              <w:right w:val="nil"/>
            </w:tcBorders>
            <w:shd w:val="clear" w:color="auto" w:fill="auto"/>
            <w:noWrap/>
            <w:vAlign w:val="center"/>
            <w:hideMark/>
          </w:tcPr>
          <w:p w14:paraId="32859FA0" w14:textId="77777777" w:rsidR="00F937B3" w:rsidRPr="00F937B3" w:rsidRDefault="00F937B3" w:rsidP="00F937B3">
            <w:pPr>
              <w:jc w:val="right"/>
              <w:rPr>
                <w:rFonts w:ascii="Times New Roman" w:hAnsi="Times New Roman"/>
                <w:sz w:val="20"/>
              </w:rPr>
            </w:pPr>
          </w:p>
        </w:tc>
        <w:tc>
          <w:tcPr>
            <w:tcW w:w="1116" w:type="dxa"/>
            <w:tcBorders>
              <w:top w:val="nil"/>
              <w:left w:val="nil"/>
              <w:bottom w:val="nil"/>
              <w:right w:val="nil"/>
            </w:tcBorders>
            <w:shd w:val="clear" w:color="auto" w:fill="auto"/>
            <w:noWrap/>
            <w:vAlign w:val="center"/>
            <w:hideMark/>
          </w:tcPr>
          <w:p w14:paraId="4B499324" w14:textId="77777777" w:rsidR="00F937B3" w:rsidRPr="00F937B3" w:rsidRDefault="00F937B3" w:rsidP="00F937B3">
            <w:pPr>
              <w:jc w:val="right"/>
              <w:rPr>
                <w:rFonts w:ascii="Times New Roman" w:hAnsi="Times New Roman"/>
                <w:sz w:val="20"/>
              </w:rPr>
            </w:pPr>
          </w:p>
        </w:tc>
      </w:tr>
      <w:tr w:rsidR="00F937B3" w:rsidRPr="00F937B3" w14:paraId="69106D13" w14:textId="77777777" w:rsidTr="00144249">
        <w:trPr>
          <w:trHeight w:val="510"/>
        </w:trPr>
        <w:tc>
          <w:tcPr>
            <w:tcW w:w="1345"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44525762"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M&amp;O QA</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25EF2C16"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16/17</w:t>
            </w:r>
            <w:r w:rsidRPr="00F937B3">
              <w:rPr>
                <w:rFonts w:ascii="Times New Roman" w:hAnsi="Times New Roman"/>
                <w:b/>
                <w:bCs/>
                <w:color w:val="FFFFFF"/>
                <w:sz w:val="20"/>
              </w:rPr>
              <w:br/>
              <w:t>(01/2017)</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637B0788"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17/18</w:t>
            </w:r>
          </w:p>
        </w:tc>
        <w:tc>
          <w:tcPr>
            <w:tcW w:w="1890" w:type="dxa"/>
            <w:gridSpan w:val="2"/>
            <w:tcBorders>
              <w:top w:val="single" w:sz="4" w:space="0" w:color="auto"/>
              <w:left w:val="nil"/>
              <w:bottom w:val="single" w:sz="4" w:space="0" w:color="auto"/>
              <w:right w:val="single" w:sz="4" w:space="0" w:color="000000"/>
            </w:tcBorders>
            <w:shd w:val="clear" w:color="000000" w:fill="1F497D"/>
            <w:vAlign w:val="center"/>
            <w:hideMark/>
          </w:tcPr>
          <w:p w14:paraId="01DCC773"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18/19</w:t>
            </w:r>
          </w:p>
        </w:tc>
        <w:tc>
          <w:tcPr>
            <w:tcW w:w="1800" w:type="dxa"/>
            <w:gridSpan w:val="2"/>
            <w:tcBorders>
              <w:top w:val="single" w:sz="4" w:space="0" w:color="auto"/>
              <w:left w:val="nil"/>
              <w:bottom w:val="single" w:sz="4" w:space="0" w:color="auto"/>
              <w:right w:val="single" w:sz="4" w:space="0" w:color="000000"/>
            </w:tcBorders>
            <w:shd w:val="clear" w:color="000000" w:fill="1F497D"/>
            <w:vAlign w:val="center"/>
            <w:hideMark/>
          </w:tcPr>
          <w:p w14:paraId="0DDC2E7E"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SFY 19/20</w:t>
            </w:r>
            <w:r w:rsidRPr="00F937B3">
              <w:rPr>
                <w:rFonts w:ascii="Times New Roman" w:hAnsi="Times New Roman"/>
                <w:b/>
                <w:bCs/>
                <w:color w:val="FFFFFF"/>
                <w:sz w:val="20"/>
              </w:rPr>
              <w:br/>
            </w:r>
            <w:r w:rsidRPr="00F937B3">
              <w:rPr>
                <w:rFonts w:ascii="Times New Roman" w:hAnsi="Times New Roman"/>
                <w:b/>
                <w:bCs/>
                <w:color w:val="FFFFFF"/>
                <w:sz w:val="18"/>
                <w:szCs w:val="18"/>
              </w:rPr>
              <w:t>(12/2019)</w:t>
            </w:r>
          </w:p>
        </w:tc>
        <w:tc>
          <w:tcPr>
            <w:tcW w:w="1866" w:type="dxa"/>
            <w:gridSpan w:val="2"/>
            <w:tcBorders>
              <w:top w:val="single" w:sz="4" w:space="0" w:color="auto"/>
              <w:left w:val="nil"/>
              <w:bottom w:val="single" w:sz="4" w:space="0" w:color="auto"/>
              <w:right w:val="single" w:sz="4" w:space="0" w:color="000000"/>
            </w:tcBorders>
            <w:shd w:val="clear" w:color="000000" w:fill="1F497D"/>
            <w:vAlign w:val="center"/>
            <w:hideMark/>
          </w:tcPr>
          <w:p w14:paraId="52F05597"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 xml:space="preserve">Total </w:t>
            </w:r>
            <w:proofErr w:type="gramStart"/>
            <w:r w:rsidRPr="00F937B3">
              <w:rPr>
                <w:rFonts w:ascii="Times New Roman" w:hAnsi="Times New Roman"/>
                <w:b/>
                <w:bCs/>
                <w:color w:val="FFFFFF"/>
                <w:sz w:val="20"/>
              </w:rPr>
              <w:t>Cost  Extended</w:t>
            </w:r>
            <w:proofErr w:type="gramEnd"/>
            <w:r w:rsidRPr="00F937B3">
              <w:rPr>
                <w:rFonts w:ascii="Times New Roman" w:hAnsi="Times New Roman"/>
                <w:b/>
                <w:bCs/>
                <w:color w:val="FFFFFF"/>
                <w:sz w:val="20"/>
              </w:rPr>
              <w:t xml:space="preserve"> Term Option Years</w:t>
            </w:r>
          </w:p>
        </w:tc>
      </w:tr>
      <w:tr w:rsidR="00144249" w:rsidRPr="00F937B3" w14:paraId="187421D3" w14:textId="77777777" w:rsidTr="00144249">
        <w:trPr>
          <w:trHeight w:val="290"/>
        </w:trPr>
        <w:tc>
          <w:tcPr>
            <w:tcW w:w="1345" w:type="dxa"/>
            <w:vMerge/>
            <w:tcBorders>
              <w:top w:val="single" w:sz="4" w:space="0" w:color="auto"/>
              <w:left w:val="single" w:sz="4" w:space="0" w:color="auto"/>
              <w:bottom w:val="single" w:sz="4" w:space="0" w:color="000000"/>
              <w:right w:val="single" w:sz="4" w:space="0" w:color="auto"/>
            </w:tcBorders>
            <w:vAlign w:val="center"/>
            <w:hideMark/>
          </w:tcPr>
          <w:p w14:paraId="36356F55" w14:textId="77777777" w:rsidR="00F937B3" w:rsidRPr="00F937B3" w:rsidRDefault="00F937B3" w:rsidP="00F937B3">
            <w:pPr>
              <w:rPr>
                <w:rFonts w:ascii="Times New Roman" w:hAnsi="Times New Roman"/>
                <w:b/>
                <w:bCs/>
                <w:color w:val="FFFFFF"/>
                <w:sz w:val="20"/>
              </w:rPr>
            </w:pPr>
          </w:p>
        </w:tc>
        <w:tc>
          <w:tcPr>
            <w:tcW w:w="766"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3AFCEC44"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24" w:type="dxa"/>
            <w:tcBorders>
              <w:top w:val="single" w:sz="4" w:space="0" w:color="auto"/>
              <w:left w:val="nil"/>
              <w:bottom w:val="single" w:sz="4" w:space="0" w:color="auto"/>
              <w:right w:val="single" w:sz="4" w:space="0" w:color="auto"/>
            </w:tcBorders>
            <w:shd w:val="clear" w:color="000000" w:fill="1F497D"/>
            <w:vAlign w:val="center"/>
            <w:hideMark/>
          </w:tcPr>
          <w:p w14:paraId="1400C51F"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74" w:type="dxa"/>
            <w:tcBorders>
              <w:top w:val="single" w:sz="4" w:space="0" w:color="auto"/>
              <w:left w:val="nil"/>
              <w:bottom w:val="single" w:sz="4" w:space="0" w:color="auto"/>
              <w:right w:val="single" w:sz="4" w:space="0" w:color="auto"/>
            </w:tcBorders>
            <w:shd w:val="clear" w:color="000000" w:fill="1F497D"/>
            <w:noWrap/>
            <w:vAlign w:val="center"/>
            <w:hideMark/>
          </w:tcPr>
          <w:p w14:paraId="7C96F69F"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16" w:type="dxa"/>
            <w:tcBorders>
              <w:top w:val="single" w:sz="4" w:space="0" w:color="auto"/>
              <w:left w:val="nil"/>
              <w:bottom w:val="single" w:sz="4" w:space="0" w:color="auto"/>
              <w:right w:val="single" w:sz="4" w:space="0" w:color="auto"/>
            </w:tcBorders>
            <w:shd w:val="clear" w:color="000000" w:fill="1F497D"/>
            <w:vAlign w:val="center"/>
            <w:hideMark/>
          </w:tcPr>
          <w:p w14:paraId="46803316"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94" w:type="dxa"/>
            <w:tcBorders>
              <w:top w:val="single" w:sz="4" w:space="0" w:color="auto"/>
              <w:left w:val="nil"/>
              <w:bottom w:val="single" w:sz="4" w:space="0" w:color="auto"/>
              <w:right w:val="single" w:sz="4" w:space="0" w:color="auto"/>
            </w:tcBorders>
            <w:shd w:val="clear" w:color="000000" w:fill="1F497D"/>
            <w:noWrap/>
            <w:vAlign w:val="center"/>
            <w:hideMark/>
          </w:tcPr>
          <w:p w14:paraId="3F34C09D"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096" w:type="dxa"/>
            <w:tcBorders>
              <w:top w:val="single" w:sz="4" w:space="0" w:color="auto"/>
              <w:left w:val="nil"/>
              <w:bottom w:val="single" w:sz="4" w:space="0" w:color="auto"/>
              <w:right w:val="single" w:sz="4" w:space="0" w:color="auto"/>
            </w:tcBorders>
            <w:shd w:val="clear" w:color="000000" w:fill="1F497D"/>
            <w:vAlign w:val="center"/>
            <w:hideMark/>
          </w:tcPr>
          <w:p w14:paraId="65CE16E8"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50" w:type="dxa"/>
            <w:tcBorders>
              <w:top w:val="single" w:sz="4" w:space="0" w:color="auto"/>
              <w:left w:val="nil"/>
              <w:bottom w:val="single" w:sz="4" w:space="0" w:color="auto"/>
              <w:right w:val="single" w:sz="4" w:space="0" w:color="auto"/>
            </w:tcBorders>
            <w:shd w:val="clear" w:color="000000" w:fill="1F497D"/>
            <w:noWrap/>
            <w:vAlign w:val="center"/>
            <w:hideMark/>
          </w:tcPr>
          <w:p w14:paraId="2E51B440"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050" w:type="dxa"/>
            <w:tcBorders>
              <w:top w:val="single" w:sz="4" w:space="0" w:color="auto"/>
              <w:left w:val="nil"/>
              <w:bottom w:val="single" w:sz="4" w:space="0" w:color="auto"/>
              <w:right w:val="single" w:sz="4" w:space="0" w:color="auto"/>
            </w:tcBorders>
            <w:shd w:val="clear" w:color="000000" w:fill="1F497D"/>
            <w:vAlign w:val="center"/>
            <w:hideMark/>
          </w:tcPr>
          <w:p w14:paraId="0F7CB94B"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c>
          <w:tcPr>
            <w:tcW w:w="750" w:type="dxa"/>
            <w:tcBorders>
              <w:top w:val="single" w:sz="4" w:space="0" w:color="auto"/>
              <w:left w:val="nil"/>
              <w:bottom w:val="single" w:sz="4" w:space="0" w:color="auto"/>
              <w:right w:val="single" w:sz="4" w:space="0" w:color="auto"/>
            </w:tcBorders>
            <w:shd w:val="clear" w:color="000000" w:fill="1F497D"/>
            <w:noWrap/>
            <w:vAlign w:val="center"/>
            <w:hideMark/>
          </w:tcPr>
          <w:p w14:paraId="3EDD3502"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Hours</w:t>
            </w:r>
          </w:p>
        </w:tc>
        <w:tc>
          <w:tcPr>
            <w:tcW w:w="1116" w:type="dxa"/>
            <w:tcBorders>
              <w:top w:val="single" w:sz="4" w:space="0" w:color="auto"/>
              <w:left w:val="nil"/>
              <w:bottom w:val="single" w:sz="4" w:space="0" w:color="auto"/>
              <w:right w:val="single" w:sz="4" w:space="0" w:color="auto"/>
            </w:tcBorders>
            <w:shd w:val="clear" w:color="000000" w:fill="1F497D"/>
            <w:vAlign w:val="center"/>
            <w:hideMark/>
          </w:tcPr>
          <w:p w14:paraId="4747617F" w14:textId="77777777" w:rsidR="00F937B3" w:rsidRPr="00F937B3" w:rsidRDefault="00F937B3" w:rsidP="00F937B3">
            <w:pPr>
              <w:jc w:val="center"/>
              <w:rPr>
                <w:rFonts w:ascii="Times New Roman" w:hAnsi="Times New Roman"/>
                <w:b/>
                <w:bCs/>
                <w:color w:val="FFFFFF"/>
                <w:sz w:val="20"/>
              </w:rPr>
            </w:pPr>
            <w:r w:rsidRPr="00F937B3">
              <w:rPr>
                <w:rFonts w:ascii="Times New Roman" w:hAnsi="Times New Roman"/>
                <w:b/>
                <w:bCs/>
                <w:color w:val="FFFFFF"/>
                <w:sz w:val="20"/>
              </w:rPr>
              <w:t>Cost</w:t>
            </w:r>
          </w:p>
        </w:tc>
      </w:tr>
      <w:tr w:rsidR="00F937B3" w:rsidRPr="00F937B3" w14:paraId="544389A2" w14:textId="77777777" w:rsidTr="00144249">
        <w:trPr>
          <w:trHeight w:val="29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26994" w14:textId="77777777" w:rsidR="00F937B3" w:rsidRPr="00F937B3" w:rsidRDefault="00F937B3" w:rsidP="00F937B3">
            <w:pPr>
              <w:rPr>
                <w:rFonts w:ascii="Times New Roman" w:hAnsi="Times New Roman"/>
                <w:b/>
                <w:bCs/>
                <w:color w:val="000000"/>
                <w:sz w:val="20"/>
              </w:rPr>
            </w:pPr>
            <w:r w:rsidRPr="00F937B3">
              <w:rPr>
                <w:rFonts w:ascii="Times New Roman" w:hAnsi="Times New Roman"/>
                <w:b/>
                <w:bCs/>
                <w:color w:val="000000"/>
                <w:sz w:val="20"/>
              </w:rPr>
              <w:t>Total</w:t>
            </w:r>
          </w:p>
        </w:tc>
        <w:tc>
          <w:tcPr>
            <w:tcW w:w="766" w:type="dxa"/>
            <w:tcBorders>
              <w:top w:val="nil"/>
              <w:left w:val="nil"/>
              <w:bottom w:val="single" w:sz="4" w:space="0" w:color="auto"/>
              <w:right w:val="single" w:sz="4" w:space="0" w:color="auto"/>
            </w:tcBorders>
            <w:shd w:val="clear" w:color="auto" w:fill="auto"/>
            <w:noWrap/>
            <w:vAlign w:val="center"/>
            <w:hideMark/>
          </w:tcPr>
          <w:p w14:paraId="20D92903"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1,260</w:t>
            </w:r>
          </w:p>
        </w:tc>
        <w:tc>
          <w:tcPr>
            <w:tcW w:w="1124" w:type="dxa"/>
            <w:tcBorders>
              <w:top w:val="nil"/>
              <w:left w:val="nil"/>
              <w:bottom w:val="single" w:sz="4" w:space="0" w:color="auto"/>
              <w:right w:val="single" w:sz="4" w:space="0" w:color="auto"/>
            </w:tcBorders>
            <w:shd w:val="clear" w:color="auto" w:fill="auto"/>
            <w:noWrap/>
            <w:vAlign w:val="center"/>
            <w:hideMark/>
          </w:tcPr>
          <w:p w14:paraId="46070E30"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$155,710</w:t>
            </w:r>
          </w:p>
        </w:tc>
        <w:tc>
          <w:tcPr>
            <w:tcW w:w="774" w:type="dxa"/>
            <w:tcBorders>
              <w:top w:val="nil"/>
              <w:left w:val="nil"/>
              <w:bottom w:val="single" w:sz="4" w:space="0" w:color="auto"/>
              <w:right w:val="single" w:sz="4" w:space="0" w:color="auto"/>
            </w:tcBorders>
            <w:shd w:val="clear" w:color="auto" w:fill="auto"/>
            <w:noWrap/>
            <w:vAlign w:val="center"/>
            <w:hideMark/>
          </w:tcPr>
          <w:p w14:paraId="17B826D3"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3,024</w:t>
            </w:r>
          </w:p>
        </w:tc>
        <w:tc>
          <w:tcPr>
            <w:tcW w:w="1116" w:type="dxa"/>
            <w:tcBorders>
              <w:top w:val="nil"/>
              <w:left w:val="nil"/>
              <w:bottom w:val="single" w:sz="4" w:space="0" w:color="auto"/>
              <w:right w:val="single" w:sz="4" w:space="0" w:color="auto"/>
            </w:tcBorders>
            <w:shd w:val="clear" w:color="auto" w:fill="auto"/>
            <w:noWrap/>
            <w:vAlign w:val="center"/>
            <w:hideMark/>
          </w:tcPr>
          <w:p w14:paraId="0EB628E6"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$373,704</w:t>
            </w:r>
          </w:p>
        </w:tc>
        <w:tc>
          <w:tcPr>
            <w:tcW w:w="794" w:type="dxa"/>
            <w:tcBorders>
              <w:top w:val="nil"/>
              <w:left w:val="nil"/>
              <w:bottom w:val="single" w:sz="4" w:space="0" w:color="auto"/>
              <w:right w:val="single" w:sz="4" w:space="0" w:color="auto"/>
            </w:tcBorders>
            <w:shd w:val="clear" w:color="auto" w:fill="auto"/>
            <w:noWrap/>
            <w:vAlign w:val="center"/>
            <w:hideMark/>
          </w:tcPr>
          <w:p w14:paraId="7D4BB487"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3,024</w:t>
            </w:r>
          </w:p>
        </w:tc>
        <w:tc>
          <w:tcPr>
            <w:tcW w:w="1096" w:type="dxa"/>
            <w:tcBorders>
              <w:top w:val="nil"/>
              <w:left w:val="nil"/>
              <w:bottom w:val="single" w:sz="4" w:space="0" w:color="auto"/>
              <w:right w:val="single" w:sz="4" w:space="0" w:color="auto"/>
            </w:tcBorders>
            <w:shd w:val="clear" w:color="auto" w:fill="auto"/>
            <w:noWrap/>
            <w:vAlign w:val="center"/>
            <w:hideMark/>
          </w:tcPr>
          <w:p w14:paraId="5C5988FD"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$373,704</w:t>
            </w:r>
          </w:p>
        </w:tc>
        <w:tc>
          <w:tcPr>
            <w:tcW w:w="750" w:type="dxa"/>
            <w:tcBorders>
              <w:top w:val="nil"/>
              <w:left w:val="nil"/>
              <w:bottom w:val="single" w:sz="4" w:space="0" w:color="auto"/>
              <w:right w:val="single" w:sz="4" w:space="0" w:color="auto"/>
            </w:tcBorders>
            <w:shd w:val="clear" w:color="auto" w:fill="auto"/>
            <w:noWrap/>
            <w:vAlign w:val="center"/>
            <w:hideMark/>
          </w:tcPr>
          <w:p w14:paraId="71E94C1E"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1,764</w:t>
            </w:r>
          </w:p>
        </w:tc>
        <w:tc>
          <w:tcPr>
            <w:tcW w:w="1050" w:type="dxa"/>
            <w:tcBorders>
              <w:top w:val="nil"/>
              <w:left w:val="nil"/>
              <w:bottom w:val="single" w:sz="4" w:space="0" w:color="auto"/>
              <w:right w:val="single" w:sz="4" w:space="0" w:color="auto"/>
            </w:tcBorders>
            <w:shd w:val="clear" w:color="auto" w:fill="auto"/>
            <w:noWrap/>
            <w:vAlign w:val="center"/>
            <w:hideMark/>
          </w:tcPr>
          <w:p w14:paraId="1E19FE8E"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$217,974</w:t>
            </w:r>
          </w:p>
        </w:tc>
        <w:tc>
          <w:tcPr>
            <w:tcW w:w="750" w:type="dxa"/>
            <w:tcBorders>
              <w:top w:val="nil"/>
              <w:left w:val="nil"/>
              <w:bottom w:val="single" w:sz="4" w:space="0" w:color="auto"/>
              <w:right w:val="single" w:sz="4" w:space="0" w:color="auto"/>
            </w:tcBorders>
            <w:shd w:val="clear" w:color="auto" w:fill="auto"/>
            <w:noWrap/>
            <w:vAlign w:val="center"/>
            <w:hideMark/>
          </w:tcPr>
          <w:p w14:paraId="6647578A"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9,072</w:t>
            </w:r>
          </w:p>
        </w:tc>
        <w:tc>
          <w:tcPr>
            <w:tcW w:w="1116" w:type="dxa"/>
            <w:tcBorders>
              <w:top w:val="nil"/>
              <w:left w:val="nil"/>
              <w:bottom w:val="single" w:sz="4" w:space="0" w:color="auto"/>
              <w:right w:val="single" w:sz="4" w:space="0" w:color="auto"/>
            </w:tcBorders>
            <w:shd w:val="clear" w:color="auto" w:fill="auto"/>
            <w:noWrap/>
            <w:vAlign w:val="center"/>
            <w:hideMark/>
          </w:tcPr>
          <w:p w14:paraId="59F62DAF" w14:textId="77777777" w:rsidR="00F937B3" w:rsidRPr="00F937B3" w:rsidRDefault="00F937B3" w:rsidP="00F937B3">
            <w:pPr>
              <w:jc w:val="right"/>
              <w:rPr>
                <w:rFonts w:ascii="Times New Roman" w:hAnsi="Times New Roman"/>
                <w:b/>
                <w:bCs/>
                <w:color w:val="000000"/>
                <w:sz w:val="20"/>
              </w:rPr>
            </w:pPr>
            <w:r w:rsidRPr="00F937B3">
              <w:rPr>
                <w:rFonts w:ascii="Times New Roman" w:hAnsi="Times New Roman"/>
                <w:b/>
                <w:bCs/>
                <w:color w:val="000000"/>
                <w:sz w:val="20"/>
              </w:rPr>
              <w:t>$1,121,092</w:t>
            </w:r>
          </w:p>
        </w:tc>
      </w:tr>
      <w:tr w:rsidR="00F937B3" w:rsidRPr="00F937B3" w14:paraId="4F24AD91" w14:textId="77777777" w:rsidTr="00144249">
        <w:trPr>
          <w:trHeight w:val="290"/>
        </w:trPr>
        <w:tc>
          <w:tcPr>
            <w:tcW w:w="1345" w:type="dxa"/>
            <w:tcBorders>
              <w:top w:val="nil"/>
              <w:left w:val="nil"/>
              <w:bottom w:val="nil"/>
              <w:right w:val="nil"/>
            </w:tcBorders>
            <w:shd w:val="clear" w:color="auto" w:fill="auto"/>
            <w:noWrap/>
            <w:vAlign w:val="bottom"/>
            <w:hideMark/>
          </w:tcPr>
          <w:p w14:paraId="3E03FDBE" w14:textId="77777777" w:rsidR="00F937B3" w:rsidRPr="00F937B3" w:rsidRDefault="00F937B3" w:rsidP="00F937B3">
            <w:pPr>
              <w:jc w:val="right"/>
              <w:rPr>
                <w:rFonts w:ascii="Times New Roman" w:hAnsi="Times New Roman"/>
                <w:b/>
                <w:bCs/>
                <w:color w:val="000000"/>
                <w:sz w:val="20"/>
              </w:rPr>
            </w:pPr>
          </w:p>
        </w:tc>
        <w:tc>
          <w:tcPr>
            <w:tcW w:w="766" w:type="dxa"/>
            <w:tcBorders>
              <w:top w:val="nil"/>
              <w:left w:val="nil"/>
              <w:bottom w:val="nil"/>
              <w:right w:val="nil"/>
            </w:tcBorders>
            <w:shd w:val="clear" w:color="auto" w:fill="auto"/>
            <w:noWrap/>
            <w:vAlign w:val="bottom"/>
            <w:hideMark/>
          </w:tcPr>
          <w:p w14:paraId="3A2A3F76" w14:textId="77777777" w:rsidR="00F937B3" w:rsidRPr="00F937B3" w:rsidRDefault="00F937B3" w:rsidP="00F937B3">
            <w:pPr>
              <w:rPr>
                <w:rFonts w:ascii="Times New Roman" w:hAnsi="Times New Roman"/>
                <w:sz w:val="20"/>
              </w:rPr>
            </w:pPr>
          </w:p>
        </w:tc>
        <w:tc>
          <w:tcPr>
            <w:tcW w:w="1124" w:type="dxa"/>
            <w:tcBorders>
              <w:top w:val="nil"/>
              <w:left w:val="nil"/>
              <w:bottom w:val="nil"/>
              <w:right w:val="nil"/>
            </w:tcBorders>
            <w:shd w:val="clear" w:color="auto" w:fill="auto"/>
            <w:noWrap/>
            <w:vAlign w:val="bottom"/>
            <w:hideMark/>
          </w:tcPr>
          <w:p w14:paraId="01D158C1" w14:textId="77777777" w:rsidR="00F937B3" w:rsidRPr="00F937B3" w:rsidRDefault="00F937B3" w:rsidP="00F937B3">
            <w:pPr>
              <w:rPr>
                <w:rFonts w:ascii="Times New Roman" w:hAnsi="Times New Roman"/>
                <w:sz w:val="20"/>
              </w:rPr>
            </w:pPr>
          </w:p>
        </w:tc>
        <w:tc>
          <w:tcPr>
            <w:tcW w:w="774" w:type="dxa"/>
            <w:tcBorders>
              <w:top w:val="nil"/>
              <w:left w:val="nil"/>
              <w:bottom w:val="nil"/>
              <w:right w:val="nil"/>
            </w:tcBorders>
            <w:shd w:val="clear" w:color="auto" w:fill="auto"/>
            <w:noWrap/>
            <w:vAlign w:val="center"/>
            <w:hideMark/>
          </w:tcPr>
          <w:p w14:paraId="57469125" w14:textId="77777777" w:rsidR="00F937B3" w:rsidRPr="00F937B3" w:rsidRDefault="00F937B3" w:rsidP="00F937B3">
            <w:pPr>
              <w:rPr>
                <w:rFonts w:ascii="Times New Roman" w:hAnsi="Times New Roman"/>
                <w:sz w:val="20"/>
              </w:rPr>
            </w:pPr>
          </w:p>
        </w:tc>
        <w:tc>
          <w:tcPr>
            <w:tcW w:w="1116" w:type="dxa"/>
            <w:tcBorders>
              <w:top w:val="nil"/>
              <w:left w:val="nil"/>
              <w:bottom w:val="nil"/>
              <w:right w:val="nil"/>
            </w:tcBorders>
            <w:shd w:val="clear" w:color="auto" w:fill="auto"/>
            <w:noWrap/>
            <w:vAlign w:val="center"/>
            <w:hideMark/>
          </w:tcPr>
          <w:p w14:paraId="493B18A7" w14:textId="77777777" w:rsidR="00F937B3" w:rsidRPr="00F937B3" w:rsidRDefault="00F937B3" w:rsidP="00F937B3">
            <w:pPr>
              <w:jc w:val="right"/>
              <w:rPr>
                <w:rFonts w:ascii="Times New Roman" w:hAnsi="Times New Roman"/>
                <w:sz w:val="20"/>
              </w:rPr>
            </w:pPr>
          </w:p>
        </w:tc>
        <w:tc>
          <w:tcPr>
            <w:tcW w:w="794" w:type="dxa"/>
            <w:tcBorders>
              <w:top w:val="nil"/>
              <w:left w:val="nil"/>
              <w:bottom w:val="nil"/>
              <w:right w:val="nil"/>
            </w:tcBorders>
            <w:shd w:val="clear" w:color="auto" w:fill="auto"/>
            <w:noWrap/>
            <w:vAlign w:val="center"/>
            <w:hideMark/>
          </w:tcPr>
          <w:p w14:paraId="7B2D91D6" w14:textId="77777777" w:rsidR="00F937B3" w:rsidRPr="00F937B3" w:rsidRDefault="00F937B3" w:rsidP="00F937B3">
            <w:pPr>
              <w:jc w:val="right"/>
              <w:rPr>
                <w:rFonts w:ascii="Times New Roman" w:hAnsi="Times New Roman"/>
                <w:sz w:val="20"/>
              </w:rPr>
            </w:pPr>
          </w:p>
        </w:tc>
        <w:tc>
          <w:tcPr>
            <w:tcW w:w="1096" w:type="dxa"/>
            <w:tcBorders>
              <w:top w:val="nil"/>
              <w:left w:val="nil"/>
              <w:bottom w:val="nil"/>
              <w:right w:val="nil"/>
            </w:tcBorders>
            <w:shd w:val="clear" w:color="auto" w:fill="auto"/>
            <w:noWrap/>
            <w:vAlign w:val="bottom"/>
            <w:hideMark/>
          </w:tcPr>
          <w:p w14:paraId="1E40B069" w14:textId="77777777" w:rsidR="00F937B3" w:rsidRPr="00F937B3" w:rsidRDefault="00F937B3" w:rsidP="00F937B3">
            <w:pPr>
              <w:jc w:val="right"/>
              <w:rPr>
                <w:rFonts w:ascii="Times New Roman" w:hAnsi="Times New Roman"/>
                <w:sz w:val="20"/>
              </w:rPr>
            </w:pPr>
          </w:p>
        </w:tc>
        <w:tc>
          <w:tcPr>
            <w:tcW w:w="750" w:type="dxa"/>
            <w:tcBorders>
              <w:top w:val="nil"/>
              <w:left w:val="nil"/>
              <w:bottom w:val="nil"/>
              <w:right w:val="nil"/>
            </w:tcBorders>
            <w:shd w:val="clear" w:color="auto" w:fill="auto"/>
            <w:noWrap/>
            <w:vAlign w:val="bottom"/>
            <w:hideMark/>
          </w:tcPr>
          <w:p w14:paraId="32BC74C0" w14:textId="77777777" w:rsidR="00F937B3" w:rsidRPr="00F937B3" w:rsidRDefault="00F937B3" w:rsidP="00F937B3">
            <w:pPr>
              <w:rPr>
                <w:rFonts w:ascii="Times New Roman" w:hAnsi="Times New Roman"/>
                <w:sz w:val="20"/>
              </w:rPr>
            </w:pPr>
          </w:p>
        </w:tc>
        <w:tc>
          <w:tcPr>
            <w:tcW w:w="1050" w:type="dxa"/>
            <w:tcBorders>
              <w:top w:val="nil"/>
              <w:left w:val="nil"/>
              <w:bottom w:val="nil"/>
              <w:right w:val="nil"/>
            </w:tcBorders>
            <w:shd w:val="clear" w:color="auto" w:fill="auto"/>
            <w:noWrap/>
            <w:vAlign w:val="bottom"/>
            <w:hideMark/>
          </w:tcPr>
          <w:p w14:paraId="02D7C3F8" w14:textId="77777777" w:rsidR="00F937B3" w:rsidRPr="00F937B3" w:rsidRDefault="00F937B3" w:rsidP="00F937B3">
            <w:pPr>
              <w:rPr>
                <w:rFonts w:ascii="Times New Roman" w:hAnsi="Times New Roman"/>
                <w:sz w:val="20"/>
              </w:rPr>
            </w:pPr>
          </w:p>
        </w:tc>
        <w:tc>
          <w:tcPr>
            <w:tcW w:w="750" w:type="dxa"/>
            <w:tcBorders>
              <w:top w:val="nil"/>
              <w:left w:val="nil"/>
              <w:bottom w:val="nil"/>
              <w:right w:val="nil"/>
            </w:tcBorders>
            <w:shd w:val="clear" w:color="auto" w:fill="auto"/>
            <w:noWrap/>
            <w:vAlign w:val="bottom"/>
            <w:hideMark/>
          </w:tcPr>
          <w:p w14:paraId="2A85A8E2" w14:textId="77777777" w:rsidR="00F937B3" w:rsidRPr="00F937B3" w:rsidRDefault="00F937B3" w:rsidP="00F937B3">
            <w:pPr>
              <w:rPr>
                <w:rFonts w:ascii="Times New Roman" w:hAnsi="Times New Roman"/>
                <w:sz w:val="20"/>
              </w:rPr>
            </w:pPr>
          </w:p>
        </w:tc>
        <w:tc>
          <w:tcPr>
            <w:tcW w:w="1116" w:type="dxa"/>
            <w:tcBorders>
              <w:top w:val="nil"/>
              <w:left w:val="nil"/>
              <w:bottom w:val="nil"/>
              <w:right w:val="nil"/>
            </w:tcBorders>
            <w:shd w:val="clear" w:color="auto" w:fill="auto"/>
            <w:noWrap/>
            <w:vAlign w:val="bottom"/>
            <w:hideMark/>
          </w:tcPr>
          <w:p w14:paraId="64ACAAE3" w14:textId="77777777" w:rsidR="00F937B3" w:rsidRPr="00F937B3" w:rsidRDefault="00F937B3" w:rsidP="00F937B3">
            <w:pPr>
              <w:rPr>
                <w:rFonts w:ascii="Times New Roman" w:hAnsi="Times New Roman"/>
                <w:sz w:val="20"/>
              </w:rPr>
            </w:pPr>
          </w:p>
        </w:tc>
      </w:tr>
    </w:tbl>
    <w:p w14:paraId="6BE0762B" w14:textId="77777777" w:rsidR="00F937B3" w:rsidRDefault="00F937B3" w:rsidP="00E20A61">
      <w:pPr>
        <w:ind w:left="720"/>
        <w:rPr>
          <w:rFonts w:cs="Arial"/>
          <w:szCs w:val="22"/>
        </w:rPr>
      </w:pPr>
    </w:p>
    <w:tbl>
      <w:tblPr>
        <w:tblW w:w="9800" w:type="dxa"/>
        <w:tblInd w:w="113" w:type="dxa"/>
        <w:tblLook w:val="04A0" w:firstRow="1" w:lastRow="0" w:firstColumn="1" w:lastColumn="0" w:noHBand="0" w:noVBand="1"/>
      </w:tblPr>
      <w:tblGrid>
        <w:gridCol w:w="2620"/>
        <w:gridCol w:w="766"/>
        <w:gridCol w:w="1696"/>
        <w:gridCol w:w="1100"/>
        <w:gridCol w:w="1360"/>
        <w:gridCol w:w="750"/>
        <w:gridCol w:w="1556"/>
      </w:tblGrid>
      <w:tr w:rsidR="006C27AE" w:rsidRPr="006C27AE" w14:paraId="19E53C83" w14:textId="77777777" w:rsidTr="006C27AE">
        <w:trPr>
          <w:trHeight w:val="510"/>
        </w:trPr>
        <w:tc>
          <w:tcPr>
            <w:tcW w:w="262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1D223F0B"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M&amp;O QA</w:t>
            </w:r>
          </w:p>
        </w:tc>
        <w:tc>
          <w:tcPr>
            <w:tcW w:w="2420" w:type="dxa"/>
            <w:gridSpan w:val="2"/>
            <w:tcBorders>
              <w:top w:val="single" w:sz="4" w:space="0" w:color="auto"/>
              <w:left w:val="nil"/>
              <w:bottom w:val="single" w:sz="4" w:space="0" w:color="auto"/>
              <w:right w:val="single" w:sz="4" w:space="0" w:color="000000"/>
            </w:tcBorders>
            <w:shd w:val="clear" w:color="000000" w:fill="1F497D"/>
            <w:vAlign w:val="center"/>
            <w:hideMark/>
          </w:tcPr>
          <w:p w14:paraId="45D9405E"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SFY 19/20</w:t>
            </w:r>
            <w:r w:rsidRPr="006C27AE">
              <w:rPr>
                <w:rFonts w:ascii="Times New Roman" w:hAnsi="Times New Roman"/>
                <w:b/>
                <w:bCs/>
                <w:color w:val="FFFFFF"/>
                <w:sz w:val="20"/>
              </w:rPr>
              <w:br/>
              <w:t>(01/2020)</w:t>
            </w:r>
          </w:p>
        </w:tc>
        <w:tc>
          <w:tcPr>
            <w:tcW w:w="2460" w:type="dxa"/>
            <w:gridSpan w:val="2"/>
            <w:tcBorders>
              <w:top w:val="single" w:sz="4" w:space="0" w:color="auto"/>
              <w:left w:val="nil"/>
              <w:bottom w:val="single" w:sz="4" w:space="0" w:color="auto"/>
              <w:right w:val="single" w:sz="4" w:space="0" w:color="000000"/>
            </w:tcBorders>
            <w:shd w:val="clear" w:color="000000" w:fill="1F497D"/>
            <w:vAlign w:val="center"/>
            <w:hideMark/>
          </w:tcPr>
          <w:p w14:paraId="3A8738E8"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SFY 20/21</w:t>
            </w:r>
          </w:p>
        </w:tc>
        <w:tc>
          <w:tcPr>
            <w:tcW w:w="2300" w:type="dxa"/>
            <w:gridSpan w:val="2"/>
            <w:tcBorders>
              <w:top w:val="single" w:sz="4" w:space="0" w:color="auto"/>
              <w:left w:val="nil"/>
              <w:bottom w:val="single" w:sz="4" w:space="0" w:color="auto"/>
              <w:right w:val="single" w:sz="4" w:space="0" w:color="000000"/>
            </w:tcBorders>
            <w:shd w:val="clear" w:color="000000" w:fill="1F497D"/>
            <w:vAlign w:val="center"/>
            <w:hideMark/>
          </w:tcPr>
          <w:p w14:paraId="709EDF31"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Total Amended Term</w:t>
            </w:r>
          </w:p>
        </w:tc>
      </w:tr>
      <w:tr w:rsidR="006C27AE" w:rsidRPr="006C27AE" w14:paraId="30FFEA61" w14:textId="77777777" w:rsidTr="006C27AE">
        <w:trPr>
          <w:trHeight w:val="300"/>
        </w:trPr>
        <w:tc>
          <w:tcPr>
            <w:tcW w:w="2620" w:type="dxa"/>
            <w:vMerge/>
            <w:tcBorders>
              <w:top w:val="single" w:sz="4" w:space="0" w:color="auto"/>
              <w:left w:val="single" w:sz="4" w:space="0" w:color="auto"/>
              <w:bottom w:val="single" w:sz="4" w:space="0" w:color="000000"/>
              <w:right w:val="single" w:sz="4" w:space="0" w:color="auto"/>
            </w:tcBorders>
            <w:vAlign w:val="center"/>
            <w:hideMark/>
          </w:tcPr>
          <w:p w14:paraId="0A4F1BAD" w14:textId="77777777" w:rsidR="006C27AE" w:rsidRPr="006C27AE" w:rsidRDefault="006C27AE" w:rsidP="006C27AE">
            <w:pPr>
              <w:rPr>
                <w:rFonts w:ascii="Times New Roman" w:hAnsi="Times New Roman"/>
                <w:b/>
                <w:bCs/>
                <w:color w:val="FFFFFF"/>
                <w:sz w:val="20"/>
              </w:rPr>
            </w:pPr>
          </w:p>
        </w:tc>
        <w:tc>
          <w:tcPr>
            <w:tcW w:w="724"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17E56429"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Hours</w:t>
            </w:r>
          </w:p>
        </w:tc>
        <w:tc>
          <w:tcPr>
            <w:tcW w:w="1696" w:type="dxa"/>
            <w:tcBorders>
              <w:top w:val="single" w:sz="4" w:space="0" w:color="auto"/>
              <w:left w:val="nil"/>
              <w:bottom w:val="single" w:sz="4" w:space="0" w:color="auto"/>
              <w:right w:val="single" w:sz="4" w:space="0" w:color="auto"/>
            </w:tcBorders>
            <w:shd w:val="clear" w:color="000000" w:fill="1F497D"/>
            <w:vAlign w:val="center"/>
            <w:hideMark/>
          </w:tcPr>
          <w:p w14:paraId="56404818"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Cost</w:t>
            </w:r>
          </w:p>
        </w:tc>
        <w:tc>
          <w:tcPr>
            <w:tcW w:w="1100" w:type="dxa"/>
            <w:tcBorders>
              <w:top w:val="single" w:sz="4" w:space="0" w:color="auto"/>
              <w:left w:val="nil"/>
              <w:bottom w:val="single" w:sz="4" w:space="0" w:color="auto"/>
              <w:right w:val="single" w:sz="4" w:space="0" w:color="auto"/>
            </w:tcBorders>
            <w:shd w:val="clear" w:color="000000" w:fill="1F497D"/>
            <w:vAlign w:val="center"/>
            <w:hideMark/>
          </w:tcPr>
          <w:p w14:paraId="7B1A9A54"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Hour</w:t>
            </w:r>
          </w:p>
        </w:tc>
        <w:tc>
          <w:tcPr>
            <w:tcW w:w="1360" w:type="dxa"/>
            <w:tcBorders>
              <w:top w:val="single" w:sz="4" w:space="0" w:color="auto"/>
              <w:left w:val="nil"/>
              <w:bottom w:val="single" w:sz="4" w:space="0" w:color="auto"/>
              <w:right w:val="single" w:sz="4" w:space="0" w:color="auto"/>
            </w:tcBorders>
            <w:shd w:val="clear" w:color="000000" w:fill="1F497D"/>
            <w:vAlign w:val="center"/>
            <w:hideMark/>
          </w:tcPr>
          <w:p w14:paraId="469F9202"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Cost</w:t>
            </w:r>
          </w:p>
        </w:tc>
        <w:tc>
          <w:tcPr>
            <w:tcW w:w="744" w:type="dxa"/>
            <w:tcBorders>
              <w:top w:val="single" w:sz="4" w:space="0" w:color="auto"/>
              <w:left w:val="nil"/>
              <w:bottom w:val="single" w:sz="4" w:space="0" w:color="auto"/>
              <w:right w:val="single" w:sz="4" w:space="0" w:color="auto"/>
            </w:tcBorders>
            <w:shd w:val="clear" w:color="000000" w:fill="1F497D"/>
            <w:noWrap/>
            <w:vAlign w:val="center"/>
            <w:hideMark/>
          </w:tcPr>
          <w:p w14:paraId="72B13C8D"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Hours</w:t>
            </w:r>
          </w:p>
        </w:tc>
        <w:tc>
          <w:tcPr>
            <w:tcW w:w="1556" w:type="dxa"/>
            <w:tcBorders>
              <w:top w:val="single" w:sz="4" w:space="0" w:color="auto"/>
              <w:left w:val="nil"/>
              <w:bottom w:val="single" w:sz="4" w:space="0" w:color="auto"/>
              <w:right w:val="single" w:sz="4" w:space="0" w:color="auto"/>
            </w:tcBorders>
            <w:shd w:val="clear" w:color="000000" w:fill="1F497D"/>
            <w:vAlign w:val="center"/>
            <w:hideMark/>
          </w:tcPr>
          <w:p w14:paraId="146CE7A9"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Cost</w:t>
            </w:r>
          </w:p>
        </w:tc>
      </w:tr>
      <w:tr w:rsidR="006C27AE" w:rsidRPr="006C27AE" w14:paraId="3EF4F4A7" w14:textId="77777777" w:rsidTr="006C27AE">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F569D" w14:textId="77777777" w:rsidR="006C27AE" w:rsidRPr="006C27AE" w:rsidRDefault="006C27AE" w:rsidP="006C27AE">
            <w:pPr>
              <w:rPr>
                <w:rFonts w:ascii="Times New Roman" w:hAnsi="Times New Roman"/>
                <w:b/>
                <w:bCs/>
                <w:color w:val="000000"/>
                <w:sz w:val="20"/>
              </w:rPr>
            </w:pPr>
            <w:r w:rsidRPr="006C27AE">
              <w:rPr>
                <w:rFonts w:ascii="Times New Roman" w:hAnsi="Times New Roman"/>
                <w:b/>
                <w:bCs/>
                <w:color w:val="000000"/>
                <w:sz w:val="20"/>
              </w:rPr>
              <w:t>Total</w:t>
            </w:r>
          </w:p>
        </w:tc>
        <w:tc>
          <w:tcPr>
            <w:tcW w:w="724" w:type="dxa"/>
            <w:tcBorders>
              <w:top w:val="nil"/>
              <w:left w:val="nil"/>
              <w:bottom w:val="single" w:sz="4" w:space="0" w:color="auto"/>
              <w:right w:val="single" w:sz="4" w:space="0" w:color="auto"/>
            </w:tcBorders>
            <w:shd w:val="clear" w:color="auto" w:fill="auto"/>
            <w:noWrap/>
            <w:vAlign w:val="center"/>
            <w:hideMark/>
          </w:tcPr>
          <w:p w14:paraId="013ABAE7"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1,008</w:t>
            </w:r>
          </w:p>
        </w:tc>
        <w:tc>
          <w:tcPr>
            <w:tcW w:w="1696" w:type="dxa"/>
            <w:tcBorders>
              <w:top w:val="nil"/>
              <w:left w:val="nil"/>
              <w:bottom w:val="single" w:sz="4" w:space="0" w:color="auto"/>
              <w:right w:val="single" w:sz="4" w:space="0" w:color="auto"/>
            </w:tcBorders>
            <w:shd w:val="clear" w:color="auto" w:fill="auto"/>
            <w:noWrap/>
            <w:vAlign w:val="center"/>
            <w:hideMark/>
          </w:tcPr>
          <w:p w14:paraId="4520D8AE"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 xml:space="preserve">$134,780 </w:t>
            </w:r>
          </w:p>
        </w:tc>
        <w:tc>
          <w:tcPr>
            <w:tcW w:w="1100" w:type="dxa"/>
            <w:tcBorders>
              <w:top w:val="nil"/>
              <w:left w:val="nil"/>
              <w:bottom w:val="single" w:sz="4" w:space="0" w:color="auto"/>
              <w:right w:val="single" w:sz="4" w:space="0" w:color="auto"/>
            </w:tcBorders>
            <w:shd w:val="clear" w:color="auto" w:fill="auto"/>
            <w:noWrap/>
            <w:vAlign w:val="center"/>
            <w:hideMark/>
          </w:tcPr>
          <w:p w14:paraId="18255DDC"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 xml:space="preserve">$2,016 </w:t>
            </w:r>
          </w:p>
        </w:tc>
        <w:tc>
          <w:tcPr>
            <w:tcW w:w="1360" w:type="dxa"/>
            <w:tcBorders>
              <w:top w:val="nil"/>
              <w:left w:val="nil"/>
              <w:bottom w:val="single" w:sz="4" w:space="0" w:color="auto"/>
              <w:right w:val="single" w:sz="4" w:space="0" w:color="auto"/>
            </w:tcBorders>
            <w:shd w:val="clear" w:color="auto" w:fill="auto"/>
            <w:noWrap/>
            <w:vAlign w:val="center"/>
            <w:hideMark/>
          </w:tcPr>
          <w:p w14:paraId="6C8E8D45"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 xml:space="preserve">$269,559 </w:t>
            </w:r>
          </w:p>
        </w:tc>
        <w:tc>
          <w:tcPr>
            <w:tcW w:w="744" w:type="dxa"/>
            <w:tcBorders>
              <w:top w:val="nil"/>
              <w:left w:val="nil"/>
              <w:bottom w:val="single" w:sz="4" w:space="0" w:color="auto"/>
              <w:right w:val="single" w:sz="4" w:space="0" w:color="auto"/>
            </w:tcBorders>
            <w:shd w:val="clear" w:color="auto" w:fill="auto"/>
            <w:noWrap/>
            <w:vAlign w:val="center"/>
            <w:hideMark/>
          </w:tcPr>
          <w:p w14:paraId="33CE93CB"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3,024</w:t>
            </w:r>
          </w:p>
        </w:tc>
        <w:tc>
          <w:tcPr>
            <w:tcW w:w="1556" w:type="dxa"/>
            <w:tcBorders>
              <w:top w:val="nil"/>
              <w:left w:val="nil"/>
              <w:bottom w:val="single" w:sz="4" w:space="0" w:color="auto"/>
              <w:right w:val="single" w:sz="4" w:space="0" w:color="auto"/>
            </w:tcBorders>
            <w:shd w:val="clear" w:color="auto" w:fill="auto"/>
            <w:noWrap/>
            <w:vAlign w:val="center"/>
            <w:hideMark/>
          </w:tcPr>
          <w:p w14:paraId="170892D0"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 xml:space="preserve">$404,339 </w:t>
            </w:r>
          </w:p>
        </w:tc>
      </w:tr>
      <w:tr w:rsidR="006C27AE" w:rsidRPr="006C27AE" w14:paraId="2C0386C9" w14:textId="77777777" w:rsidTr="006C27AE">
        <w:trPr>
          <w:trHeight w:val="300"/>
        </w:trPr>
        <w:tc>
          <w:tcPr>
            <w:tcW w:w="2620" w:type="dxa"/>
            <w:tcBorders>
              <w:top w:val="nil"/>
              <w:left w:val="nil"/>
              <w:bottom w:val="nil"/>
              <w:right w:val="nil"/>
            </w:tcBorders>
            <w:shd w:val="clear" w:color="auto" w:fill="auto"/>
            <w:noWrap/>
            <w:vAlign w:val="bottom"/>
            <w:hideMark/>
          </w:tcPr>
          <w:p w14:paraId="565A8242" w14:textId="77777777" w:rsidR="006C27AE" w:rsidRPr="006C27AE" w:rsidRDefault="006C27AE" w:rsidP="006C27AE">
            <w:pPr>
              <w:jc w:val="right"/>
              <w:rPr>
                <w:rFonts w:ascii="Times New Roman" w:hAnsi="Times New Roman"/>
                <w:b/>
                <w:bCs/>
                <w:color w:val="000000"/>
                <w:sz w:val="20"/>
              </w:rPr>
            </w:pPr>
          </w:p>
        </w:tc>
        <w:tc>
          <w:tcPr>
            <w:tcW w:w="724" w:type="dxa"/>
            <w:tcBorders>
              <w:top w:val="nil"/>
              <w:left w:val="nil"/>
              <w:bottom w:val="nil"/>
              <w:right w:val="nil"/>
            </w:tcBorders>
            <w:shd w:val="clear" w:color="auto" w:fill="auto"/>
            <w:noWrap/>
            <w:vAlign w:val="bottom"/>
            <w:hideMark/>
          </w:tcPr>
          <w:p w14:paraId="694404C7" w14:textId="77777777" w:rsidR="006C27AE" w:rsidRPr="006C27AE" w:rsidRDefault="006C27AE" w:rsidP="006C27AE">
            <w:pPr>
              <w:rPr>
                <w:rFonts w:ascii="Times New Roman" w:hAnsi="Times New Roman"/>
                <w:sz w:val="20"/>
              </w:rPr>
            </w:pPr>
          </w:p>
        </w:tc>
        <w:tc>
          <w:tcPr>
            <w:tcW w:w="1696" w:type="dxa"/>
            <w:tcBorders>
              <w:top w:val="nil"/>
              <w:left w:val="nil"/>
              <w:bottom w:val="nil"/>
              <w:right w:val="nil"/>
            </w:tcBorders>
            <w:shd w:val="clear" w:color="auto" w:fill="auto"/>
            <w:noWrap/>
            <w:vAlign w:val="bottom"/>
            <w:hideMark/>
          </w:tcPr>
          <w:p w14:paraId="71782839" w14:textId="77777777" w:rsidR="006C27AE" w:rsidRPr="006C27AE" w:rsidRDefault="006C27AE" w:rsidP="006C27AE">
            <w:pPr>
              <w:rPr>
                <w:rFonts w:ascii="Times New Roman" w:hAnsi="Times New Roman"/>
                <w:sz w:val="20"/>
              </w:rPr>
            </w:pPr>
          </w:p>
        </w:tc>
        <w:tc>
          <w:tcPr>
            <w:tcW w:w="1100" w:type="dxa"/>
            <w:tcBorders>
              <w:top w:val="nil"/>
              <w:left w:val="nil"/>
              <w:bottom w:val="nil"/>
              <w:right w:val="nil"/>
            </w:tcBorders>
            <w:shd w:val="clear" w:color="auto" w:fill="auto"/>
            <w:noWrap/>
            <w:vAlign w:val="center"/>
            <w:hideMark/>
          </w:tcPr>
          <w:p w14:paraId="29ABFC0F" w14:textId="77777777" w:rsidR="006C27AE" w:rsidRPr="006C27AE" w:rsidRDefault="006C27AE" w:rsidP="006C27AE">
            <w:pPr>
              <w:rPr>
                <w:rFonts w:ascii="Times New Roman" w:hAnsi="Times New Roman"/>
                <w:sz w:val="20"/>
              </w:rPr>
            </w:pPr>
          </w:p>
        </w:tc>
        <w:tc>
          <w:tcPr>
            <w:tcW w:w="1360" w:type="dxa"/>
            <w:tcBorders>
              <w:top w:val="nil"/>
              <w:left w:val="nil"/>
              <w:bottom w:val="nil"/>
              <w:right w:val="nil"/>
            </w:tcBorders>
            <w:shd w:val="clear" w:color="auto" w:fill="auto"/>
            <w:noWrap/>
            <w:vAlign w:val="center"/>
            <w:hideMark/>
          </w:tcPr>
          <w:p w14:paraId="45F18DE9" w14:textId="77777777" w:rsidR="006C27AE" w:rsidRPr="006C27AE" w:rsidRDefault="006C27AE" w:rsidP="006C27AE">
            <w:pPr>
              <w:jc w:val="right"/>
              <w:rPr>
                <w:rFonts w:ascii="Times New Roman" w:hAnsi="Times New Roman"/>
                <w:sz w:val="20"/>
              </w:rPr>
            </w:pPr>
          </w:p>
        </w:tc>
        <w:tc>
          <w:tcPr>
            <w:tcW w:w="744" w:type="dxa"/>
            <w:tcBorders>
              <w:top w:val="nil"/>
              <w:left w:val="nil"/>
              <w:bottom w:val="nil"/>
              <w:right w:val="nil"/>
            </w:tcBorders>
            <w:shd w:val="clear" w:color="auto" w:fill="auto"/>
            <w:noWrap/>
            <w:vAlign w:val="center"/>
            <w:hideMark/>
          </w:tcPr>
          <w:p w14:paraId="5EDE01E7" w14:textId="77777777" w:rsidR="006C27AE" w:rsidRPr="006C27AE" w:rsidRDefault="006C27AE" w:rsidP="006C27AE">
            <w:pPr>
              <w:jc w:val="right"/>
              <w:rPr>
                <w:rFonts w:ascii="Times New Roman" w:hAnsi="Times New Roman"/>
                <w:sz w:val="20"/>
              </w:rPr>
            </w:pPr>
          </w:p>
        </w:tc>
        <w:tc>
          <w:tcPr>
            <w:tcW w:w="1556" w:type="dxa"/>
            <w:tcBorders>
              <w:top w:val="nil"/>
              <w:left w:val="nil"/>
              <w:bottom w:val="nil"/>
              <w:right w:val="nil"/>
            </w:tcBorders>
            <w:shd w:val="clear" w:color="auto" w:fill="auto"/>
            <w:noWrap/>
            <w:vAlign w:val="bottom"/>
            <w:hideMark/>
          </w:tcPr>
          <w:p w14:paraId="05FBE818" w14:textId="77777777" w:rsidR="006C27AE" w:rsidRPr="006C27AE" w:rsidRDefault="006C27AE" w:rsidP="006C27AE">
            <w:pPr>
              <w:jc w:val="right"/>
              <w:rPr>
                <w:rFonts w:ascii="Times New Roman" w:hAnsi="Times New Roman"/>
                <w:sz w:val="20"/>
              </w:rPr>
            </w:pPr>
          </w:p>
        </w:tc>
      </w:tr>
      <w:tr w:rsidR="006C27AE" w:rsidRPr="006C27AE" w14:paraId="334D2A7A" w14:textId="77777777" w:rsidTr="006C27AE">
        <w:trPr>
          <w:trHeight w:val="300"/>
        </w:trPr>
        <w:tc>
          <w:tcPr>
            <w:tcW w:w="262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1E568AFD"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M&amp;O QA</w:t>
            </w:r>
          </w:p>
        </w:tc>
        <w:tc>
          <w:tcPr>
            <w:tcW w:w="2420" w:type="dxa"/>
            <w:gridSpan w:val="2"/>
            <w:tcBorders>
              <w:top w:val="single" w:sz="4" w:space="0" w:color="auto"/>
              <w:left w:val="nil"/>
              <w:bottom w:val="single" w:sz="4" w:space="0" w:color="auto"/>
              <w:right w:val="single" w:sz="4" w:space="0" w:color="000000"/>
            </w:tcBorders>
            <w:shd w:val="clear" w:color="000000" w:fill="1F497D"/>
            <w:vAlign w:val="center"/>
            <w:hideMark/>
          </w:tcPr>
          <w:p w14:paraId="791EC7B3"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Combined Total Cost</w:t>
            </w:r>
          </w:p>
        </w:tc>
        <w:tc>
          <w:tcPr>
            <w:tcW w:w="1100" w:type="dxa"/>
            <w:tcBorders>
              <w:top w:val="nil"/>
              <w:left w:val="nil"/>
              <w:bottom w:val="nil"/>
              <w:right w:val="nil"/>
            </w:tcBorders>
            <w:shd w:val="clear" w:color="auto" w:fill="auto"/>
            <w:noWrap/>
            <w:vAlign w:val="center"/>
            <w:hideMark/>
          </w:tcPr>
          <w:p w14:paraId="2CE01C48" w14:textId="77777777" w:rsidR="006C27AE" w:rsidRPr="006C27AE" w:rsidRDefault="006C27AE" w:rsidP="006C27AE">
            <w:pPr>
              <w:jc w:val="center"/>
              <w:rPr>
                <w:rFonts w:ascii="Times New Roman" w:hAnsi="Times New Roman"/>
                <w:b/>
                <w:bCs/>
                <w:color w:val="FFFFFF"/>
                <w:sz w:val="20"/>
              </w:rPr>
            </w:pPr>
          </w:p>
        </w:tc>
        <w:tc>
          <w:tcPr>
            <w:tcW w:w="1360" w:type="dxa"/>
            <w:tcBorders>
              <w:top w:val="nil"/>
              <w:left w:val="nil"/>
              <w:bottom w:val="nil"/>
              <w:right w:val="nil"/>
            </w:tcBorders>
            <w:shd w:val="clear" w:color="auto" w:fill="auto"/>
            <w:noWrap/>
            <w:vAlign w:val="center"/>
            <w:hideMark/>
          </w:tcPr>
          <w:p w14:paraId="2CA9D28B" w14:textId="77777777" w:rsidR="006C27AE" w:rsidRPr="006C27AE" w:rsidRDefault="006C27AE" w:rsidP="006C27AE">
            <w:pPr>
              <w:jc w:val="right"/>
              <w:rPr>
                <w:rFonts w:ascii="Times New Roman" w:hAnsi="Times New Roman"/>
                <w:sz w:val="20"/>
              </w:rPr>
            </w:pPr>
          </w:p>
        </w:tc>
        <w:tc>
          <w:tcPr>
            <w:tcW w:w="744" w:type="dxa"/>
            <w:tcBorders>
              <w:top w:val="nil"/>
              <w:left w:val="nil"/>
              <w:bottom w:val="nil"/>
              <w:right w:val="nil"/>
            </w:tcBorders>
            <w:shd w:val="clear" w:color="auto" w:fill="auto"/>
            <w:noWrap/>
            <w:vAlign w:val="center"/>
            <w:hideMark/>
          </w:tcPr>
          <w:p w14:paraId="09FEF6EA" w14:textId="77777777" w:rsidR="006C27AE" w:rsidRPr="006C27AE" w:rsidRDefault="006C27AE" w:rsidP="006C27AE">
            <w:pPr>
              <w:jc w:val="right"/>
              <w:rPr>
                <w:rFonts w:ascii="Times New Roman" w:hAnsi="Times New Roman"/>
                <w:sz w:val="20"/>
              </w:rPr>
            </w:pPr>
          </w:p>
        </w:tc>
        <w:tc>
          <w:tcPr>
            <w:tcW w:w="1556" w:type="dxa"/>
            <w:tcBorders>
              <w:top w:val="nil"/>
              <w:left w:val="nil"/>
              <w:bottom w:val="nil"/>
              <w:right w:val="nil"/>
            </w:tcBorders>
            <w:shd w:val="clear" w:color="auto" w:fill="auto"/>
            <w:noWrap/>
            <w:vAlign w:val="bottom"/>
            <w:hideMark/>
          </w:tcPr>
          <w:p w14:paraId="15532F60" w14:textId="77777777" w:rsidR="006C27AE" w:rsidRPr="006C27AE" w:rsidRDefault="006C27AE" w:rsidP="006C27AE">
            <w:pPr>
              <w:jc w:val="right"/>
              <w:rPr>
                <w:rFonts w:ascii="Times New Roman" w:hAnsi="Times New Roman"/>
                <w:sz w:val="20"/>
              </w:rPr>
            </w:pPr>
          </w:p>
        </w:tc>
      </w:tr>
      <w:tr w:rsidR="006C27AE" w:rsidRPr="006C27AE" w14:paraId="00312CFF" w14:textId="77777777" w:rsidTr="006C27AE">
        <w:trPr>
          <w:trHeight w:val="300"/>
        </w:trPr>
        <w:tc>
          <w:tcPr>
            <w:tcW w:w="2620" w:type="dxa"/>
            <w:vMerge/>
            <w:tcBorders>
              <w:top w:val="single" w:sz="4" w:space="0" w:color="auto"/>
              <w:left w:val="single" w:sz="4" w:space="0" w:color="auto"/>
              <w:bottom w:val="single" w:sz="4" w:space="0" w:color="000000"/>
              <w:right w:val="single" w:sz="4" w:space="0" w:color="auto"/>
            </w:tcBorders>
            <w:vAlign w:val="center"/>
            <w:hideMark/>
          </w:tcPr>
          <w:p w14:paraId="3263516E" w14:textId="77777777" w:rsidR="006C27AE" w:rsidRPr="006C27AE" w:rsidRDefault="006C27AE" w:rsidP="006C27AE">
            <w:pPr>
              <w:rPr>
                <w:rFonts w:ascii="Times New Roman" w:hAnsi="Times New Roman"/>
                <w:b/>
                <w:bCs/>
                <w:color w:val="FFFFFF"/>
                <w:sz w:val="20"/>
              </w:rPr>
            </w:pPr>
          </w:p>
        </w:tc>
        <w:tc>
          <w:tcPr>
            <w:tcW w:w="724"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2737AAE6"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Hours</w:t>
            </w:r>
          </w:p>
        </w:tc>
        <w:tc>
          <w:tcPr>
            <w:tcW w:w="1696" w:type="dxa"/>
            <w:tcBorders>
              <w:top w:val="single" w:sz="4" w:space="0" w:color="auto"/>
              <w:left w:val="nil"/>
              <w:bottom w:val="single" w:sz="4" w:space="0" w:color="auto"/>
              <w:right w:val="single" w:sz="4" w:space="0" w:color="auto"/>
            </w:tcBorders>
            <w:shd w:val="clear" w:color="000000" w:fill="1F497D"/>
            <w:vAlign w:val="center"/>
            <w:hideMark/>
          </w:tcPr>
          <w:p w14:paraId="1DA40D67" w14:textId="77777777" w:rsidR="006C27AE" w:rsidRPr="006C27AE" w:rsidRDefault="006C27AE" w:rsidP="006C27AE">
            <w:pPr>
              <w:jc w:val="center"/>
              <w:rPr>
                <w:rFonts w:ascii="Times New Roman" w:hAnsi="Times New Roman"/>
                <w:b/>
                <w:bCs/>
                <w:color w:val="FFFFFF"/>
                <w:sz w:val="20"/>
              </w:rPr>
            </w:pPr>
            <w:r w:rsidRPr="006C27AE">
              <w:rPr>
                <w:rFonts w:ascii="Times New Roman" w:hAnsi="Times New Roman"/>
                <w:b/>
                <w:bCs/>
                <w:color w:val="FFFFFF"/>
                <w:sz w:val="20"/>
              </w:rPr>
              <w:t>Cost</w:t>
            </w:r>
          </w:p>
        </w:tc>
        <w:tc>
          <w:tcPr>
            <w:tcW w:w="1100" w:type="dxa"/>
            <w:tcBorders>
              <w:top w:val="nil"/>
              <w:left w:val="nil"/>
              <w:bottom w:val="nil"/>
              <w:right w:val="nil"/>
            </w:tcBorders>
            <w:shd w:val="clear" w:color="auto" w:fill="auto"/>
            <w:noWrap/>
            <w:vAlign w:val="center"/>
            <w:hideMark/>
          </w:tcPr>
          <w:p w14:paraId="39A2E5B6" w14:textId="77777777" w:rsidR="006C27AE" w:rsidRPr="006C27AE" w:rsidRDefault="006C27AE" w:rsidP="006C27AE">
            <w:pPr>
              <w:jc w:val="center"/>
              <w:rPr>
                <w:rFonts w:ascii="Times New Roman" w:hAnsi="Times New Roman"/>
                <w:b/>
                <w:bCs/>
                <w:color w:val="FFFFFF"/>
                <w:sz w:val="20"/>
              </w:rPr>
            </w:pPr>
          </w:p>
        </w:tc>
        <w:tc>
          <w:tcPr>
            <w:tcW w:w="1360" w:type="dxa"/>
            <w:tcBorders>
              <w:top w:val="nil"/>
              <w:left w:val="nil"/>
              <w:bottom w:val="nil"/>
              <w:right w:val="nil"/>
            </w:tcBorders>
            <w:shd w:val="clear" w:color="auto" w:fill="auto"/>
            <w:noWrap/>
            <w:vAlign w:val="center"/>
            <w:hideMark/>
          </w:tcPr>
          <w:p w14:paraId="395340EC" w14:textId="77777777" w:rsidR="006C27AE" w:rsidRPr="006C27AE" w:rsidRDefault="006C27AE" w:rsidP="006C27AE">
            <w:pPr>
              <w:jc w:val="right"/>
              <w:rPr>
                <w:rFonts w:ascii="Times New Roman" w:hAnsi="Times New Roman"/>
                <w:sz w:val="20"/>
              </w:rPr>
            </w:pPr>
          </w:p>
        </w:tc>
        <w:tc>
          <w:tcPr>
            <w:tcW w:w="744" w:type="dxa"/>
            <w:tcBorders>
              <w:top w:val="nil"/>
              <w:left w:val="nil"/>
              <w:bottom w:val="nil"/>
              <w:right w:val="nil"/>
            </w:tcBorders>
            <w:shd w:val="clear" w:color="auto" w:fill="auto"/>
            <w:noWrap/>
            <w:vAlign w:val="center"/>
            <w:hideMark/>
          </w:tcPr>
          <w:p w14:paraId="49EE745A" w14:textId="77777777" w:rsidR="006C27AE" w:rsidRPr="006C27AE" w:rsidRDefault="006C27AE" w:rsidP="006C27AE">
            <w:pPr>
              <w:jc w:val="right"/>
              <w:rPr>
                <w:rFonts w:ascii="Times New Roman" w:hAnsi="Times New Roman"/>
                <w:sz w:val="20"/>
              </w:rPr>
            </w:pPr>
          </w:p>
        </w:tc>
        <w:tc>
          <w:tcPr>
            <w:tcW w:w="1556" w:type="dxa"/>
            <w:tcBorders>
              <w:top w:val="nil"/>
              <w:left w:val="nil"/>
              <w:bottom w:val="nil"/>
              <w:right w:val="nil"/>
            </w:tcBorders>
            <w:shd w:val="clear" w:color="auto" w:fill="auto"/>
            <w:noWrap/>
            <w:vAlign w:val="bottom"/>
            <w:hideMark/>
          </w:tcPr>
          <w:p w14:paraId="5BF279A2" w14:textId="77777777" w:rsidR="006C27AE" w:rsidRPr="006C27AE" w:rsidRDefault="006C27AE" w:rsidP="006C27AE">
            <w:pPr>
              <w:jc w:val="right"/>
              <w:rPr>
                <w:rFonts w:ascii="Times New Roman" w:hAnsi="Times New Roman"/>
                <w:sz w:val="20"/>
              </w:rPr>
            </w:pPr>
          </w:p>
        </w:tc>
      </w:tr>
      <w:tr w:rsidR="006C27AE" w:rsidRPr="006C27AE" w14:paraId="564D19E7" w14:textId="77777777" w:rsidTr="006C27AE">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7F0C0" w14:textId="77777777" w:rsidR="006C27AE" w:rsidRPr="006C27AE" w:rsidRDefault="006C27AE" w:rsidP="006C27AE">
            <w:pPr>
              <w:rPr>
                <w:rFonts w:ascii="Times New Roman" w:hAnsi="Times New Roman"/>
                <w:b/>
                <w:bCs/>
                <w:color w:val="000000"/>
                <w:sz w:val="20"/>
              </w:rPr>
            </w:pPr>
            <w:r w:rsidRPr="006C27AE">
              <w:rPr>
                <w:rFonts w:ascii="Times New Roman" w:hAnsi="Times New Roman"/>
                <w:b/>
                <w:bCs/>
                <w:color w:val="000000"/>
                <w:sz w:val="20"/>
              </w:rPr>
              <w:t>Total</w:t>
            </w:r>
          </w:p>
        </w:tc>
        <w:tc>
          <w:tcPr>
            <w:tcW w:w="724" w:type="dxa"/>
            <w:tcBorders>
              <w:top w:val="nil"/>
              <w:left w:val="nil"/>
              <w:bottom w:val="single" w:sz="4" w:space="0" w:color="auto"/>
              <w:right w:val="single" w:sz="4" w:space="0" w:color="auto"/>
            </w:tcBorders>
            <w:shd w:val="clear" w:color="auto" w:fill="auto"/>
            <w:noWrap/>
            <w:vAlign w:val="center"/>
            <w:hideMark/>
          </w:tcPr>
          <w:p w14:paraId="54FBE5D8"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19,908</w:t>
            </w:r>
          </w:p>
        </w:tc>
        <w:tc>
          <w:tcPr>
            <w:tcW w:w="1696" w:type="dxa"/>
            <w:tcBorders>
              <w:top w:val="nil"/>
              <w:left w:val="nil"/>
              <w:bottom w:val="single" w:sz="4" w:space="0" w:color="auto"/>
              <w:right w:val="single" w:sz="4" w:space="0" w:color="auto"/>
            </w:tcBorders>
            <w:shd w:val="clear" w:color="auto" w:fill="auto"/>
            <w:noWrap/>
            <w:vAlign w:val="center"/>
            <w:hideMark/>
          </w:tcPr>
          <w:p w14:paraId="5EAD6D81" w14:textId="77777777" w:rsidR="006C27AE" w:rsidRPr="006C27AE" w:rsidRDefault="006C27AE" w:rsidP="006C27AE">
            <w:pPr>
              <w:jc w:val="right"/>
              <w:rPr>
                <w:rFonts w:ascii="Times New Roman" w:hAnsi="Times New Roman"/>
                <w:b/>
                <w:bCs/>
                <w:color w:val="000000"/>
                <w:sz w:val="20"/>
              </w:rPr>
            </w:pPr>
            <w:r w:rsidRPr="006C27AE">
              <w:rPr>
                <w:rFonts w:ascii="Times New Roman" w:hAnsi="Times New Roman"/>
                <w:b/>
                <w:bCs/>
                <w:color w:val="000000"/>
                <w:sz w:val="20"/>
              </w:rPr>
              <w:t xml:space="preserve">$2,490,833 </w:t>
            </w:r>
          </w:p>
        </w:tc>
        <w:tc>
          <w:tcPr>
            <w:tcW w:w="1100" w:type="dxa"/>
            <w:tcBorders>
              <w:top w:val="nil"/>
              <w:left w:val="nil"/>
              <w:bottom w:val="nil"/>
              <w:right w:val="nil"/>
            </w:tcBorders>
            <w:shd w:val="clear" w:color="auto" w:fill="auto"/>
            <w:noWrap/>
            <w:vAlign w:val="center"/>
            <w:hideMark/>
          </w:tcPr>
          <w:p w14:paraId="3E4EC621" w14:textId="77777777" w:rsidR="006C27AE" w:rsidRPr="006C27AE" w:rsidRDefault="006C27AE" w:rsidP="006C27AE">
            <w:pPr>
              <w:jc w:val="right"/>
              <w:rPr>
                <w:rFonts w:ascii="Times New Roman" w:hAnsi="Times New Roman"/>
                <w:b/>
                <w:bCs/>
                <w:color w:val="000000"/>
                <w:sz w:val="20"/>
              </w:rPr>
            </w:pPr>
          </w:p>
        </w:tc>
        <w:tc>
          <w:tcPr>
            <w:tcW w:w="1360" w:type="dxa"/>
            <w:tcBorders>
              <w:top w:val="nil"/>
              <w:left w:val="nil"/>
              <w:bottom w:val="nil"/>
              <w:right w:val="nil"/>
            </w:tcBorders>
            <w:shd w:val="clear" w:color="auto" w:fill="auto"/>
            <w:noWrap/>
            <w:vAlign w:val="center"/>
            <w:hideMark/>
          </w:tcPr>
          <w:p w14:paraId="6F13B8C7" w14:textId="77777777" w:rsidR="006C27AE" w:rsidRPr="006C27AE" w:rsidRDefault="006C27AE" w:rsidP="006C27AE">
            <w:pPr>
              <w:jc w:val="right"/>
              <w:rPr>
                <w:rFonts w:ascii="Times New Roman" w:hAnsi="Times New Roman"/>
                <w:sz w:val="20"/>
              </w:rPr>
            </w:pPr>
          </w:p>
        </w:tc>
        <w:tc>
          <w:tcPr>
            <w:tcW w:w="744" w:type="dxa"/>
            <w:tcBorders>
              <w:top w:val="nil"/>
              <w:left w:val="nil"/>
              <w:bottom w:val="nil"/>
              <w:right w:val="nil"/>
            </w:tcBorders>
            <w:shd w:val="clear" w:color="auto" w:fill="auto"/>
            <w:noWrap/>
            <w:vAlign w:val="center"/>
            <w:hideMark/>
          </w:tcPr>
          <w:p w14:paraId="62A48D7F" w14:textId="77777777" w:rsidR="006C27AE" w:rsidRPr="006C27AE" w:rsidRDefault="006C27AE" w:rsidP="006C27AE">
            <w:pPr>
              <w:jc w:val="right"/>
              <w:rPr>
                <w:rFonts w:ascii="Times New Roman" w:hAnsi="Times New Roman"/>
                <w:sz w:val="20"/>
              </w:rPr>
            </w:pPr>
          </w:p>
        </w:tc>
        <w:tc>
          <w:tcPr>
            <w:tcW w:w="1556" w:type="dxa"/>
            <w:tcBorders>
              <w:top w:val="nil"/>
              <w:left w:val="nil"/>
              <w:bottom w:val="nil"/>
              <w:right w:val="nil"/>
            </w:tcBorders>
            <w:shd w:val="clear" w:color="auto" w:fill="auto"/>
            <w:noWrap/>
            <w:vAlign w:val="bottom"/>
            <w:hideMark/>
          </w:tcPr>
          <w:p w14:paraId="5DD52DDB" w14:textId="77777777" w:rsidR="006C27AE" w:rsidRPr="006C27AE" w:rsidRDefault="006C27AE" w:rsidP="006C27AE">
            <w:pPr>
              <w:jc w:val="right"/>
              <w:rPr>
                <w:rFonts w:ascii="Times New Roman" w:hAnsi="Times New Roman"/>
                <w:sz w:val="20"/>
              </w:rPr>
            </w:pPr>
          </w:p>
        </w:tc>
      </w:tr>
    </w:tbl>
    <w:p w14:paraId="5B970594" w14:textId="77777777" w:rsidR="006C27AE" w:rsidRDefault="006C27AE" w:rsidP="00E20A61">
      <w:pPr>
        <w:ind w:left="720"/>
        <w:rPr>
          <w:rFonts w:cs="Arial"/>
          <w:szCs w:val="22"/>
        </w:rPr>
      </w:pPr>
    </w:p>
    <w:p w14:paraId="4BBDEBC9" w14:textId="6C5CED66" w:rsidR="00E20A61" w:rsidRDefault="00E20A61" w:rsidP="00E20A61">
      <w:pPr>
        <w:ind w:left="720"/>
        <w:rPr>
          <w:rFonts w:cs="Arial"/>
          <w:szCs w:val="22"/>
        </w:rPr>
      </w:pPr>
      <w:r w:rsidRPr="00FC1542">
        <w:rPr>
          <w:rFonts w:cs="Arial"/>
          <w:szCs w:val="22"/>
        </w:rPr>
        <w:t xml:space="preserve">The Change Order cost includes </w:t>
      </w:r>
      <w:r w:rsidR="00C13B99">
        <w:rPr>
          <w:rFonts w:cs="Arial"/>
          <w:szCs w:val="22"/>
        </w:rPr>
        <w:t>QA</w:t>
      </w:r>
      <w:r>
        <w:rPr>
          <w:rFonts w:cs="Arial"/>
          <w:szCs w:val="22"/>
        </w:rPr>
        <w:t xml:space="preserve"> </w:t>
      </w:r>
      <w:r w:rsidRPr="00FC1542">
        <w:rPr>
          <w:rFonts w:cs="Arial"/>
          <w:szCs w:val="22"/>
        </w:rPr>
        <w:t xml:space="preserve">Services that run through </w:t>
      </w:r>
      <w:r w:rsidR="008E56EB">
        <w:rPr>
          <w:szCs w:val="22"/>
        </w:rPr>
        <w:t xml:space="preserve">SFY </w:t>
      </w:r>
      <w:r w:rsidR="00DC0759">
        <w:rPr>
          <w:szCs w:val="22"/>
        </w:rPr>
        <w:t>2020/21</w:t>
      </w:r>
      <w:r w:rsidRPr="00FC1542">
        <w:rPr>
          <w:rFonts w:cs="Arial"/>
          <w:szCs w:val="22"/>
        </w:rPr>
        <w:t xml:space="preserve">. </w:t>
      </w:r>
      <w:r>
        <w:rPr>
          <w:rFonts w:cs="Arial"/>
          <w:szCs w:val="22"/>
        </w:rPr>
        <w:t xml:space="preserve"> First Data</w:t>
      </w:r>
      <w:r w:rsidRPr="00FC1542">
        <w:rPr>
          <w:rFonts w:cs="Arial"/>
          <w:szCs w:val="22"/>
        </w:rPr>
        <w:t xml:space="preserve">’s obligation to perform under this Change Order and the Agreement, including </w:t>
      </w:r>
      <w:r w:rsidR="00C13B99">
        <w:rPr>
          <w:rFonts w:cs="Arial"/>
          <w:szCs w:val="22"/>
        </w:rPr>
        <w:t>QA</w:t>
      </w:r>
      <w:r>
        <w:rPr>
          <w:rFonts w:cs="Arial"/>
          <w:szCs w:val="22"/>
        </w:rPr>
        <w:t xml:space="preserve"> </w:t>
      </w:r>
      <w:r w:rsidRPr="00FC1542">
        <w:rPr>
          <w:rFonts w:cs="Arial"/>
          <w:szCs w:val="22"/>
        </w:rPr>
        <w:t>Services, are deemed to be complete, and shall terminate and expire, upon the termination of this Agreement.</w:t>
      </w:r>
    </w:p>
    <w:p w14:paraId="500B62DF" w14:textId="77777777" w:rsidR="00E20A61" w:rsidRDefault="00E20A61" w:rsidP="0084275F">
      <w:pPr>
        <w:ind w:left="720"/>
      </w:pPr>
    </w:p>
    <w:p w14:paraId="5FDCF195" w14:textId="77777777" w:rsidR="005168B2" w:rsidRDefault="005168B2" w:rsidP="0084275F">
      <w:pPr>
        <w:ind w:left="720"/>
      </w:pPr>
    </w:p>
    <w:p w14:paraId="3A2CC289" w14:textId="77777777" w:rsidR="004A09A8" w:rsidRDefault="004A09A8" w:rsidP="00303B36">
      <w:pPr>
        <w:keepNext/>
        <w:widowControl w:val="0"/>
        <w:numPr>
          <w:ilvl w:val="0"/>
          <w:numId w:val="5"/>
        </w:numPr>
        <w:tabs>
          <w:tab w:val="left" w:pos="90"/>
        </w:tabs>
        <w:autoSpaceDE w:val="0"/>
        <w:autoSpaceDN w:val="0"/>
        <w:adjustRightInd w:val="0"/>
        <w:rPr>
          <w:b/>
          <w:bCs/>
        </w:rPr>
      </w:pPr>
      <w:r>
        <w:rPr>
          <w:b/>
          <w:bCs/>
        </w:rPr>
        <w:t>Impact on the Agreement:</w:t>
      </w:r>
    </w:p>
    <w:p w14:paraId="622FE0B4" w14:textId="77777777" w:rsidR="004A09A8" w:rsidRDefault="004A09A8" w:rsidP="00303B36">
      <w:pPr>
        <w:pStyle w:val="BodyTextIndent2"/>
        <w:keepNext/>
        <w:ind w:left="0"/>
      </w:pPr>
    </w:p>
    <w:p w14:paraId="61CC388C" w14:textId="677AF8B4" w:rsidR="004A09A8" w:rsidRDefault="004A09A8">
      <w:pPr>
        <w:pStyle w:val="BodyTextIndent2"/>
      </w:pPr>
      <w:r w:rsidRPr="00D55073">
        <w:t xml:space="preserve">The changes outlined in this Change Order are incorporated into the Agreement </w:t>
      </w:r>
      <w:r w:rsidR="00675E58">
        <w:t xml:space="preserve">and </w:t>
      </w:r>
      <w:r w:rsidRPr="00D55073">
        <w:t xml:space="preserve">Amendment No. </w:t>
      </w:r>
      <w:r w:rsidR="008E56EB">
        <w:t>Sixty-</w:t>
      </w:r>
      <w:r w:rsidR="006C27AE" w:rsidRPr="00DC0759">
        <w:t>Nine</w:t>
      </w:r>
      <w:r w:rsidR="006C27AE" w:rsidRPr="00D55073">
        <w:t xml:space="preserve"> </w:t>
      </w:r>
      <w:r w:rsidR="008E56EB">
        <w:t xml:space="preserve">dated </w:t>
      </w:r>
      <w:r w:rsidR="00381CD9">
        <w:t>July 17</w:t>
      </w:r>
      <w:r w:rsidR="00853466">
        <w:t>, 2020</w:t>
      </w:r>
      <w:r w:rsidR="008E56EB">
        <w:t xml:space="preserve">, </w:t>
      </w:r>
      <w:r w:rsidRPr="00D55073">
        <w:t>as follows:</w:t>
      </w:r>
    </w:p>
    <w:p w14:paraId="72A246EC" w14:textId="77777777" w:rsidR="004A09A8" w:rsidRDefault="004A09A8">
      <w:pPr>
        <w:pStyle w:val="BodyTextIndent2"/>
        <w:ind w:left="1440"/>
      </w:pPr>
    </w:p>
    <w:p w14:paraId="5687B36F" w14:textId="77777777" w:rsidR="004A09A8" w:rsidRDefault="004A09A8" w:rsidP="007D6754">
      <w:pPr>
        <w:pStyle w:val="BulletLevel1"/>
      </w:pPr>
      <w:r>
        <w:t>Exhibit A, Financial Matters – The total increase to the Prices and Charges under the Agreement is incorporated into Sections A, C and D.</w:t>
      </w:r>
    </w:p>
    <w:p w14:paraId="2EFB9226" w14:textId="77777777" w:rsidR="004A09A8" w:rsidRDefault="004A09A8" w:rsidP="00144249">
      <w:pPr>
        <w:keepNext/>
        <w:widowControl w:val="0"/>
        <w:numPr>
          <w:ilvl w:val="0"/>
          <w:numId w:val="5"/>
        </w:numPr>
        <w:tabs>
          <w:tab w:val="left" w:pos="90"/>
        </w:tabs>
        <w:autoSpaceDE w:val="0"/>
        <w:autoSpaceDN w:val="0"/>
        <w:adjustRightInd w:val="0"/>
        <w:rPr>
          <w:caps/>
          <w:u w:val="single"/>
        </w:rPr>
      </w:pPr>
      <w:r>
        <w:rPr>
          <w:caps/>
          <w:u w:val="single"/>
        </w:rPr>
        <w:br w:type="page"/>
        <w:t>Change Order Approval</w:t>
      </w:r>
    </w:p>
    <w:p w14:paraId="04229A12" w14:textId="77777777" w:rsidR="004A09A8" w:rsidRDefault="004A09A8">
      <w:pPr>
        <w:pStyle w:val="Informal1"/>
        <w:spacing w:before="0" w:after="0"/>
        <w:rPr>
          <w:rFonts w:ascii="Book Antiqua" w:hAnsi="Book Antiqua"/>
          <w:noProof w:val="0"/>
          <w:sz w:val="22"/>
        </w:rPr>
      </w:pPr>
    </w:p>
    <w:p w14:paraId="3E7D44FC" w14:textId="77777777" w:rsidR="004A09A8" w:rsidRDefault="004A09A8">
      <w:pPr>
        <w:pStyle w:val="Heading4"/>
        <w:rPr>
          <w:rFonts w:ascii="Book Antiqua" w:hAnsi="Book Antiqua"/>
        </w:rPr>
      </w:pPr>
    </w:p>
    <w:p w14:paraId="66CC43F9" w14:textId="122E6C97" w:rsidR="004A09A8" w:rsidRDefault="004A09A8">
      <w:pPr>
        <w:pStyle w:val="Heading4"/>
        <w:ind w:left="720"/>
        <w:rPr>
          <w:rFonts w:ascii="Book Antiqua" w:hAnsi="Book Antiqua"/>
        </w:rPr>
      </w:pPr>
      <w:r>
        <w:rPr>
          <w:rFonts w:ascii="Book Antiqua" w:hAnsi="Book Antiqua"/>
        </w:rPr>
        <w:t>Subject:</w:t>
      </w:r>
      <w:r>
        <w:rPr>
          <w:rFonts w:ascii="Book Antiqua" w:hAnsi="Book Antiqua"/>
        </w:rPr>
        <w:tab/>
      </w:r>
      <w:r>
        <w:rPr>
          <w:rFonts w:ascii="Book Antiqua" w:hAnsi="Book Antiqua"/>
          <w:u w:val="single"/>
        </w:rPr>
        <w:t>Change Order CO-</w:t>
      </w:r>
      <w:r w:rsidRPr="00E43826">
        <w:rPr>
          <w:rFonts w:ascii="Book Antiqua" w:hAnsi="Book Antiqua"/>
          <w:u w:val="single"/>
        </w:rPr>
        <w:t>0</w:t>
      </w:r>
      <w:r w:rsidR="00EC4A74" w:rsidRPr="00E43826">
        <w:rPr>
          <w:rFonts w:ascii="Book Antiqua" w:hAnsi="Book Antiqua"/>
          <w:u w:val="single"/>
        </w:rPr>
        <w:t>1</w:t>
      </w:r>
      <w:r w:rsidR="001A5B98">
        <w:rPr>
          <w:rFonts w:ascii="Book Antiqua" w:hAnsi="Book Antiqua"/>
          <w:u w:val="single"/>
        </w:rPr>
        <w:t>8</w:t>
      </w:r>
      <w:r w:rsidRPr="00E43826">
        <w:rPr>
          <w:rFonts w:ascii="Book Antiqua" w:hAnsi="Book Antiqua"/>
          <w:u w:val="single"/>
        </w:rPr>
        <w:t xml:space="preserve"> </w:t>
      </w:r>
      <w:r w:rsidR="002577FD">
        <w:rPr>
          <w:rFonts w:ascii="Book Antiqua" w:hAnsi="Book Antiqua"/>
          <w:u w:val="single"/>
        </w:rPr>
        <w:t>Rev.</w:t>
      </w:r>
      <w:r w:rsidR="00853466">
        <w:rPr>
          <w:rFonts w:ascii="Book Antiqua" w:hAnsi="Book Antiqua"/>
          <w:u w:val="single"/>
        </w:rPr>
        <w:t>3</w:t>
      </w:r>
      <w:r w:rsidR="004104EB">
        <w:rPr>
          <w:rFonts w:ascii="Book Antiqua" w:hAnsi="Book Antiqua"/>
          <w:u w:val="single"/>
        </w:rPr>
        <w:t xml:space="preserve">– </w:t>
      </w:r>
      <w:r w:rsidR="00D67CD0">
        <w:rPr>
          <w:rFonts w:ascii="Book Antiqua" w:hAnsi="Book Antiqua"/>
          <w:u w:val="single"/>
        </w:rPr>
        <w:t xml:space="preserve">Central CCP </w:t>
      </w:r>
      <w:r w:rsidR="001A5B98">
        <w:rPr>
          <w:rFonts w:ascii="Book Antiqua" w:hAnsi="Book Antiqua"/>
          <w:u w:val="single"/>
        </w:rPr>
        <w:t xml:space="preserve">Covered CA </w:t>
      </w:r>
      <w:r w:rsidR="00E43826">
        <w:rPr>
          <w:rFonts w:ascii="Book Antiqua" w:hAnsi="Book Antiqua"/>
          <w:u w:val="single"/>
        </w:rPr>
        <w:t>Changes</w:t>
      </w:r>
    </w:p>
    <w:p w14:paraId="45588BC9" w14:textId="77777777" w:rsidR="004A09A8" w:rsidRDefault="004A09A8"/>
    <w:p w14:paraId="70F7802C" w14:textId="77777777" w:rsidR="004A09A8" w:rsidRDefault="004A09A8"/>
    <w:p w14:paraId="61FD163D" w14:textId="1A089C53" w:rsidR="004A09A8" w:rsidRDefault="004A09A8">
      <w:pPr>
        <w:pStyle w:val="Heading4"/>
        <w:ind w:left="720"/>
        <w:rPr>
          <w:rFonts w:ascii="Book Antiqua" w:hAnsi="Book Antiqua"/>
          <w:b w:val="0"/>
          <w:bCs w:val="0"/>
        </w:rPr>
      </w:pPr>
      <w:r>
        <w:rPr>
          <w:rFonts w:ascii="Book Antiqua" w:hAnsi="Book Antiqua"/>
          <w:b w:val="0"/>
          <w:bCs w:val="0"/>
        </w:rPr>
        <w:t>The subject document is accepted as allowing First Data to proceed with Change Order CO-</w:t>
      </w:r>
      <w:r w:rsidRPr="00E43826">
        <w:rPr>
          <w:rFonts w:ascii="Book Antiqua" w:hAnsi="Book Antiqua"/>
          <w:b w:val="0"/>
          <w:bCs w:val="0"/>
        </w:rPr>
        <w:t>01</w:t>
      </w:r>
      <w:r w:rsidR="006E77FE">
        <w:rPr>
          <w:rFonts w:ascii="Book Antiqua" w:hAnsi="Book Antiqua"/>
          <w:b w:val="0"/>
          <w:bCs w:val="0"/>
        </w:rPr>
        <w:t>8</w:t>
      </w:r>
      <w:r w:rsidRPr="00E43826">
        <w:rPr>
          <w:rFonts w:ascii="Book Antiqua" w:hAnsi="Book Antiqua"/>
          <w:b w:val="0"/>
          <w:bCs w:val="0"/>
        </w:rPr>
        <w:t xml:space="preserve"> </w:t>
      </w:r>
      <w:r w:rsidR="002577FD">
        <w:rPr>
          <w:rFonts w:ascii="Book Antiqua" w:hAnsi="Book Antiqua"/>
          <w:b w:val="0"/>
          <w:bCs w:val="0"/>
        </w:rPr>
        <w:t>Rev.</w:t>
      </w:r>
      <w:r w:rsidR="00DC0759">
        <w:rPr>
          <w:rFonts w:ascii="Book Antiqua" w:hAnsi="Book Antiqua"/>
          <w:b w:val="0"/>
          <w:bCs w:val="0"/>
        </w:rPr>
        <w:t xml:space="preserve"> 3</w:t>
      </w:r>
      <w:r w:rsidR="00B71EB2">
        <w:rPr>
          <w:rFonts w:ascii="Book Antiqua" w:hAnsi="Book Antiqua"/>
          <w:b w:val="0"/>
          <w:bCs w:val="0"/>
        </w:rPr>
        <w:t xml:space="preserve"> </w:t>
      </w:r>
      <w:r w:rsidR="004104EB">
        <w:rPr>
          <w:rFonts w:ascii="Book Antiqua" w:hAnsi="Book Antiqua"/>
          <w:b w:val="0"/>
          <w:bCs w:val="0"/>
        </w:rPr>
        <w:t xml:space="preserve">– </w:t>
      </w:r>
      <w:r w:rsidR="00D67CD0">
        <w:rPr>
          <w:rFonts w:ascii="Book Antiqua" w:hAnsi="Book Antiqua"/>
          <w:b w:val="0"/>
          <w:bCs w:val="0"/>
        </w:rPr>
        <w:t>Central CCP</w:t>
      </w:r>
      <w:r w:rsidR="00DF6346">
        <w:rPr>
          <w:rFonts w:ascii="Book Antiqua" w:hAnsi="Book Antiqua"/>
          <w:b w:val="0"/>
          <w:bCs w:val="0"/>
        </w:rPr>
        <w:t xml:space="preserve"> </w:t>
      </w:r>
      <w:r w:rsidR="006E77FE">
        <w:rPr>
          <w:rFonts w:ascii="Book Antiqua" w:hAnsi="Book Antiqua"/>
          <w:b w:val="0"/>
          <w:bCs w:val="0"/>
        </w:rPr>
        <w:t xml:space="preserve">Covered CA </w:t>
      </w:r>
      <w:r w:rsidR="00EC4A74" w:rsidRPr="00E43826">
        <w:rPr>
          <w:rFonts w:ascii="Book Antiqua" w:hAnsi="Book Antiqua"/>
          <w:b w:val="0"/>
          <w:bCs w:val="0"/>
        </w:rPr>
        <w:t>Changes</w:t>
      </w:r>
      <w:r w:rsidRPr="00E43826">
        <w:rPr>
          <w:rFonts w:ascii="Book Antiqua" w:hAnsi="Book Antiqua"/>
          <w:b w:val="0"/>
          <w:bCs w:val="0"/>
        </w:rPr>
        <w:t>.</w:t>
      </w:r>
    </w:p>
    <w:p w14:paraId="454AFE8C" w14:textId="77777777" w:rsidR="004A09A8" w:rsidRDefault="004A09A8">
      <w:pPr>
        <w:ind w:left="720"/>
      </w:pPr>
    </w:p>
    <w:p w14:paraId="69141946" w14:textId="77777777" w:rsidR="004A09A8" w:rsidRDefault="004A09A8">
      <w:pPr>
        <w:ind w:left="720"/>
      </w:pPr>
    </w:p>
    <w:p w14:paraId="431A7928" w14:textId="77777777" w:rsidR="004A09A8" w:rsidRDefault="004A09A8">
      <w:pPr>
        <w:ind w:left="720"/>
      </w:pPr>
    </w:p>
    <w:p w14:paraId="69A6CE7E" w14:textId="77777777" w:rsidR="004A09A8" w:rsidRDefault="00B71EB2">
      <w:pPr>
        <w:ind w:left="810"/>
        <w:rPr>
          <w:b/>
        </w:rPr>
      </w:pPr>
      <w:proofErr w:type="spellStart"/>
      <w:r>
        <w:rPr>
          <w:b/>
        </w:rPr>
        <w:t>CalSAWS</w:t>
      </w:r>
      <w:proofErr w:type="spellEnd"/>
      <w:r>
        <w:rPr>
          <w:b/>
        </w:rPr>
        <w:t xml:space="preserve"> </w:t>
      </w:r>
      <w:r w:rsidR="004A09A8">
        <w:rPr>
          <w:b/>
        </w:rPr>
        <w:t>CONSORTIUM</w:t>
      </w:r>
      <w:r>
        <w:rPr>
          <w:b/>
        </w:rPr>
        <w:t xml:space="preserve"> </w:t>
      </w:r>
    </w:p>
    <w:p w14:paraId="3F4CA53E" w14:textId="77777777" w:rsidR="004A09A8" w:rsidRDefault="004A09A8">
      <w:pPr>
        <w:ind w:left="810"/>
        <w:rPr>
          <w:b/>
        </w:rPr>
      </w:pPr>
    </w:p>
    <w:p w14:paraId="7A6C23D2" w14:textId="77777777" w:rsidR="00B71EB2" w:rsidRPr="00B57CFD" w:rsidRDefault="00B71EB2" w:rsidP="00B71EB2">
      <w:pPr>
        <w:ind w:left="810"/>
        <w:rPr>
          <w:rFonts w:cstheme="minorHAnsi"/>
          <w:b/>
        </w:rPr>
      </w:pPr>
    </w:p>
    <w:p w14:paraId="21A72980" w14:textId="77777777" w:rsidR="00B71EB2" w:rsidRPr="00B57CFD" w:rsidRDefault="00B71EB2" w:rsidP="00B71EB2">
      <w:pPr>
        <w:ind w:left="810"/>
        <w:rPr>
          <w:rFonts w:cstheme="minorHAnsi"/>
          <w:u w:val="single"/>
        </w:rPr>
      </w:pPr>
      <w:r w:rsidRPr="00B57CFD">
        <w:rPr>
          <w:rFonts w:cstheme="minorHAnsi"/>
        </w:rPr>
        <w:t>By:</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24EFD0DE" w14:textId="77777777" w:rsidR="00B71EB2" w:rsidRPr="00B57CFD" w:rsidRDefault="00B71EB2" w:rsidP="00B71EB2">
      <w:pPr>
        <w:ind w:left="810"/>
        <w:rPr>
          <w:rFonts w:cstheme="minorHAnsi"/>
          <w:u w:val="single"/>
        </w:rPr>
      </w:pPr>
      <w:r w:rsidRPr="00B57CFD">
        <w:rPr>
          <w:rFonts w:cstheme="minorHAnsi"/>
        </w:rPr>
        <w:br/>
        <w:t>Printed Name: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1F2CA56C" w14:textId="77777777" w:rsidR="00B71EB2" w:rsidRPr="00B57CFD" w:rsidRDefault="00B71EB2" w:rsidP="00B71EB2">
      <w:pPr>
        <w:ind w:left="810"/>
        <w:rPr>
          <w:rFonts w:cstheme="minorHAnsi"/>
          <w:u w:val="single"/>
        </w:rPr>
      </w:pPr>
      <w:r w:rsidRPr="00B57CFD">
        <w:rPr>
          <w:rFonts w:cstheme="minorHAnsi"/>
        </w:rPr>
        <w:br/>
        <w:t>Title: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0ED2F2BC" w14:textId="77777777" w:rsidR="00B71EB2" w:rsidRPr="00B57CFD" w:rsidRDefault="00B71EB2" w:rsidP="00B71EB2">
      <w:pPr>
        <w:ind w:left="810"/>
        <w:rPr>
          <w:rFonts w:cstheme="minorHAnsi"/>
        </w:rPr>
      </w:pPr>
    </w:p>
    <w:p w14:paraId="4DB6C93F" w14:textId="77777777" w:rsidR="00B71EB2" w:rsidRPr="00B57CFD" w:rsidRDefault="00B71EB2" w:rsidP="00B71EB2">
      <w:pPr>
        <w:ind w:left="810"/>
        <w:rPr>
          <w:rFonts w:cstheme="minorHAnsi"/>
        </w:rPr>
      </w:pPr>
      <w:r w:rsidRPr="00B57CFD">
        <w:rPr>
          <w:rFonts w:cstheme="minorHAnsi"/>
        </w:rPr>
        <w:t>Date: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78536381" w14:textId="77777777" w:rsidR="00B71EB2" w:rsidRPr="00B57CFD" w:rsidRDefault="00B71EB2" w:rsidP="00B71EB2">
      <w:pPr>
        <w:ind w:left="810"/>
        <w:rPr>
          <w:rFonts w:cstheme="minorHAnsi"/>
        </w:rPr>
      </w:pPr>
    </w:p>
    <w:p w14:paraId="321D421A" w14:textId="77777777" w:rsidR="00B71EB2" w:rsidRPr="00B57CFD" w:rsidRDefault="00B71EB2" w:rsidP="00B71EB2">
      <w:pPr>
        <w:ind w:left="810"/>
        <w:rPr>
          <w:rFonts w:cstheme="minorHAnsi"/>
          <w:u w:val="single"/>
        </w:rPr>
      </w:pPr>
      <w:r w:rsidRPr="00B57CFD">
        <w:rPr>
          <w:rFonts w:cstheme="minorHAnsi"/>
        </w:rPr>
        <w:t>By:</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277DAB33" w14:textId="77777777" w:rsidR="00B71EB2" w:rsidRPr="00B57CFD" w:rsidRDefault="00B71EB2" w:rsidP="00B71EB2">
      <w:pPr>
        <w:ind w:left="810"/>
        <w:rPr>
          <w:rFonts w:cstheme="minorHAnsi"/>
          <w:u w:val="single"/>
        </w:rPr>
      </w:pPr>
      <w:r w:rsidRPr="00B57CFD">
        <w:rPr>
          <w:rFonts w:cstheme="minorHAnsi"/>
        </w:rPr>
        <w:br/>
        <w:t xml:space="preserve">Printed Name: </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1B1D8F82" w14:textId="77777777" w:rsidR="00B71EB2" w:rsidRPr="00B57CFD" w:rsidRDefault="00B71EB2" w:rsidP="00B71EB2">
      <w:pPr>
        <w:ind w:left="810"/>
        <w:rPr>
          <w:rFonts w:cstheme="minorHAnsi"/>
          <w:u w:val="single"/>
        </w:rPr>
      </w:pPr>
      <w:r w:rsidRPr="00B57CFD">
        <w:rPr>
          <w:rFonts w:cstheme="minorHAnsi"/>
        </w:rPr>
        <w:br/>
        <w:t>Title:</w:t>
      </w:r>
      <w:r w:rsidRPr="00B57CFD">
        <w:rPr>
          <w:rFonts w:cstheme="minorHAnsi"/>
          <w:u w:val="single"/>
        </w:rPr>
        <w:t xml:space="preserve"> </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581728BF" w14:textId="77777777" w:rsidR="00B71EB2" w:rsidRPr="00B57CFD" w:rsidRDefault="00B71EB2" w:rsidP="00B71EB2">
      <w:pPr>
        <w:ind w:left="810"/>
        <w:rPr>
          <w:rFonts w:cstheme="minorHAnsi"/>
        </w:rPr>
      </w:pPr>
    </w:p>
    <w:p w14:paraId="0B82FBE9" w14:textId="77777777" w:rsidR="00B71EB2" w:rsidRPr="00B57CFD" w:rsidRDefault="00B71EB2" w:rsidP="00B71EB2">
      <w:pPr>
        <w:ind w:left="810"/>
        <w:rPr>
          <w:rFonts w:cstheme="minorHAnsi"/>
        </w:rPr>
      </w:pPr>
      <w:r w:rsidRPr="00B57CFD">
        <w:rPr>
          <w:rFonts w:cstheme="minorHAnsi"/>
        </w:rPr>
        <w:t>Date: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3B06C8ED" w14:textId="77777777" w:rsidR="004A09A8" w:rsidRDefault="004A09A8">
      <w:pPr>
        <w:ind w:left="810"/>
      </w:pPr>
    </w:p>
    <w:p w14:paraId="0E56F72E" w14:textId="77777777" w:rsidR="004A09A8" w:rsidRDefault="004A09A8">
      <w:pPr>
        <w:ind w:left="810"/>
      </w:pPr>
      <w:r>
        <w:t>Notice Address:</w:t>
      </w:r>
    </w:p>
    <w:p w14:paraId="39555356" w14:textId="77777777" w:rsidR="004A09A8" w:rsidRDefault="00B71EB2">
      <w:pPr>
        <w:ind w:left="810"/>
        <w:rPr>
          <w:snapToGrid w:val="0"/>
        </w:rPr>
      </w:pPr>
      <w:proofErr w:type="spellStart"/>
      <w:r>
        <w:t>CalSAWS</w:t>
      </w:r>
      <w:proofErr w:type="spellEnd"/>
      <w:r>
        <w:t xml:space="preserve"> Consortium</w:t>
      </w:r>
      <w:r w:rsidR="004A09A8">
        <w:br/>
        <w:t xml:space="preserve">Attention: </w:t>
      </w:r>
      <w:proofErr w:type="spellStart"/>
      <w:r>
        <w:t>CalSAWS</w:t>
      </w:r>
      <w:proofErr w:type="spellEnd"/>
      <w:r>
        <w:t xml:space="preserve"> Executive</w:t>
      </w:r>
      <w:r w:rsidR="004A09A8">
        <w:t xml:space="preserve"> Director</w:t>
      </w:r>
      <w:r w:rsidR="004A09A8">
        <w:br/>
        <w:t>11290</w:t>
      </w:r>
      <w:r w:rsidR="004A09A8">
        <w:rPr>
          <w:snapToGrid w:val="0"/>
        </w:rPr>
        <w:t xml:space="preserve"> Pyrites Way, Suite 150</w:t>
      </w:r>
    </w:p>
    <w:p w14:paraId="196AE9DA" w14:textId="77777777" w:rsidR="004A09A8" w:rsidRDefault="004A09A8">
      <w:pPr>
        <w:ind w:left="810"/>
        <w:jc w:val="both"/>
      </w:pPr>
      <w:smartTag w:uri="urn:schemas-microsoft-com:office:smarttags" w:element="City">
        <w:smartTag w:uri="urn:schemas-microsoft-com:office:smarttags" w:element="place">
          <w:r>
            <w:rPr>
              <w:snapToGrid w:val="0"/>
            </w:rPr>
            <w:t>Rancho Cordova</w:t>
          </w:r>
        </w:smartTag>
        <w:r>
          <w:rPr>
            <w:snapToGrid w:val="0"/>
          </w:rPr>
          <w:t xml:space="preserve">, </w:t>
        </w:r>
        <w:smartTag w:uri="urn:schemas-microsoft-com:office:smarttags" w:element="State">
          <w:r>
            <w:rPr>
              <w:snapToGrid w:val="0"/>
            </w:rPr>
            <w:t>CA</w:t>
          </w:r>
        </w:smartTag>
        <w:r>
          <w:rPr>
            <w:snapToGrid w:val="0"/>
          </w:rPr>
          <w:t xml:space="preserve">  </w:t>
        </w:r>
        <w:smartTag w:uri="urn:schemas-microsoft-com:office:smarttags" w:element="PostalCode">
          <w:r>
            <w:rPr>
              <w:snapToGrid w:val="0"/>
            </w:rPr>
            <w:t>95670-4481</w:t>
          </w:r>
        </w:smartTag>
      </w:smartTag>
    </w:p>
    <w:sectPr w:rsidR="004A09A8" w:rsidSect="004A09A8">
      <w:headerReference w:type="even" r:id="rId10"/>
      <w:headerReference w:type="default" r:id="rId11"/>
      <w:footerReference w:type="even" r:id="rId12"/>
      <w:footerReference w:type="default" r:id="rId13"/>
      <w:headerReference w:type="first" r:id="rId14"/>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7C0FD" w14:textId="77777777" w:rsidR="003F16F7" w:rsidRDefault="003F16F7">
      <w:r>
        <w:separator/>
      </w:r>
    </w:p>
  </w:endnote>
  <w:endnote w:type="continuationSeparator" w:id="0">
    <w:p w14:paraId="06CB39DD" w14:textId="77777777" w:rsidR="003F16F7" w:rsidRDefault="003F16F7">
      <w:r>
        <w:continuationSeparator/>
      </w:r>
    </w:p>
  </w:endnote>
  <w:endnote w:type="continuationNotice" w:id="1">
    <w:p w14:paraId="2CF57E76" w14:textId="77777777" w:rsidR="003F16F7" w:rsidRDefault="003F1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12C05" w14:textId="77777777" w:rsidR="003477E1" w:rsidRDefault="003477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22AB88" w14:textId="77777777" w:rsidR="003477E1" w:rsidRDefault="003477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4BDB9" w14:textId="0855A99D" w:rsidR="003477E1" w:rsidRDefault="003477E1">
    <w:pPr>
      <w:pStyle w:val="Footer"/>
      <w:framePr w:wrap="around" w:vAnchor="text" w:hAnchor="margin" w:xAlign="center" w:y="1"/>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EB7E21">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B7E21">
      <w:rPr>
        <w:rStyle w:val="PageNumber"/>
        <w:noProof/>
      </w:rPr>
      <w:t>8</w:t>
    </w:r>
    <w:r>
      <w:rPr>
        <w:rStyle w:val="PageNumber"/>
      </w:rPr>
      <w:fldChar w:fldCharType="end"/>
    </w:r>
  </w:p>
  <w:p w14:paraId="3F8F4D21" w14:textId="782CC6EC" w:rsidR="003477E1" w:rsidRDefault="00381CD9" w:rsidP="000B0985">
    <w:pPr>
      <w:pStyle w:val="Footer"/>
      <w:tabs>
        <w:tab w:val="clear" w:pos="8640"/>
        <w:tab w:val="right" w:pos="10080"/>
      </w:tabs>
      <w:ind w:left="90"/>
    </w:pPr>
    <w:r>
      <w:t>July 17</w:t>
    </w:r>
    <w:r w:rsidR="00CB3881">
      <w:t>, 2020</w:t>
    </w:r>
    <w:r w:rsidR="003477E1">
      <w:tab/>
    </w:r>
    <w:r w:rsidR="003477E1">
      <w:tab/>
    </w:r>
    <w:r w:rsidR="003477E1" w:rsidRPr="00E43826">
      <w:t>CO-01</w:t>
    </w:r>
    <w:r w:rsidR="003477E1">
      <w:t>8 Rev.</w:t>
    </w:r>
    <w:r w:rsidR="00CB3881">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D8882" w14:textId="77777777" w:rsidR="003F16F7" w:rsidRDefault="003F16F7">
      <w:r>
        <w:separator/>
      </w:r>
    </w:p>
  </w:footnote>
  <w:footnote w:type="continuationSeparator" w:id="0">
    <w:p w14:paraId="7C8493C7" w14:textId="77777777" w:rsidR="003F16F7" w:rsidRDefault="003F16F7">
      <w:r>
        <w:continuationSeparator/>
      </w:r>
    </w:p>
  </w:footnote>
  <w:footnote w:type="continuationNotice" w:id="1">
    <w:p w14:paraId="24EBE0BC" w14:textId="77777777" w:rsidR="003F16F7" w:rsidRDefault="003F16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DCC16" w14:textId="77777777" w:rsidR="003477E1" w:rsidRDefault="003477E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1B15ED" w14:textId="77777777" w:rsidR="003477E1" w:rsidRDefault="003477E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21A30" w14:textId="5761C9DC" w:rsidR="003477E1" w:rsidRDefault="003477E1" w:rsidP="00BA56FC">
    <w:pPr>
      <w:pStyle w:val="Header"/>
      <w:pBdr>
        <w:top w:val="single" w:sz="4" w:space="1" w:color="auto"/>
        <w:left w:val="single" w:sz="4" w:space="4" w:color="auto"/>
        <w:bottom w:val="single" w:sz="4" w:space="4" w:color="auto"/>
        <w:right w:val="single" w:sz="4" w:space="4" w:color="auto"/>
      </w:pBdr>
      <w:rPr>
        <w:b/>
        <w:bCs/>
      </w:rPr>
    </w:pPr>
    <w:r>
      <w:rPr>
        <w:b/>
        <w:bCs/>
      </w:rPr>
      <w:t>Change Order CO-018 Rev.</w:t>
    </w:r>
    <w:r w:rsidR="0093478F">
      <w:rPr>
        <w:b/>
        <w:bCs/>
      </w:rPr>
      <w:t>3</w:t>
    </w:r>
  </w:p>
  <w:p w14:paraId="670355F0" w14:textId="77777777" w:rsidR="003477E1" w:rsidRDefault="003477E1" w:rsidP="00867515">
    <w:pPr>
      <w:pStyle w:val="Header"/>
      <w:pBdr>
        <w:top w:val="single" w:sz="4" w:space="1" w:color="auto"/>
        <w:left w:val="single" w:sz="4" w:space="4" w:color="auto"/>
        <w:bottom w:val="single" w:sz="4" w:space="4" w:color="auto"/>
        <w:right w:val="single" w:sz="4" w:space="4" w:color="auto"/>
      </w:pBdr>
      <w:rPr>
        <w:b/>
        <w:bCs/>
      </w:rPr>
    </w:pPr>
    <w:r>
      <w:rPr>
        <w:b/>
        <w:bCs/>
      </w:rPr>
      <w:t xml:space="preserve">Covered California CSC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CBD3D" w14:textId="77777777" w:rsidR="003477E1" w:rsidRDefault="003477E1">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92D3647"/>
    <w:multiLevelType w:val="hybridMultilevel"/>
    <w:tmpl w:val="0898F4EC"/>
    <w:lvl w:ilvl="0" w:tplc="40427E44">
      <w:start w:val="3"/>
      <w:numFmt w:val="bullet"/>
      <w:lvlText w:val="•"/>
      <w:lvlJc w:val="left"/>
      <w:pPr>
        <w:ind w:left="360" w:hanging="360"/>
      </w:pPr>
      <w:rPr>
        <w:rFonts w:ascii="Book Antiqua" w:eastAsia="Batang"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3" w15:restartNumberingAfterBreak="0">
    <w:nsid w:val="187875CC"/>
    <w:multiLevelType w:val="hybridMultilevel"/>
    <w:tmpl w:val="B734D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5" w15:restartNumberingAfterBreak="0">
    <w:nsid w:val="21160F3D"/>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28030CD"/>
    <w:multiLevelType w:val="hybridMultilevel"/>
    <w:tmpl w:val="8632A894"/>
    <w:lvl w:ilvl="0" w:tplc="40427E44">
      <w:start w:val="3"/>
      <w:numFmt w:val="bullet"/>
      <w:lvlText w:val="•"/>
      <w:lvlJc w:val="left"/>
      <w:pPr>
        <w:ind w:left="360" w:hanging="360"/>
      </w:pPr>
      <w:rPr>
        <w:rFonts w:ascii="Book Antiqua" w:eastAsia="Batang" w:hAnsi="Book Antiqu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2"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DE09DC"/>
    <w:multiLevelType w:val="hybridMultilevel"/>
    <w:tmpl w:val="84D66DB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6573F2"/>
    <w:multiLevelType w:val="hybridMultilevel"/>
    <w:tmpl w:val="1080825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515A3A3D"/>
    <w:multiLevelType w:val="hybridMultilevel"/>
    <w:tmpl w:val="CD84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DA019D1"/>
    <w:multiLevelType w:val="hybridMultilevel"/>
    <w:tmpl w:val="D06427CC"/>
    <w:lvl w:ilvl="0" w:tplc="DF52E4B6">
      <w:start w:val="1"/>
      <w:numFmt w:val="upperRoman"/>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77D68E5"/>
    <w:multiLevelType w:val="hybridMultilevel"/>
    <w:tmpl w:val="C37E436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BBD0D9B"/>
    <w:multiLevelType w:val="hybridMultilevel"/>
    <w:tmpl w:val="3A16E9D2"/>
    <w:lvl w:ilvl="0" w:tplc="352C2722">
      <w:start w:val="1"/>
      <w:numFmt w:val="bullet"/>
      <w:lvlText w:val=""/>
      <w:lvlJc w:val="left"/>
      <w:pPr>
        <w:tabs>
          <w:tab w:val="num" w:pos="-1728"/>
        </w:tabs>
        <w:ind w:left="-1728" w:hanging="216"/>
      </w:pPr>
      <w:rPr>
        <w:rFonts w:ascii="Symbol" w:hAnsi="Symbol" w:hint="default"/>
      </w:rPr>
    </w:lvl>
    <w:lvl w:ilvl="1" w:tplc="04090003">
      <w:start w:val="1"/>
      <w:numFmt w:val="bullet"/>
      <w:lvlText w:val="o"/>
      <w:lvlJc w:val="left"/>
      <w:pPr>
        <w:tabs>
          <w:tab w:val="num" w:pos="-1224"/>
        </w:tabs>
        <w:ind w:left="-1224" w:hanging="360"/>
      </w:pPr>
      <w:rPr>
        <w:rFonts w:ascii="Courier New" w:hAnsi="Courier New" w:hint="default"/>
      </w:rPr>
    </w:lvl>
    <w:lvl w:ilvl="2" w:tplc="04090005">
      <w:start w:val="1"/>
      <w:numFmt w:val="bullet"/>
      <w:lvlText w:val=""/>
      <w:lvlJc w:val="left"/>
      <w:pPr>
        <w:tabs>
          <w:tab w:val="num" w:pos="-504"/>
        </w:tabs>
        <w:ind w:left="-504" w:hanging="360"/>
      </w:pPr>
      <w:rPr>
        <w:rFonts w:ascii="Wingdings" w:hAnsi="Wingdings" w:hint="default"/>
      </w:rPr>
    </w:lvl>
    <w:lvl w:ilvl="3" w:tplc="04090001">
      <w:start w:val="1"/>
      <w:numFmt w:val="bullet"/>
      <w:lvlText w:val=""/>
      <w:lvlJc w:val="left"/>
      <w:pPr>
        <w:tabs>
          <w:tab w:val="num" w:pos="216"/>
        </w:tabs>
        <w:ind w:left="216" w:hanging="360"/>
      </w:pPr>
      <w:rPr>
        <w:rFonts w:ascii="Symbol" w:hAnsi="Symbol" w:hint="default"/>
      </w:rPr>
    </w:lvl>
    <w:lvl w:ilvl="4" w:tplc="04090003">
      <w:start w:val="1"/>
      <w:numFmt w:val="bullet"/>
      <w:lvlText w:val="o"/>
      <w:lvlJc w:val="left"/>
      <w:pPr>
        <w:tabs>
          <w:tab w:val="num" w:pos="936"/>
        </w:tabs>
        <w:ind w:left="936" w:hanging="360"/>
      </w:pPr>
      <w:rPr>
        <w:rFonts w:ascii="Courier New" w:hAnsi="Courier New" w:hint="default"/>
      </w:rPr>
    </w:lvl>
    <w:lvl w:ilvl="5" w:tplc="04090005">
      <w:start w:val="1"/>
      <w:numFmt w:val="bullet"/>
      <w:lvlText w:val=""/>
      <w:lvlJc w:val="left"/>
      <w:pPr>
        <w:tabs>
          <w:tab w:val="num" w:pos="1656"/>
        </w:tabs>
        <w:ind w:left="1656" w:hanging="360"/>
      </w:pPr>
      <w:rPr>
        <w:rFonts w:ascii="Wingdings" w:hAnsi="Wingdings" w:hint="default"/>
      </w:rPr>
    </w:lvl>
    <w:lvl w:ilvl="6" w:tplc="04090001">
      <w:start w:val="1"/>
      <w:numFmt w:val="bullet"/>
      <w:lvlText w:val=""/>
      <w:lvlJc w:val="left"/>
      <w:pPr>
        <w:tabs>
          <w:tab w:val="num" w:pos="2376"/>
        </w:tabs>
        <w:ind w:left="2376" w:hanging="360"/>
      </w:pPr>
      <w:rPr>
        <w:rFonts w:ascii="Symbol" w:hAnsi="Symbol" w:hint="default"/>
      </w:rPr>
    </w:lvl>
    <w:lvl w:ilvl="7" w:tplc="04090003" w:tentative="1">
      <w:start w:val="1"/>
      <w:numFmt w:val="bullet"/>
      <w:lvlText w:val="o"/>
      <w:lvlJc w:val="left"/>
      <w:pPr>
        <w:tabs>
          <w:tab w:val="num" w:pos="3096"/>
        </w:tabs>
        <w:ind w:left="3096" w:hanging="360"/>
      </w:pPr>
      <w:rPr>
        <w:rFonts w:ascii="Courier New" w:hAnsi="Courier New" w:hint="default"/>
      </w:rPr>
    </w:lvl>
    <w:lvl w:ilvl="8" w:tplc="04090005" w:tentative="1">
      <w:start w:val="1"/>
      <w:numFmt w:val="bullet"/>
      <w:lvlText w:val=""/>
      <w:lvlJc w:val="left"/>
      <w:pPr>
        <w:tabs>
          <w:tab w:val="num" w:pos="3816"/>
        </w:tabs>
        <w:ind w:left="3816" w:hanging="360"/>
      </w:pPr>
      <w:rPr>
        <w:rFonts w:ascii="Wingdings" w:hAnsi="Wingdings" w:hint="default"/>
      </w:rPr>
    </w:lvl>
  </w:abstractNum>
  <w:abstractNum w:abstractNumId="26"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74313EBE"/>
    <w:multiLevelType w:val="hybridMultilevel"/>
    <w:tmpl w:val="8654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E6C4B5F"/>
    <w:multiLevelType w:val="hybridMultilevel"/>
    <w:tmpl w:val="9F482D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11"/>
  </w:num>
  <w:num w:numId="5">
    <w:abstractNumId w:val="19"/>
  </w:num>
  <w:num w:numId="6">
    <w:abstractNumId w:val="18"/>
  </w:num>
  <w:num w:numId="7">
    <w:abstractNumId w:val="25"/>
  </w:num>
  <w:num w:numId="8">
    <w:abstractNumId w:val="17"/>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5"/>
  </w:num>
  <w:num w:numId="12">
    <w:abstractNumId w:val="26"/>
  </w:num>
  <w:num w:numId="13">
    <w:abstractNumId w:val="23"/>
  </w:num>
  <w:num w:numId="14">
    <w:abstractNumId w:val="6"/>
  </w:num>
  <w:num w:numId="15">
    <w:abstractNumId w:val="9"/>
  </w:num>
  <w:num w:numId="16">
    <w:abstractNumId w:val="29"/>
  </w:num>
  <w:num w:numId="17">
    <w:abstractNumId w:val="30"/>
  </w:num>
  <w:num w:numId="18">
    <w:abstractNumId w:val="8"/>
  </w:num>
  <w:num w:numId="19">
    <w:abstractNumId w:val="22"/>
  </w:num>
  <w:num w:numId="20">
    <w:abstractNumId w:val="10"/>
  </w:num>
  <w:num w:numId="21">
    <w:abstractNumId w:val="21"/>
  </w:num>
  <w:num w:numId="22">
    <w:abstractNumId w:val="12"/>
  </w:num>
  <w:num w:numId="23">
    <w:abstractNumId w:val="20"/>
  </w:num>
  <w:num w:numId="24">
    <w:abstractNumId w:val="16"/>
  </w:num>
  <w:num w:numId="25">
    <w:abstractNumId w:val="31"/>
  </w:num>
  <w:num w:numId="26">
    <w:abstractNumId w:val="7"/>
  </w:num>
  <w:num w:numId="27">
    <w:abstractNumId w:val="1"/>
  </w:num>
  <w:num w:numId="28">
    <w:abstractNumId w:val="3"/>
  </w:num>
  <w:num w:numId="29">
    <w:abstractNumId w:val="24"/>
  </w:num>
  <w:num w:numId="30">
    <w:abstractNumId w:val="28"/>
  </w:num>
  <w:num w:numId="31">
    <w:abstractNumId w:val="5"/>
  </w:num>
  <w:num w:numId="32">
    <w:abstractNumId w:val="14"/>
  </w:num>
  <w:num w:numId="33">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6AE3"/>
    <w:rsid w:val="00011B67"/>
    <w:rsid w:val="00011DA6"/>
    <w:rsid w:val="00014323"/>
    <w:rsid w:val="0002110E"/>
    <w:rsid w:val="00022DDE"/>
    <w:rsid w:val="00026EC1"/>
    <w:rsid w:val="00030B42"/>
    <w:rsid w:val="00045642"/>
    <w:rsid w:val="00046748"/>
    <w:rsid w:val="0005005E"/>
    <w:rsid w:val="00060545"/>
    <w:rsid w:val="00061A13"/>
    <w:rsid w:val="00077AB7"/>
    <w:rsid w:val="0008635D"/>
    <w:rsid w:val="00093A67"/>
    <w:rsid w:val="000B0985"/>
    <w:rsid w:val="000B3C2E"/>
    <w:rsid w:val="000C2BDC"/>
    <w:rsid w:val="000D239C"/>
    <w:rsid w:val="000D2413"/>
    <w:rsid w:val="000D54AE"/>
    <w:rsid w:val="000D67B1"/>
    <w:rsid w:val="000E1322"/>
    <w:rsid w:val="000E3C48"/>
    <w:rsid w:val="000E6311"/>
    <w:rsid w:val="000E6548"/>
    <w:rsid w:val="000E7991"/>
    <w:rsid w:val="000F6982"/>
    <w:rsid w:val="000F6EA1"/>
    <w:rsid w:val="001008B8"/>
    <w:rsid w:val="00102F69"/>
    <w:rsid w:val="00107EAE"/>
    <w:rsid w:val="00111312"/>
    <w:rsid w:val="001130B9"/>
    <w:rsid w:val="0012033D"/>
    <w:rsid w:val="00121E76"/>
    <w:rsid w:val="0012213C"/>
    <w:rsid w:val="00124C00"/>
    <w:rsid w:val="001277F3"/>
    <w:rsid w:val="00141B29"/>
    <w:rsid w:val="00142FFA"/>
    <w:rsid w:val="00143260"/>
    <w:rsid w:val="00144249"/>
    <w:rsid w:val="00151F4B"/>
    <w:rsid w:val="00164AC9"/>
    <w:rsid w:val="001732A9"/>
    <w:rsid w:val="00177A1B"/>
    <w:rsid w:val="00183974"/>
    <w:rsid w:val="00184FDF"/>
    <w:rsid w:val="00187CE3"/>
    <w:rsid w:val="00195DF8"/>
    <w:rsid w:val="001971C4"/>
    <w:rsid w:val="00197A3B"/>
    <w:rsid w:val="001A5B98"/>
    <w:rsid w:val="001A7F0A"/>
    <w:rsid w:val="001B2CC5"/>
    <w:rsid w:val="001C0B42"/>
    <w:rsid w:val="001C36D5"/>
    <w:rsid w:val="001C49D0"/>
    <w:rsid w:val="001E1E7A"/>
    <w:rsid w:val="001E3A5E"/>
    <w:rsid w:val="001E724D"/>
    <w:rsid w:val="002065A4"/>
    <w:rsid w:val="002147A5"/>
    <w:rsid w:val="0022344D"/>
    <w:rsid w:val="0023128B"/>
    <w:rsid w:val="00240F49"/>
    <w:rsid w:val="002473C5"/>
    <w:rsid w:val="00256A9D"/>
    <w:rsid w:val="002577FD"/>
    <w:rsid w:val="00257B27"/>
    <w:rsid w:val="00270C4A"/>
    <w:rsid w:val="00273008"/>
    <w:rsid w:val="0027562D"/>
    <w:rsid w:val="002809D3"/>
    <w:rsid w:val="002823C0"/>
    <w:rsid w:val="00284CB6"/>
    <w:rsid w:val="0028614B"/>
    <w:rsid w:val="00290EAB"/>
    <w:rsid w:val="00297599"/>
    <w:rsid w:val="002A2A3C"/>
    <w:rsid w:val="002A6C73"/>
    <w:rsid w:val="002B0D59"/>
    <w:rsid w:val="002B5510"/>
    <w:rsid w:val="002B651A"/>
    <w:rsid w:val="002E60DB"/>
    <w:rsid w:val="002F0E66"/>
    <w:rsid w:val="002F3993"/>
    <w:rsid w:val="002F3998"/>
    <w:rsid w:val="002F41F7"/>
    <w:rsid w:val="0030307D"/>
    <w:rsid w:val="00303B36"/>
    <w:rsid w:val="00303CF6"/>
    <w:rsid w:val="0030482D"/>
    <w:rsid w:val="00305A58"/>
    <w:rsid w:val="00305C49"/>
    <w:rsid w:val="0031496A"/>
    <w:rsid w:val="00324E26"/>
    <w:rsid w:val="00326CE0"/>
    <w:rsid w:val="003306CA"/>
    <w:rsid w:val="00330F72"/>
    <w:rsid w:val="003314D6"/>
    <w:rsid w:val="00336814"/>
    <w:rsid w:val="003372A6"/>
    <w:rsid w:val="00346D33"/>
    <w:rsid w:val="003477E1"/>
    <w:rsid w:val="00353A83"/>
    <w:rsid w:val="00365DC2"/>
    <w:rsid w:val="0036742D"/>
    <w:rsid w:val="00372B77"/>
    <w:rsid w:val="003746F1"/>
    <w:rsid w:val="003752A2"/>
    <w:rsid w:val="00381CD9"/>
    <w:rsid w:val="00385A3B"/>
    <w:rsid w:val="003908BA"/>
    <w:rsid w:val="00395A74"/>
    <w:rsid w:val="00396276"/>
    <w:rsid w:val="00397AB9"/>
    <w:rsid w:val="003A20DD"/>
    <w:rsid w:val="003A36B7"/>
    <w:rsid w:val="003A6AEE"/>
    <w:rsid w:val="003B78EC"/>
    <w:rsid w:val="003C0863"/>
    <w:rsid w:val="003C16E9"/>
    <w:rsid w:val="003C2FAA"/>
    <w:rsid w:val="003C76E6"/>
    <w:rsid w:val="003D121E"/>
    <w:rsid w:val="003D16C4"/>
    <w:rsid w:val="003D3A18"/>
    <w:rsid w:val="003D65F0"/>
    <w:rsid w:val="003D70E0"/>
    <w:rsid w:val="003E51B4"/>
    <w:rsid w:val="003E7E3D"/>
    <w:rsid w:val="003F01F7"/>
    <w:rsid w:val="003F16F7"/>
    <w:rsid w:val="003F4423"/>
    <w:rsid w:val="0040681C"/>
    <w:rsid w:val="00406CC7"/>
    <w:rsid w:val="004104EB"/>
    <w:rsid w:val="00411F81"/>
    <w:rsid w:val="00422387"/>
    <w:rsid w:val="00422528"/>
    <w:rsid w:val="00424B9B"/>
    <w:rsid w:val="0042713F"/>
    <w:rsid w:val="004272B2"/>
    <w:rsid w:val="00440F8B"/>
    <w:rsid w:val="00443506"/>
    <w:rsid w:val="0044672D"/>
    <w:rsid w:val="00454865"/>
    <w:rsid w:val="00460350"/>
    <w:rsid w:val="004606D8"/>
    <w:rsid w:val="00464C25"/>
    <w:rsid w:val="00466171"/>
    <w:rsid w:val="0047501C"/>
    <w:rsid w:val="00477478"/>
    <w:rsid w:val="0048014E"/>
    <w:rsid w:val="00480A82"/>
    <w:rsid w:val="00483DB1"/>
    <w:rsid w:val="004845C2"/>
    <w:rsid w:val="004A09A8"/>
    <w:rsid w:val="004C32C0"/>
    <w:rsid w:val="004C4C95"/>
    <w:rsid w:val="004D5225"/>
    <w:rsid w:val="004E4913"/>
    <w:rsid w:val="004E4B03"/>
    <w:rsid w:val="004E5EFE"/>
    <w:rsid w:val="004F6E60"/>
    <w:rsid w:val="005060A6"/>
    <w:rsid w:val="005117E8"/>
    <w:rsid w:val="005168B2"/>
    <w:rsid w:val="005204C9"/>
    <w:rsid w:val="00522C6F"/>
    <w:rsid w:val="00524DF6"/>
    <w:rsid w:val="0055635B"/>
    <w:rsid w:val="00557A66"/>
    <w:rsid w:val="00561B1A"/>
    <w:rsid w:val="00562495"/>
    <w:rsid w:val="005630C4"/>
    <w:rsid w:val="0057497E"/>
    <w:rsid w:val="00582C62"/>
    <w:rsid w:val="00586D71"/>
    <w:rsid w:val="00586EA7"/>
    <w:rsid w:val="00596865"/>
    <w:rsid w:val="005A352B"/>
    <w:rsid w:val="005A7331"/>
    <w:rsid w:val="005A7763"/>
    <w:rsid w:val="005B7041"/>
    <w:rsid w:val="005C555D"/>
    <w:rsid w:val="005C5DDC"/>
    <w:rsid w:val="005D72FF"/>
    <w:rsid w:val="005E61BF"/>
    <w:rsid w:val="005F7EA2"/>
    <w:rsid w:val="00622C09"/>
    <w:rsid w:val="00623ABE"/>
    <w:rsid w:val="00630AD6"/>
    <w:rsid w:val="006363A3"/>
    <w:rsid w:val="00643952"/>
    <w:rsid w:val="00643CBD"/>
    <w:rsid w:val="00646EAB"/>
    <w:rsid w:val="00654AED"/>
    <w:rsid w:val="006738C1"/>
    <w:rsid w:val="00675E58"/>
    <w:rsid w:val="00687719"/>
    <w:rsid w:val="00690986"/>
    <w:rsid w:val="00690A55"/>
    <w:rsid w:val="006A6183"/>
    <w:rsid w:val="006A64E4"/>
    <w:rsid w:val="006A75C3"/>
    <w:rsid w:val="006B0EB8"/>
    <w:rsid w:val="006C0410"/>
    <w:rsid w:val="006C1148"/>
    <w:rsid w:val="006C27AE"/>
    <w:rsid w:val="006C5138"/>
    <w:rsid w:val="006D5CA5"/>
    <w:rsid w:val="006E4F6C"/>
    <w:rsid w:val="006E4FF5"/>
    <w:rsid w:val="006E74BC"/>
    <w:rsid w:val="006E77FE"/>
    <w:rsid w:val="006F0A94"/>
    <w:rsid w:val="006F69C9"/>
    <w:rsid w:val="006F6D08"/>
    <w:rsid w:val="006F6E82"/>
    <w:rsid w:val="007044F0"/>
    <w:rsid w:val="0070543A"/>
    <w:rsid w:val="00707770"/>
    <w:rsid w:val="00713372"/>
    <w:rsid w:val="0072065E"/>
    <w:rsid w:val="00722C56"/>
    <w:rsid w:val="0072484B"/>
    <w:rsid w:val="0072602C"/>
    <w:rsid w:val="007310BB"/>
    <w:rsid w:val="007354A5"/>
    <w:rsid w:val="0074180F"/>
    <w:rsid w:val="00747381"/>
    <w:rsid w:val="007524A4"/>
    <w:rsid w:val="007533C5"/>
    <w:rsid w:val="00757D74"/>
    <w:rsid w:val="00760165"/>
    <w:rsid w:val="007644CA"/>
    <w:rsid w:val="00775E8A"/>
    <w:rsid w:val="0078798C"/>
    <w:rsid w:val="00791A8E"/>
    <w:rsid w:val="007969F2"/>
    <w:rsid w:val="007A111E"/>
    <w:rsid w:val="007A12D3"/>
    <w:rsid w:val="007A1DDD"/>
    <w:rsid w:val="007A2D03"/>
    <w:rsid w:val="007A336C"/>
    <w:rsid w:val="007B0637"/>
    <w:rsid w:val="007B59B9"/>
    <w:rsid w:val="007C1647"/>
    <w:rsid w:val="007C4C14"/>
    <w:rsid w:val="007D13C1"/>
    <w:rsid w:val="007D6754"/>
    <w:rsid w:val="007E1676"/>
    <w:rsid w:val="007E17C1"/>
    <w:rsid w:val="007E21D7"/>
    <w:rsid w:val="007E746E"/>
    <w:rsid w:val="00801F02"/>
    <w:rsid w:val="00813A24"/>
    <w:rsid w:val="00834D11"/>
    <w:rsid w:val="00837D6C"/>
    <w:rsid w:val="0084275F"/>
    <w:rsid w:val="008458B3"/>
    <w:rsid w:val="00845C9F"/>
    <w:rsid w:val="0084691E"/>
    <w:rsid w:val="00853334"/>
    <w:rsid w:val="00853466"/>
    <w:rsid w:val="00860A0E"/>
    <w:rsid w:val="008643A8"/>
    <w:rsid w:val="00866DC7"/>
    <w:rsid w:val="00867515"/>
    <w:rsid w:val="0086771A"/>
    <w:rsid w:val="008743C1"/>
    <w:rsid w:val="00877B3C"/>
    <w:rsid w:val="00882C15"/>
    <w:rsid w:val="00891288"/>
    <w:rsid w:val="0089199F"/>
    <w:rsid w:val="00895688"/>
    <w:rsid w:val="008A0525"/>
    <w:rsid w:val="008A43E9"/>
    <w:rsid w:val="008B3D7F"/>
    <w:rsid w:val="008D08DE"/>
    <w:rsid w:val="008D6B58"/>
    <w:rsid w:val="008E0AD5"/>
    <w:rsid w:val="008E56EB"/>
    <w:rsid w:val="008E5A87"/>
    <w:rsid w:val="008E78DC"/>
    <w:rsid w:val="008E7B15"/>
    <w:rsid w:val="008F20AF"/>
    <w:rsid w:val="008F46F6"/>
    <w:rsid w:val="009107B4"/>
    <w:rsid w:val="00911EE0"/>
    <w:rsid w:val="0091549D"/>
    <w:rsid w:val="00917720"/>
    <w:rsid w:val="00925B55"/>
    <w:rsid w:val="0093478F"/>
    <w:rsid w:val="00934B33"/>
    <w:rsid w:val="00936C96"/>
    <w:rsid w:val="009376A7"/>
    <w:rsid w:val="00942100"/>
    <w:rsid w:val="0094346F"/>
    <w:rsid w:val="009457F4"/>
    <w:rsid w:val="00954045"/>
    <w:rsid w:val="009550D6"/>
    <w:rsid w:val="00956FD1"/>
    <w:rsid w:val="00963A11"/>
    <w:rsid w:val="0096518E"/>
    <w:rsid w:val="009773E9"/>
    <w:rsid w:val="00977B98"/>
    <w:rsid w:val="00981F18"/>
    <w:rsid w:val="00983996"/>
    <w:rsid w:val="0098527D"/>
    <w:rsid w:val="0098604F"/>
    <w:rsid w:val="00987FAE"/>
    <w:rsid w:val="009A2203"/>
    <w:rsid w:val="009C58C7"/>
    <w:rsid w:val="009D0D02"/>
    <w:rsid w:val="009D256D"/>
    <w:rsid w:val="009D56C4"/>
    <w:rsid w:val="009D76C8"/>
    <w:rsid w:val="009E1F27"/>
    <w:rsid w:val="009E57EC"/>
    <w:rsid w:val="00A0034E"/>
    <w:rsid w:val="00A01AED"/>
    <w:rsid w:val="00A04836"/>
    <w:rsid w:val="00A07F62"/>
    <w:rsid w:val="00A21F89"/>
    <w:rsid w:val="00A238C9"/>
    <w:rsid w:val="00A30077"/>
    <w:rsid w:val="00A42635"/>
    <w:rsid w:val="00A4597F"/>
    <w:rsid w:val="00A47392"/>
    <w:rsid w:val="00A50ABB"/>
    <w:rsid w:val="00A5213F"/>
    <w:rsid w:val="00A567AB"/>
    <w:rsid w:val="00A72879"/>
    <w:rsid w:val="00A8596E"/>
    <w:rsid w:val="00A9347E"/>
    <w:rsid w:val="00A95C57"/>
    <w:rsid w:val="00A95C61"/>
    <w:rsid w:val="00A97A8A"/>
    <w:rsid w:val="00AA29E6"/>
    <w:rsid w:val="00AB17CB"/>
    <w:rsid w:val="00AB293C"/>
    <w:rsid w:val="00AB34B5"/>
    <w:rsid w:val="00AC7E7F"/>
    <w:rsid w:val="00AF155B"/>
    <w:rsid w:val="00B11C80"/>
    <w:rsid w:val="00B16C97"/>
    <w:rsid w:val="00B21A13"/>
    <w:rsid w:val="00B502D8"/>
    <w:rsid w:val="00B53BB6"/>
    <w:rsid w:val="00B56C20"/>
    <w:rsid w:val="00B71EB2"/>
    <w:rsid w:val="00B77AC0"/>
    <w:rsid w:val="00B824B4"/>
    <w:rsid w:val="00B87883"/>
    <w:rsid w:val="00B94A8E"/>
    <w:rsid w:val="00BA07ED"/>
    <w:rsid w:val="00BA1EEB"/>
    <w:rsid w:val="00BA24AF"/>
    <w:rsid w:val="00BA2B6A"/>
    <w:rsid w:val="00BA3945"/>
    <w:rsid w:val="00BA56FC"/>
    <w:rsid w:val="00BB1D36"/>
    <w:rsid w:val="00BC2362"/>
    <w:rsid w:val="00BC2577"/>
    <w:rsid w:val="00BD6A7B"/>
    <w:rsid w:val="00BD7459"/>
    <w:rsid w:val="00BE52A6"/>
    <w:rsid w:val="00BE5789"/>
    <w:rsid w:val="00BF1AD7"/>
    <w:rsid w:val="00BF2893"/>
    <w:rsid w:val="00C027B6"/>
    <w:rsid w:val="00C0366E"/>
    <w:rsid w:val="00C050AE"/>
    <w:rsid w:val="00C12EF0"/>
    <w:rsid w:val="00C13B99"/>
    <w:rsid w:val="00C14BB6"/>
    <w:rsid w:val="00C23619"/>
    <w:rsid w:val="00C438EE"/>
    <w:rsid w:val="00C43AFA"/>
    <w:rsid w:val="00C46818"/>
    <w:rsid w:val="00C5122C"/>
    <w:rsid w:val="00C53CD2"/>
    <w:rsid w:val="00C554DC"/>
    <w:rsid w:val="00C573EB"/>
    <w:rsid w:val="00C6797A"/>
    <w:rsid w:val="00C70621"/>
    <w:rsid w:val="00C75C99"/>
    <w:rsid w:val="00CA07CA"/>
    <w:rsid w:val="00CB37D3"/>
    <w:rsid w:val="00CB3881"/>
    <w:rsid w:val="00CB7B01"/>
    <w:rsid w:val="00CD1766"/>
    <w:rsid w:val="00CD3A43"/>
    <w:rsid w:val="00CD525F"/>
    <w:rsid w:val="00CD6EA8"/>
    <w:rsid w:val="00CE6288"/>
    <w:rsid w:val="00CF516F"/>
    <w:rsid w:val="00CF7E91"/>
    <w:rsid w:val="00D038D5"/>
    <w:rsid w:val="00D125C1"/>
    <w:rsid w:val="00D14120"/>
    <w:rsid w:val="00D14CF3"/>
    <w:rsid w:val="00D14D15"/>
    <w:rsid w:val="00D205C7"/>
    <w:rsid w:val="00D217AA"/>
    <w:rsid w:val="00D22467"/>
    <w:rsid w:val="00D23584"/>
    <w:rsid w:val="00D41C8D"/>
    <w:rsid w:val="00D45E21"/>
    <w:rsid w:val="00D46CB0"/>
    <w:rsid w:val="00D476E6"/>
    <w:rsid w:val="00D506DA"/>
    <w:rsid w:val="00D523C5"/>
    <w:rsid w:val="00D55073"/>
    <w:rsid w:val="00D667AA"/>
    <w:rsid w:val="00D67CD0"/>
    <w:rsid w:val="00D7054F"/>
    <w:rsid w:val="00D74568"/>
    <w:rsid w:val="00D85FBA"/>
    <w:rsid w:val="00D92894"/>
    <w:rsid w:val="00D94EBE"/>
    <w:rsid w:val="00D969E1"/>
    <w:rsid w:val="00D96CDF"/>
    <w:rsid w:val="00DA10D6"/>
    <w:rsid w:val="00DB2D1A"/>
    <w:rsid w:val="00DB36FF"/>
    <w:rsid w:val="00DC0759"/>
    <w:rsid w:val="00DE36F3"/>
    <w:rsid w:val="00DE6728"/>
    <w:rsid w:val="00DE6BF8"/>
    <w:rsid w:val="00DF181B"/>
    <w:rsid w:val="00DF3940"/>
    <w:rsid w:val="00DF6346"/>
    <w:rsid w:val="00DF649F"/>
    <w:rsid w:val="00E03BFD"/>
    <w:rsid w:val="00E076D3"/>
    <w:rsid w:val="00E12ECC"/>
    <w:rsid w:val="00E15D47"/>
    <w:rsid w:val="00E20A61"/>
    <w:rsid w:val="00E21D8C"/>
    <w:rsid w:val="00E245AF"/>
    <w:rsid w:val="00E31839"/>
    <w:rsid w:val="00E34485"/>
    <w:rsid w:val="00E41B29"/>
    <w:rsid w:val="00E43826"/>
    <w:rsid w:val="00E60716"/>
    <w:rsid w:val="00E61E6E"/>
    <w:rsid w:val="00E861B6"/>
    <w:rsid w:val="00E908BB"/>
    <w:rsid w:val="00EA4689"/>
    <w:rsid w:val="00EB0FA1"/>
    <w:rsid w:val="00EB346E"/>
    <w:rsid w:val="00EB61A0"/>
    <w:rsid w:val="00EB7534"/>
    <w:rsid w:val="00EB7E21"/>
    <w:rsid w:val="00EC4A74"/>
    <w:rsid w:val="00ED79D3"/>
    <w:rsid w:val="00EF0524"/>
    <w:rsid w:val="00EF2DCD"/>
    <w:rsid w:val="00F00777"/>
    <w:rsid w:val="00F050D8"/>
    <w:rsid w:val="00F06948"/>
    <w:rsid w:val="00F101BE"/>
    <w:rsid w:val="00F130E9"/>
    <w:rsid w:val="00F15B1A"/>
    <w:rsid w:val="00F1671B"/>
    <w:rsid w:val="00F26575"/>
    <w:rsid w:val="00F30209"/>
    <w:rsid w:val="00F3315E"/>
    <w:rsid w:val="00F42810"/>
    <w:rsid w:val="00F4487D"/>
    <w:rsid w:val="00F47BF0"/>
    <w:rsid w:val="00F5075C"/>
    <w:rsid w:val="00F64916"/>
    <w:rsid w:val="00F64DCB"/>
    <w:rsid w:val="00F64FEF"/>
    <w:rsid w:val="00F70218"/>
    <w:rsid w:val="00F76669"/>
    <w:rsid w:val="00F76EA1"/>
    <w:rsid w:val="00F80DA5"/>
    <w:rsid w:val="00F82D90"/>
    <w:rsid w:val="00F83273"/>
    <w:rsid w:val="00F84951"/>
    <w:rsid w:val="00F92532"/>
    <w:rsid w:val="00F937B3"/>
    <w:rsid w:val="00F94E8F"/>
    <w:rsid w:val="00F97762"/>
    <w:rsid w:val="00F97D05"/>
    <w:rsid w:val="00FB61DF"/>
    <w:rsid w:val="00FC25FE"/>
    <w:rsid w:val="00FC7008"/>
    <w:rsid w:val="00FD0A04"/>
    <w:rsid w:val="00FD2389"/>
    <w:rsid w:val="00FD6101"/>
    <w:rsid w:val="00FD6923"/>
    <w:rsid w:val="00FE57F5"/>
    <w:rsid w:val="00FF62E1"/>
    <w:rsid w:val="00FF6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shapeDefaults>
    <o:shapedefaults v:ext="edit" spidmax="14337"/>
    <o:shapelayout v:ext="edit">
      <o:idmap v:ext="edit" data="1"/>
    </o:shapelayout>
  </w:shapeDefaults>
  <w:decimalSymbol w:val="."/>
  <w:listSeparator w:val=","/>
  <w14:docId w14:val="714FABF1"/>
  <w15:docId w15:val="{4AAC2AA6-3FBB-457C-B742-6505ACE4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pPr>
      <w:keepNext/>
      <w:numPr>
        <w:ilvl w:val="1"/>
        <w:numId w:val="4"/>
      </w:numPr>
      <w:spacing w:before="240" w:after="60"/>
      <w:outlineLvl w:val="0"/>
    </w:pPr>
    <w:rPr>
      <w:b/>
      <w:kern w:val="28"/>
      <w:sz w:val="28"/>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060"/>
    <w:rPr>
      <w:rFonts w:ascii="Book Antiqua" w:hAnsi="Book Antiqua" w:cs="Times New Roman"/>
      <w:b/>
      <w:kern w:val="28"/>
      <w:sz w:val="28"/>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3A6AE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99426">
      <w:bodyDiv w:val="1"/>
      <w:marLeft w:val="0"/>
      <w:marRight w:val="0"/>
      <w:marTop w:val="0"/>
      <w:marBottom w:val="0"/>
      <w:divBdr>
        <w:top w:val="none" w:sz="0" w:space="0" w:color="auto"/>
        <w:left w:val="none" w:sz="0" w:space="0" w:color="auto"/>
        <w:bottom w:val="none" w:sz="0" w:space="0" w:color="auto"/>
        <w:right w:val="none" w:sz="0" w:space="0" w:color="auto"/>
      </w:divBdr>
    </w:div>
    <w:div w:id="373359172">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43111386">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73862014">
      <w:bodyDiv w:val="1"/>
      <w:marLeft w:val="0"/>
      <w:marRight w:val="0"/>
      <w:marTop w:val="0"/>
      <w:marBottom w:val="0"/>
      <w:divBdr>
        <w:top w:val="none" w:sz="0" w:space="0" w:color="auto"/>
        <w:left w:val="none" w:sz="0" w:space="0" w:color="auto"/>
        <w:bottom w:val="none" w:sz="0" w:space="0" w:color="auto"/>
        <w:right w:val="none" w:sz="0" w:space="0" w:color="auto"/>
      </w:divBdr>
    </w:div>
    <w:div w:id="692612668">
      <w:bodyDiv w:val="1"/>
      <w:marLeft w:val="0"/>
      <w:marRight w:val="0"/>
      <w:marTop w:val="0"/>
      <w:marBottom w:val="0"/>
      <w:divBdr>
        <w:top w:val="none" w:sz="0" w:space="0" w:color="auto"/>
        <w:left w:val="none" w:sz="0" w:space="0" w:color="auto"/>
        <w:bottom w:val="none" w:sz="0" w:space="0" w:color="auto"/>
        <w:right w:val="none" w:sz="0" w:space="0" w:color="auto"/>
      </w:divBdr>
    </w:div>
    <w:div w:id="694966071">
      <w:bodyDiv w:val="1"/>
      <w:marLeft w:val="0"/>
      <w:marRight w:val="0"/>
      <w:marTop w:val="0"/>
      <w:marBottom w:val="0"/>
      <w:divBdr>
        <w:top w:val="none" w:sz="0" w:space="0" w:color="auto"/>
        <w:left w:val="none" w:sz="0" w:space="0" w:color="auto"/>
        <w:bottom w:val="none" w:sz="0" w:space="0" w:color="auto"/>
        <w:right w:val="none" w:sz="0" w:space="0" w:color="auto"/>
      </w:divBdr>
    </w:div>
    <w:div w:id="724910744">
      <w:bodyDiv w:val="1"/>
      <w:marLeft w:val="0"/>
      <w:marRight w:val="0"/>
      <w:marTop w:val="0"/>
      <w:marBottom w:val="0"/>
      <w:divBdr>
        <w:top w:val="none" w:sz="0" w:space="0" w:color="auto"/>
        <w:left w:val="none" w:sz="0" w:space="0" w:color="auto"/>
        <w:bottom w:val="none" w:sz="0" w:space="0" w:color="auto"/>
        <w:right w:val="none" w:sz="0" w:space="0" w:color="auto"/>
      </w:divBdr>
    </w:div>
    <w:div w:id="827553768">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65680980">
      <w:bodyDiv w:val="1"/>
      <w:marLeft w:val="0"/>
      <w:marRight w:val="0"/>
      <w:marTop w:val="0"/>
      <w:marBottom w:val="0"/>
      <w:divBdr>
        <w:top w:val="none" w:sz="0" w:space="0" w:color="auto"/>
        <w:left w:val="none" w:sz="0" w:space="0" w:color="auto"/>
        <w:bottom w:val="none" w:sz="0" w:space="0" w:color="auto"/>
        <w:right w:val="none" w:sz="0" w:space="0" w:color="auto"/>
      </w:divBdr>
    </w:div>
    <w:div w:id="910652428">
      <w:bodyDiv w:val="1"/>
      <w:marLeft w:val="0"/>
      <w:marRight w:val="0"/>
      <w:marTop w:val="0"/>
      <w:marBottom w:val="0"/>
      <w:divBdr>
        <w:top w:val="none" w:sz="0" w:space="0" w:color="auto"/>
        <w:left w:val="none" w:sz="0" w:space="0" w:color="auto"/>
        <w:bottom w:val="none" w:sz="0" w:space="0" w:color="auto"/>
        <w:right w:val="none" w:sz="0" w:space="0" w:color="auto"/>
      </w:divBdr>
    </w:div>
    <w:div w:id="1045762020">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11382950">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3995187">
      <w:bodyDiv w:val="1"/>
      <w:marLeft w:val="0"/>
      <w:marRight w:val="0"/>
      <w:marTop w:val="0"/>
      <w:marBottom w:val="0"/>
      <w:divBdr>
        <w:top w:val="none" w:sz="0" w:space="0" w:color="auto"/>
        <w:left w:val="none" w:sz="0" w:space="0" w:color="auto"/>
        <w:bottom w:val="none" w:sz="0" w:space="0" w:color="auto"/>
        <w:right w:val="none" w:sz="0" w:space="0" w:color="auto"/>
      </w:divBdr>
    </w:div>
    <w:div w:id="1369333358">
      <w:bodyDiv w:val="1"/>
      <w:marLeft w:val="0"/>
      <w:marRight w:val="0"/>
      <w:marTop w:val="0"/>
      <w:marBottom w:val="0"/>
      <w:divBdr>
        <w:top w:val="none" w:sz="0" w:space="0" w:color="auto"/>
        <w:left w:val="none" w:sz="0" w:space="0" w:color="auto"/>
        <w:bottom w:val="none" w:sz="0" w:space="0" w:color="auto"/>
        <w:right w:val="none" w:sz="0" w:space="0" w:color="auto"/>
      </w:divBdr>
    </w:div>
    <w:div w:id="1369989939">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79301995">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9260199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602569908">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2001810226">
      <w:bodyDiv w:val="1"/>
      <w:marLeft w:val="0"/>
      <w:marRight w:val="0"/>
      <w:marTop w:val="0"/>
      <w:marBottom w:val="0"/>
      <w:divBdr>
        <w:top w:val="none" w:sz="0" w:space="0" w:color="auto"/>
        <w:left w:val="none" w:sz="0" w:space="0" w:color="auto"/>
        <w:bottom w:val="none" w:sz="0" w:space="0" w:color="auto"/>
        <w:right w:val="none" w:sz="0" w:space="0" w:color="auto"/>
      </w:divBdr>
    </w:div>
    <w:div w:id="2052993770">
      <w:bodyDiv w:val="1"/>
      <w:marLeft w:val="0"/>
      <w:marRight w:val="0"/>
      <w:marTop w:val="0"/>
      <w:marBottom w:val="0"/>
      <w:divBdr>
        <w:top w:val="none" w:sz="0" w:space="0" w:color="auto"/>
        <w:left w:val="none" w:sz="0" w:space="0" w:color="auto"/>
        <w:bottom w:val="none" w:sz="0" w:space="0" w:color="auto"/>
        <w:right w:val="none" w:sz="0" w:space="0" w:color="auto"/>
      </w:divBdr>
    </w:div>
    <w:div w:id="20875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1A3E8-7C51-41FA-B920-54B976881C11}">
  <ds:schemaRefs>
    <ds:schemaRef ds:uri="http://schemas.openxmlformats.org/officeDocument/2006/bibliography"/>
  </ds:schemaRefs>
</ds:datastoreItem>
</file>

<file path=customXml/itemProps2.xml><?xml version="1.0" encoding="utf-8"?>
<ds:datastoreItem xmlns:ds="http://schemas.openxmlformats.org/officeDocument/2006/customXml" ds:itemID="{7519C491-CCBD-4061-A42E-650183A5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8</Pages>
  <Words>1778</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First Data</cp:lastModifiedBy>
  <cp:revision>3</cp:revision>
  <cp:lastPrinted>2012-12-12T22:58:00Z</cp:lastPrinted>
  <dcterms:created xsi:type="dcterms:W3CDTF">2020-07-07T22:33:00Z</dcterms:created>
  <dcterms:modified xsi:type="dcterms:W3CDTF">2020-07-08T15:46:00Z</dcterms:modified>
  <cp:category>Change Order</cp:category>
</cp:coreProperties>
</file>