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A4CF" w14:textId="723BD125" w:rsidR="00CC7DF9" w:rsidRPr="006E2750" w:rsidRDefault="00835848" w:rsidP="00F52173">
      <w:pPr>
        <w:pStyle w:val="Heading1"/>
        <w:spacing w:before="120" w:after="240"/>
        <w:rPr>
          <w:rFonts w:ascii="Century Gothic" w:hAnsi="Century Gothic"/>
        </w:rPr>
      </w:pPr>
      <w:r>
        <w:rPr>
          <w:rFonts w:ascii="Century Gothic" w:hAnsi="Century Gothic"/>
        </w:rPr>
        <w:t>CalSAWS M&amp;O</w:t>
      </w:r>
      <w:r w:rsidR="007201FA" w:rsidRPr="007201FA" w:rsidDel="007201FA">
        <w:rPr>
          <w:rFonts w:ascii="Century Gothic" w:hAnsi="Century Gothic"/>
        </w:rPr>
        <w:t xml:space="preserve"> </w:t>
      </w:r>
      <w:r>
        <w:rPr>
          <w:rFonts w:ascii="Century Gothic" w:hAnsi="Century Gothic"/>
        </w:rPr>
        <w:t xml:space="preserve">RFP </w:t>
      </w:r>
      <w:r w:rsidR="00CC7DF9" w:rsidRPr="006E2750">
        <w:rPr>
          <w:rFonts w:ascii="Century Gothic" w:hAnsi="Century Gothic"/>
        </w:rPr>
        <w:t>Best and Final Offer #</w:t>
      </w:r>
      <w:r w:rsidR="00A22417">
        <w:rPr>
          <w:rFonts w:ascii="Century Gothic" w:hAnsi="Century Gothic"/>
        </w:rPr>
        <w:t>2</w:t>
      </w:r>
      <w:r w:rsidR="00CF522E">
        <w:rPr>
          <w:rFonts w:ascii="Century Gothic" w:hAnsi="Century Gothic"/>
        </w:rPr>
        <w:t xml:space="preserve"> </w:t>
      </w:r>
      <w:r w:rsidR="003A2BA5">
        <w:rPr>
          <w:rFonts w:ascii="Century Gothic" w:hAnsi="Century Gothic"/>
        </w:rPr>
        <w:t>Instructions</w:t>
      </w:r>
    </w:p>
    <w:p w14:paraId="6EE3CBDF" w14:textId="15D3211B" w:rsidR="00143C92" w:rsidRDefault="008C514C" w:rsidP="00E57463">
      <w:pPr>
        <w:rPr>
          <w:rFonts w:ascii="Century Gothic" w:hAnsi="Century Gothic"/>
        </w:rPr>
      </w:pPr>
      <w:r>
        <w:rPr>
          <w:rFonts w:ascii="Century Gothic" w:hAnsi="Century Gothic"/>
        </w:rPr>
        <w:t xml:space="preserve">November </w:t>
      </w:r>
      <w:r w:rsidR="000F75FF">
        <w:rPr>
          <w:rFonts w:ascii="Century Gothic" w:hAnsi="Century Gothic"/>
        </w:rPr>
        <w:t>8</w:t>
      </w:r>
      <w:r w:rsidR="00143C92">
        <w:rPr>
          <w:rFonts w:ascii="Century Gothic" w:hAnsi="Century Gothic"/>
        </w:rPr>
        <w:t>, 2023</w:t>
      </w:r>
    </w:p>
    <w:p w14:paraId="10027D3C" w14:textId="7BD37E2F" w:rsidR="00F275A9" w:rsidRDefault="00212421" w:rsidP="00E57463">
      <w:pPr>
        <w:rPr>
          <w:rFonts w:ascii="Century Gothic" w:hAnsi="Century Gothic"/>
        </w:rPr>
      </w:pPr>
      <w:r w:rsidRPr="006E2750">
        <w:rPr>
          <w:rFonts w:ascii="Century Gothic" w:hAnsi="Century Gothic"/>
        </w:rPr>
        <w:t xml:space="preserve">The CalSAWS Consortium </w:t>
      </w:r>
      <w:r w:rsidR="00391EF9">
        <w:rPr>
          <w:rFonts w:ascii="Century Gothic" w:hAnsi="Century Gothic"/>
        </w:rPr>
        <w:t xml:space="preserve">hereby </w:t>
      </w:r>
      <w:r w:rsidR="00CF522E">
        <w:rPr>
          <w:rFonts w:ascii="Century Gothic" w:hAnsi="Century Gothic"/>
        </w:rPr>
        <w:t>releases</w:t>
      </w:r>
      <w:r w:rsidRPr="006E2750">
        <w:rPr>
          <w:rFonts w:ascii="Century Gothic" w:hAnsi="Century Gothic"/>
        </w:rPr>
        <w:t xml:space="preserve"> instructions for the CalSAWS </w:t>
      </w:r>
      <w:r w:rsidR="00E57463" w:rsidRPr="006E2750">
        <w:rPr>
          <w:rFonts w:ascii="Century Gothic" w:hAnsi="Century Gothic"/>
        </w:rPr>
        <w:t xml:space="preserve">Maintenance and Operations </w:t>
      </w:r>
      <w:r w:rsidR="007201FA">
        <w:rPr>
          <w:rFonts w:ascii="Century Gothic" w:hAnsi="Century Gothic"/>
        </w:rPr>
        <w:t xml:space="preserve">(M&amp;O) </w:t>
      </w:r>
      <w:r w:rsidR="00E57463" w:rsidRPr="006E2750">
        <w:rPr>
          <w:rFonts w:ascii="Century Gothic" w:hAnsi="Century Gothic"/>
        </w:rPr>
        <w:t>RFP #01-2022</w:t>
      </w:r>
      <w:r w:rsidR="004C5381">
        <w:rPr>
          <w:rFonts w:ascii="Century Gothic" w:hAnsi="Century Gothic"/>
        </w:rPr>
        <w:t xml:space="preserve"> Best and Final Offer (BAFO)</w:t>
      </w:r>
      <w:r w:rsidR="00CF522E">
        <w:rPr>
          <w:rFonts w:ascii="Century Gothic" w:hAnsi="Century Gothic"/>
        </w:rPr>
        <w:t xml:space="preserve"> </w:t>
      </w:r>
      <w:r w:rsidR="004C5381">
        <w:rPr>
          <w:rFonts w:ascii="Century Gothic" w:hAnsi="Century Gothic"/>
        </w:rPr>
        <w:t>#</w:t>
      </w:r>
      <w:r w:rsidR="008C514C">
        <w:rPr>
          <w:rFonts w:ascii="Century Gothic" w:hAnsi="Century Gothic"/>
        </w:rPr>
        <w:t>2</w:t>
      </w:r>
      <w:r w:rsidR="004C5381">
        <w:rPr>
          <w:rFonts w:ascii="Century Gothic" w:hAnsi="Century Gothic"/>
        </w:rPr>
        <w:t>.</w:t>
      </w:r>
      <w:r w:rsidR="00127AE4" w:rsidRPr="00127AE4">
        <w:t xml:space="preserve"> </w:t>
      </w:r>
      <w:r w:rsidR="00835848">
        <w:t xml:space="preserve"> </w:t>
      </w:r>
      <w:r w:rsidR="00B66902">
        <w:rPr>
          <w:rFonts w:ascii="Century Gothic" w:hAnsi="Century Gothic"/>
        </w:rPr>
        <w:t>The Consortium has concluded the</w:t>
      </w:r>
      <w:r w:rsidR="00F275A9">
        <w:rPr>
          <w:rFonts w:ascii="Century Gothic" w:hAnsi="Century Gothic"/>
        </w:rPr>
        <w:t xml:space="preserve"> following evaluation steps:</w:t>
      </w:r>
    </w:p>
    <w:p w14:paraId="59C95602" w14:textId="29056D3D" w:rsidR="00F275A9" w:rsidRDefault="008C514C" w:rsidP="00F275A9">
      <w:pPr>
        <w:pStyle w:val="ListParagraph"/>
        <w:numPr>
          <w:ilvl w:val="0"/>
          <w:numId w:val="11"/>
        </w:numPr>
        <w:rPr>
          <w:rFonts w:ascii="Century Gothic" w:hAnsi="Century Gothic"/>
        </w:rPr>
      </w:pPr>
      <w:r>
        <w:rPr>
          <w:rFonts w:ascii="Century Gothic" w:hAnsi="Century Gothic"/>
        </w:rPr>
        <w:t xml:space="preserve">Original and BAFO #1 </w:t>
      </w:r>
      <w:r w:rsidR="00B66902" w:rsidRPr="003A2BA5">
        <w:rPr>
          <w:rFonts w:ascii="Century Gothic" w:hAnsi="Century Gothic"/>
        </w:rPr>
        <w:t xml:space="preserve">Business and Price </w:t>
      </w:r>
      <w:r w:rsidR="0078425B">
        <w:rPr>
          <w:rFonts w:ascii="Century Gothic" w:hAnsi="Century Gothic"/>
        </w:rPr>
        <w:t>Proposal</w:t>
      </w:r>
      <w:r w:rsidR="00B66902" w:rsidRPr="003A2BA5">
        <w:rPr>
          <w:rFonts w:ascii="Century Gothic" w:hAnsi="Century Gothic"/>
        </w:rPr>
        <w:t xml:space="preserve"> evaluations</w:t>
      </w:r>
    </w:p>
    <w:p w14:paraId="0F39F924" w14:textId="38120D31" w:rsidR="0078425B" w:rsidRDefault="0039254E" w:rsidP="00F275A9">
      <w:pPr>
        <w:pStyle w:val="ListParagraph"/>
        <w:numPr>
          <w:ilvl w:val="0"/>
          <w:numId w:val="11"/>
        </w:numPr>
        <w:rPr>
          <w:rFonts w:ascii="Century Gothic" w:hAnsi="Century Gothic"/>
        </w:rPr>
      </w:pPr>
      <w:r w:rsidRPr="003A2BA5">
        <w:rPr>
          <w:rFonts w:ascii="Century Gothic" w:hAnsi="Century Gothic"/>
        </w:rPr>
        <w:t xml:space="preserve">Oral </w:t>
      </w:r>
      <w:r w:rsidR="00CF522E">
        <w:rPr>
          <w:rFonts w:ascii="Century Gothic" w:hAnsi="Century Gothic"/>
        </w:rPr>
        <w:t>P</w:t>
      </w:r>
      <w:r w:rsidRPr="003A2BA5">
        <w:rPr>
          <w:rFonts w:ascii="Century Gothic" w:hAnsi="Century Gothic"/>
        </w:rPr>
        <w:t xml:space="preserve">resentations and Key Staff </w:t>
      </w:r>
      <w:r w:rsidR="00F275A9" w:rsidRPr="003A2BA5">
        <w:rPr>
          <w:rFonts w:ascii="Century Gothic" w:hAnsi="Century Gothic"/>
        </w:rPr>
        <w:t>Interviews</w:t>
      </w:r>
    </w:p>
    <w:p w14:paraId="0646CDCD" w14:textId="77777777" w:rsidR="00D2028B" w:rsidRDefault="0039254E" w:rsidP="00F275A9">
      <w:pPr>
        <w:pStyle w:val="ListParagraph"/>
        <w:numPr>
          <w:ilvl w:val="0"/>
          <w:numId w:val="11"/>
        </w:numPr>
        <w:rPr>
          <w:rFonts w:ascii="Century Gothic" w:hAnsi="Century Gothic"/>
        </w:rPr>
      </w:pPr>
      <w:r w:rsidRPr="003A2BA5">
        <w:rPr>
          <w:rFonts w:ascii="Century Gothic" w:hAnsi="Century Gothic"/>
        </w:rPr>
        <w:t>Confidential Discussions</w:t>
      </w:r>
    </w:p>
    <w:p w14:paraId="3F05B04A" w14:textId="461189C1" w:rsidR="008C514C" w:rsidRDefault="00A22417" w:rsidP="00F275A9">
      <w:pPr>
        <w:pStyle w:val="ListParagraph"/>
        <w:numPr>
          <w:ilvl w:val="0"/>
          <w:numId w:val="11"/>
        </w:numPr>
        <w:rPr>
          <w:rFonts w:ascii="Century Gothic" w:hAnsi="Century Gothic"/>
        </w:rPr>
      </w:pPr>
      <w:r>
        <w:rPr>
          <w:rFonts w:ascii="Century Gothic" w:hAnsi="Century Gothic"/>
        </w:rPr>
        <w:t>Agreement</w:t>
      </w:r>
      <w:r w:rsidR="008C514C">
        <w:rPr>
          <w:rFonts w:ascii="Century Gothic" w:hAnsi="Century Gothic"/>
        </w:rPr>
        <w:t xml:space="preserve"> Exception Discussions</w:t>
      </w:r>
    </w:p>
    <w:p w14:paraId="4191792C" w14:textId="0D0951A5" w:rsidR="00B11059" w:rsidRDefault="00AD6B10" w:rsidP="000609ED">
      <w:pPr>
        <w:rPr>
          <w:rFonts w:ascii="Century Gothic" w:hAnsi="Century Gothic"/>
        </w:rPr>
      </w:pPr>
      <w:r>
        <w:rPr>
          <w:rFonts w:ascii="Century Gothic" w:hAnsi="Century Gothic"/>
        </w:rPr>
        <w:t xml:space="preserve">The next step in the </w:t>
      </w:r>
      <w:r w:rsidR="00AF4BC1">
        <w:rPr>
          <w:rFonts w:ascii="Century Gothic" w:hAnsi="Century Gothic"/>
        </w:rPr>
        <w:t xml:space="preserve">evaluation </w:t>
      </w:r>
      <w:r>
        <w:rPr>
          <w:rFonts w:ascii="Century Gothic" w:hAnsi="Century Gothic"/>
        </w:rPr>
        <w:t xml:space="preserve">process is </w:t>
      </w:r>
      <w:r w:rsidR="008C514C">
        <w:rPr>
          <w:rFonts w:ascii="Century Gothic" w:hAnsi="Century Gothic"/>
        </w:rPr>
        <w:t>BAFO #2</w:t>
      </w:r>
      <w:r w:rsidR="00787A75">
        <w:rPr>
          <w:rFonts w:ascii="Century Gothic" w:hAnsi="Century Gothic"/>
        </w:rPr>
        <w:t xml:space="preserve">. </w:t>
      </w:r>
      <w:r w:rsidR="008C514C">
        <w:rPr>
          <w:rFonts w:ascii="Century Gothic" w:hAnsi="Century Gothic"/>
        </w:rPr>
        <w:t xml:space="preserve"> </w:t>
      </w:r>
      <w:bookmarkStart w:id="0" w:name="_Hlk149122807"/>
      <w:r w:rsidR="00263AC5">
        <w:rPr>
          <w:rFonts w:ascii="Century Gothic" w:hAnsi="Century Gothic"/>
        </w:rPr>
        <w:t xml:space="preserve">BAFO #2 includes </w:t>
      </w:r>
      <w:r w:rsidR="00B11059">
        <w:rPr>
          <w:rFonts w:ascii="Century Gothic" w:hAnsi="Century Gothic"/>
        </w:rPr>
        <w:t>the following:</w:t>
      </w:r>
    </w:p>
    <w:p w14:paraId="08ED8EEC" w14:textId="5FA9BD08" w:rsidR="00B11059" w:rsidRDefault="00C30C49" w:rsidP="00B11059">
      <w:pPr>
        <w:pStyle w:val="ListParagraph"/>
        <w:numPr>
          <w:ilvl w:val="0"/>
          <w:numId w:val="15"/>
        </w:numPr>
        <w:rPr>
          <w:rFonts w:ascii="Century Gothic" w:hAnsi="Century Gothic"/>
        </w:rPr>
      </w:pPr>
      <w:r>
        <w:rPr>
          <w:rFonts w:ascii="Century Gothic" w:hAnsi="Century Gothic"/>
        </w:rPr>
        <w:t>U</w:t>
      </w:r>
      <w:r w:rsidR="00263AC5" w:rsidRPr="00835848">
        <w:rPr>
          <w:rFonts w:ascii="Century Gothic" w:hAnsi="Century Gothic"/>
        </w:rPr>
        <w:t>pdates to the M&amp;E and Consolidated Price Proposal instructions</w:t>
      </w:r>
      <w:bookmarkEnd w:id="0"/>
      <w:r w:rsidR="00542088" w:rsidRPr="00835848">
        <w:rPr>
          <w:rFonts w:ascii="Century Gothic" w:hAnsi="Century Gothic"/>
        </w:rPr>
        <w:t xml:space="preserve"> </w:t>
      </w:r>
    </w:p>
    <w:p w14:paraId="0C765828" w14:textId="14F590C2" w:rsidR="00B11059" w:rsidRDefault="00CF522E" w:rsidP="00B11059">
      <w:pPr>
        <w:pStyle w:val="ListParagraph"/>
        <w:numPr>
          <w:ilvl w:val="0"/>
          <w:numId w:val="15"/>
        </w:numPr>
        <w:rPr>
          <w:rFonts w:ascii="Century Gothic" w:hAnsi="Century Gothic"/>
        </w:rPr>
      </w:pPr>
      <w:r w:rsidRPr="00835848">
        <w:rPr>
          <w:rFonts w:ascii="Century Gothic" w:hAnsi="Century Gothic"/>
        </w:rPr>
        <w:t>P</w:t>
      </w:r>
      <w:r w:rsidR="00C0159D" w:rsidRPr="00835848">
        <w:rPr>
          <w:rFonts w:ascii="Century Gothic" w:hAnsi="Century Gothic"/>
        </w:rPr>
        <w:t xml:space="preserve">rice </w:t>
      </w:r>
      <w:r w:rsidR="000609ED" w:rsidRPr="00835848">
        <w:rPr>
          <w:rFonts w:ascii="Century Gothic" w:hAnsi="Century Gothic"/>
        </w:rPr>
        <w:t xml:space="preserve">Proposal </w:t>
      </w:r>
      <w:r w:rsidRPr="00835848">
        <w:rPr>
          <w:rFonts w:ascii="Century Gothic" w:hAnsi="Century Gothic"/>
        </w:rPr>
        <w:t>S</w:t>
      </w:r>
      <w:r w:rsidR="00C0159D" w:rsidRPr="00835848">
        <w:rPr>
          <w:rFonts w:ascii="Century Gothic" w:hAnsi="Century Gothic"/>
        </w:rPr>
        <w:t>chedule</w:t>
      </w:r>
      <w:r w:rsidR="000609ED" w:rsidRPr="00835848">
        <w:rPr>
          <w:rFonts w:ascii="Century Gothic" w:hAnsi="Century Gothic"/>
        </w:rPr>
        <w:t xml:space="preserve"> </w:t>
      </w:r>
      <w:r w:rsidR="00C0159D" w:rsidRPr="00835848">
        <w:rPr>
          <w:rFonts w:ascii="Century Gothic" w:hAnsi="Century Gothic"/>
        </w:rPr>
        <w:t xml:space="preserve">updates </w:t>
      </w:r>
      <w:r w:rsidR="00542088" w:rsidRPr="00835848">
        <w:rPr>
          <w:rFonts w:ascii="Century Gothic" w:hAnsi="Century Gothic"/>
        </w:rPr>
        <w:t xml:space="preserve"> </w:t>
      </w:r>
    </w:p>
    <w:p w14:paraId="197BA4DB" w14:textId="4B01EC7D" w:rsidR="00A21F28" w:rsidRPr="00835848" w:rsidRDefault="00A21F28" w:rsidP="00A21F28">
      <w:pPr>
        <w:pStyle w:val="ListParagraph"/>
        <w:numPr>
          <w:ilvl w:val="0"/>
          <w:numId w:val="15"/>
        </w:numPr>
        <w:rPr>
          <w:rFonts w:ascii="Century Gothic" w:hAnsi="Century Gothic"/>
        </w:rPr>
      </w:pPr>
      <w:r>
        <w:rPr>
          <w:rFonts w:ascii="Century Gothic" w:hAnsi="Century Gothic"/>
        </w:rPr>
        <w:t>R</w:t>
      </w:r>
      <w:r w:rsidRPr="0067468D">
        <w:rPr>
          <w:rFonts w:ascii="Century Gothic" w:hAnsi="Century Gothic"/>
        </w:rPr>
        <w:t xml:space="preserve">evised </w:t>
      </w:r>
      <w:r>
        <w:rPr>
          <w:rFonts w:ascii="Century Gothic" w:hAnsi="Century Gothic"/>
        </w:rPr>
        <w:t xml:space="preserve">M&amp;E </w:t>
      </w:r>
      <w:r w:rsidRPr="0067468D">
        <w:rPr>
          <w:rFonts w:ascii="Century Gothic" w:hAnsi="Century Gothic"/>
        </w:rPr>
        <w:t xml:space="preserve">Innovation </w:t>
      </w:r>
      <w:r w:rsidR="00A05131">
        <w:rPr>
          <w:rFonts w:ascii="Century Gothic" w:hAnsi="Century Gothic"/>
        </w:rPr>
        <w:t>R</w:t>
      </w:r>
      <w:r w:rsidRPr="0067468D">
        <w:rPr>
          <w:rFonts w:ascii="Century Gothic" w:hAnsi="Century Gothic"/>
        </w:rPr>
        <w:t>equirements</w:t>
      </w:r>
    </w:p>
    <w:p w14:paraId="48213B0D" w14:textId="38352B6D" w:rsidR="00312555" w:rsidRPr="00835848" w:rsidRDefault="00312555" w:rsidP="00835848">
      <w:pPr>
        <w:pStyle w:val="ListParagraph"/>
        <w:numPr>
          <w:ilvl w:val="0"/>
          <w:numId w:val="15"/>
        </w:numPr>
        <w:rPr>
          <w:rFonts w:ascii="Century Gothic" w:hAnsi="Century Gothic"/>
        </w:rPr>
      </w:pPr>
      <w:r>
        <w:rPr>
          <w:rFonts w:ascii="Century Gothic" w:hAnsi="Century Gothic"/>
        </w:rPr>
        <w:t>Revisions to the Infrastructure, M&amp;E and Consolidated Agreements</w:t>
      </w:r>
    </w:p>
    <w:p w14:paraId="07AA53C2" w14:textId="32589B10" w:rsidR="008340D0" w:rsidRPr="006E2750" w:rsidRDefault="008340D0" w:rsidP="00CC7DF9">
      <w:pPr>
        <w:pStyle w:val="Heading2"/>
        <w:rPr>
          <w:rFonts w:ascii="Century Gothic" w:hAnsi="Century Gothic"/>
        </w:rPr>
      </w:pPr>
      <w:r w:rsidRPr="006E2750">
        <w:rPr>
          <w:rFonts w:ascii="Century Gothic" w:hAnsi="Century Gothic"/>
        </w:rPr>
        <w:t>Submission Instructions</w:t>
      </w:r>
    </w:p>
    <w:p w14:paraId="43051775" w14:textId="102AF9CA" w:rsidR="00AF0DA8" w:rsidRDefault="00A62FB0" w:rsidP="00272E34">
      <w:pPr>
        <w:rPr>
          <w:rFonts w:ascii="Century Gothic" w:hAnsi="Century Gothic"/>
        </w:rPr>
      </w:pPr>
      <w:r w:rsidRPr="006E2750">
        <w:rPr>
          <w:rFonts w:ascii="Century Gothic" w:hAnsi="Century Gothic"/>
        </w:rPr>
        <w:t xml:space="preserve">Bidders are advised to carefully review and follow the </w:t>
      </w:r>
      <w:r w:rsidR="008C514C">
        <w:rPr>
          <w:rFonts w:ascii="Century Gothic" w:hAnsi="Century Gothic"/>
        </w:rPr>
        <w:t>BAFO #2</w:t>
      </w:r>
      <w:r w:rsidR="00FA050F">
        <w:rPr>
          <w:rFonts w:ascii="Century Gothic" w:hAnsi="Century Gothic"/>
        </w:rPr>
        <w:t xml:space="preserve"> </w:t>
      </w:r>
      <w:r w:rsidRPr="006E2750">
        <w:rPr>
          <w:rFonts w:ascii="Century Gothic" w:hAnsi="Century Gothic"/>
        </w:rPr>
        <w:t>submission instructions</w:t>
      </w:r>
      <w:r w:rsidR="00B62F47">
        <w:rPr>
          <w:rFonts w:ascii="Century Gothic" w:hAnsi="Century Gothic"/>
        </w:rPr>
        <w:t xml:space="preserve"> described herein</w:t>
      </w:r>
      <w:r w:rsidRPr="006E2750">
        <w:rPr>
          <w:rFonts w:ascii="Century Gothic" w:hAnsi="Century Gothic"/>
        </w:rPr>
        <w:t xml:space="preserve">. </w:t>
      </w:r>
      <w:r w:rsidR="00CF32EE">
        <w:rPr>
          <w:rFonts w:ascii="Century Gothic" w:hAnsi="Century Gothic"/>
        </w:rPr>
        <w:t xml:space="preserve"> </w:t>
      </w:r>
      <w:r w:rsidR="003061EB" w:rsidRPr="00FA050F">
        <w:rPr>
          <w:rFonts w:ascii="Century Gothic" w:hAnsi="Century Gothic"/>
          <w:u w:val="single"/>
        </w:rPr>
        <w:t>Bidders</w:t>
      </w:r>
      <w:r w:rsidR="003061EB" w:rsidRPr="00E05FC0">
        <w:rPr>
          <w:rFonts w:ascii="Century Gothic" w:hAnsi="Century Gothic"/>
          <w:u w:val="single"/>
        </w:rPr>
        <w:t xml:space="preserve"> </w:t>
      </w:r>
      <w:r w:rsidR="001E5C23" w:rsidRPr="00E05FC0">
        <w:rPr>
          <w:rFonts w:ascii="Century Gothic" w:hAnsi="Century Gothic"/>
          <w:u w:val="single"/>
        </w:rPr>
        <w:t>who f</w:t>
      </w:r>
      <w:r w:rsidR="003061EB" w:rsidRPr="00E05FC0">
        <w:rPr>
          <w:rFonts w:ascii="Century Gothic" w:hAnsi="Century Gothic"/>
          <w:u w:val="single"/>
        </w:rPr>
        <w:t xml:space="preserve">ail to respond </w:t>
      </w:r>
      <w:r w:rsidR="00CF522E">
        <w:rPr>
          <w:rFonts w:ascii="Century Gothic" w:hAnsi="Century Gothic"/>
          <w:u w:val="single"/>
        </w:rPr>
        <w:t xml:space="preserve">in accordance with the required </w:t>
      </w:r>
      <w:r w:rsidR="00287A7E">
        <w:rPr>
          <w:rFonts w:ascii="Century Gothic" w:hAnsi="Century Gothic"/>
          <w:u w:val="single"/>
        </w:rPr>
        <w:t xml:space="preserve">content and </w:t>
      </w:r>
      <w:r w:rsidR="00CF522E">
        <w:rPr>
          <w:rFonts w:ascii="Century Gothic" w:hAnsi="Century Gothic"/>
          <w:u w:val="single"/>
        </w:rPr>
        <w:t xml:space="preserve">timeframes </w:t>
      </w:r>
      <w:r w:rsidR="001E5C23" w:rsidRPr="00E05FC0">
        <w:rPr>
          <w:rFonts w:ascii="Century Gothic" w:hAnsi="Century Gothic"/>
          <w:u w:val="single"/>
        </w:rPr>
        <w:t xml:space="preserve">will no longer </w:t>
      </w:r>
      <w:r w:rsidR="00CE56E1">
        <w:rPr>
          <w:rFonts w:ascii="Century Gothic" w:hAnsi="Century Gothic"/>
          <w:u w:val="single"/>
        </w:rPr>
        <w:t xml:space="preserve">have their proposal considered by the Consortium for purposes of the final Contract award. </w:t>
      </w:r>
      <w:r w:rsidR="00CE56E1" w:rsidRPr="006E2750">
        <w:rPr>
          <w:rFonts w:ascii="Century Gothic" w:hAnsi="Century Gothic"/>
        </w:rPr>
        <w:t xml:space="preserve"> </w:t>
      </w:r>
    </w:p>
    <w:p w14:paraId="2D6FD2D5" w14:textId="09283D42" w:rsidR="00E05FC0" w:rsidRPr="002F79BD" w:rsidRDefault="008C514C" w:rsidP="00835848">
      <w:pPr>
        <w:pStyle w:val="Heading2"/>
        <w:spacing w:before="240"/>
        <w:rPr>
          <w:rStyle w:val="Hyperlink"/>
          <w:rFonts w:ascii="Century Gothic" w:eastAsiaTheme="minorHAnsi" w:hAnsi="Century Gothic" w:cstheme="minorBidi"/>
          <w:color w:val="2F5496" w:themeColor="accent1" w:themeShade="BF"/>
          <w:sz w:val="22"/>
          <w:szCs w:val="22"/>
          <w:u w:val="none"/>
        </w:rPr>
      </w:pPr>
      <w:r>
        <w:rPr>
          <w:rStyle w:val="Hyperlink"/>
          <w:rFonts w:ascii="Century Gothic" w:hAnsi="Century Gothic"/>
          <w:color w:val="2F5496" w:themeColor="accent1" w:themeShade="BF"/>
          <w:u w:val="none"/>
        </w:rPr>
        <w:t>BAFO #2</w:t>
      </w:r>
      <w:r w:rsidR="00930BB3" w:rsidRPr="002F79BD">
        <w:rPr>
          <w:rStyle w:val="Hyperlink"/>
          <w:rFonts w:ascii="Century Gothic" w:hAnsi="Century Gothic"/>
          <w:color w:val="2F5496" w:themeColor="accent1" w:themeShade="BF"/>
          <w:u w:val="none"/>
        </w:rPr>
        <w:t xml:space="preserve"> Key Action Dates</w:t>
      </w:r>
    </w:p>
    <w:p w14:paraId="485037EB" w14:textId="3E0A9492" w:rsidR="00AA3DCC" w:rsidRPr="006E2750" w:rsidRDefault="000754D6" w:rsidP="00835848">
      <w:pPr>
        <w:rPr>
          <w:rFonts w:ascii="Century Gothic" w:hAnsi="Century Gothic"/>
        </w:rPr>
      </w:pPr>
      <w:r>
        <w:rPr>
          <w:rFonts w:ascii="Century Gothic" w:hAnsi="Century Gothic"/>
        </w:rPr>
        <w:t>BAFO</w:t>
      </w:r>
      <w:r w:rsidR="008C514C">
        <w:rPr>
          <w:rFonts w:ascii="Century Gothic" w:hAnsi="Century Gothic"/>
        </w:rPr>
        <w:t xml:space="preserve"> </w:t>
      </w:r>
      <w:r>
        <w:rPr>
          <w:rFonts w:ascii="Century Gothic" w:hAnsi="Century Gothic"/>
        </w:rPr>
        <w:t>#</w:t>
      </w:r>
      <w:r w:rsidR="008C514C">
        <w:rPr>
          <w:rFonts w:ascii="Century Gothic" w:hAnsi="Century Gothic"/>
        </w:rPr>
        <w:t>2</w:t>
      </w:r>
      <w:r>
        <w:rPr>
          <w:rFonts w:ascii="Century Gothic" w:hAnsi="Century Gothic"/>
        </w:rPr>
        <w:t xml:space="preserve"> Key Action D</w:t>
      </w:r>
      <w:r w:rsidR="000B222F">
        <w:rPr>
          <w:rFonts w:ascii="Century Gothic" w:hAnsi="Century Gothic"/>
        </w:rPr>
        <w:t>ates</w:t>
      </w:r>
      <w:r w:rsidR="002A6802">
        <w:rPr>
          <w:rFonts w:ascii="Century Gothic" w:hAnsi="Century Gothic"/>
        </w:rPr>
        <w:t xml:space="preserve"> are listed in the following table.</w:t>
      </w:r>
      <w:r w:rsidR="00F22C7D">
        <w:rPr>
          <w:rFonts w:ascii="Century Gothic" w:hAnsi="Century Gothic"/>
        </w:rPr>
        <w:t xml:space="preserve"> </w:t>
      </w:r>
      <w:r w:rsidR="00930B14" w:rsidRPr="00930B14">
        <w:rPr>
          <w:rFonts w:ascii="Century Gothic" w:hAnsi="Century Gothic"/>
        </w:rPr>
        <w:t xml:space="preserve">Deadlines for all </w:t>
      </w:r>
      <w:r w:rsidR="00CF522E">
        <w:rPr>
          <w:rFonts w:ascii="Century Gothic" w:hAnsi="Century Gothic"/>
        </w:rPr>
        <w:t>items</w:t>
      </w:r>
      <w:r w:rsidR="00930B14" w:rsidRPr="00930B14">
        <w:rPr>
          <w:rFonts w:ascii="Century Gothic" w:hAnsi="Century Gothic"/>
        </w:rPr>
        <w:t xml:space="preserve"> are no later than 3:00 PM, Pacific Time (PT).</w:t>
      </w:r>
    </w:p>
    <w:tbl>
      <w:tblPr>
        <w:tblW w:w="9360"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5490"/>
        <w:gridCol w:w="3870"/>
      </w:tblGrid>
      <w:tr w:rsidR="00A62FB0" w:rsidRPr="006E2750" w14:paraId="51E6DD17" w14:textId="77777777" w:rsidTr="005F1CCD">
        <w:trPr>
          <w:trHeight w:val="300"/>
          <w:tblHeader/>
        </w:trPr>
        <w:tc>
          <w:tcPr>
            <w:tcW w:w="9360" w:type="dxa"/>
            <w:gridSpan w:val="2"/>
            <w:shd w:val="clear" w:color="auto" w:fill="3A639E"/>
            <w:noWrap/>
            <w:vAlign w:val="bottom"/>
          </w:tcPr>
          <w:p w14:paraId="40993DDB" w14:textId="386BD0A3" w:rsidR="00A62FB0" w:rsidRPr="006E2750" w:rsidRDefault="00A62FB0" w:rsidP="005F1CCD">
            <w:pPr>
              <w:pStyle w:val="TableHeading"/>
              <w:jc w:val="left"/>
            </w:pPr>
            <w:r w:rsidRPr="006E2750">
              <w:t xml:space="preserve">Best and Final Offer </w:t>
            </w:r>
            <w:r w:rsidR="00A24BA5">
              <w:t>#</w:t>
            </w:r>
            <w:r w:rsidR="007E4099">
              <w:t>2</w:t>
            </w:r>
            <w:r w:rsidR="00A24BA5">
              <w:t xml:space="preserve"> </w:t>
            </w:r>
            <w:r w:rsidRPr="006E2750">
              <w:t>Key Action Dates</w:t>
            </w:r>
          </w:p>
        </w:tc>
      </w:tr>
      <w:tr w:rsidR="00F22C7D" w:rsidRPr="006E2750" w14:paraId="3A9EF934" w14:textId="77777777" w:rsidTr="00312555">
        <w:trPr>
          <w:trHeight w:val="300"/>
          <w:tblHeader/>
        </w:trPr>
        <w:tc>
          <w:tcPr>
            <w:tcW w:w="5490" w:type="dxa"/>
            <w:shd w:val="clear" w:color="auto" w:fill="B4C6E7" w:themeFill="accent1" w:themeFillTint="66"/>
            <w:noWrap/>
            <w:vAlign w:val="bottom"/>
          </w:tcPr>
          <w:p w14:paraId="01B5D3E7" w14:textId="244C315E" w:rsidR="00F22C7D" w:rsidRPr="006E2750" w:rsidRDefault="00F22C7D" w:rsidP="005F1CCD">
            <w:pPr>
              <w:pStyle w:val="TableHeading"/>
              <w:jc w:val="left"/>
            </w:pPr>
            <w:r>
              <w:t>Action</w:t>
            </w:r>
          </w:p>
        </w:tc>
        <w:tc>
          <w:tcPr>
            <w:tcW w:w="3870" w:type="dxa"/>
            <w:shd w:val="clear" w:color="auto" w:fill="B4C6E7" w:themeFill="accent1" w:themeFillTint="66"/>
            <w:vAlign w:val="bottom"/>
          </w:tcPr>
          <w:p w14:paraId="1C27B6DD" w14:textId="759BA7DB" w:rsidR="00F22C7D" w:rsidRPr="006E2750" w:rsidRDefault="00F22C7D" w:rsidP="005F1CCD">
            <w:pPr>
              <w:pStyle w:val="TableHeading"/>
              <w:jc w:val="left"/>
            </w:pPr>
            <w:r>
              <w:t>Date</w:t>
            </w:r>
          </w:p>
        </w:tc>
      </w:tr>
      <w:tr w:rsidR="00DA6F7E" w:rsidRPr="006E2750" w14:paraId="2DEEAC43" w14:textId="77777777" w:rsidTr="00312555">
        <w:trPr>
          <w:trHeight w:val="300"/>
        </w:trPr>
        <w:tc>
          <w:tcPr>
            <w:tcW w:w="5490" w:type="dxa"/>
            <w:shd w:val="clear" w:color="auto" w:fill="F2F2F2" w:themeFill="background1" w:themeFillShade="F2"/>
            <w:noWrap/>
          </w:tcPr>
          <w:p w14:paraId="4039850A" w14:textId="7E51D9D2" w:rsidR="00DA6F7E" w:rsidRPr="006E2750" w:rsidRDefault="00DA6F7E" w:rsidP="0067468D">
            <w:pPr>
              <w:pStyle w:val="TableText"/>
            </w:pPr>
            <w:r>
              <w:t>Release BAFO #2</w:t>
            </w:r>
            <w:r w:rsidRPr="006E2750">
              <w:t xml:space="preserve"> </w:t>
            </w:r>
            <w:r w:rsidR="00212449">
              <w:t>and RFP Addendum 14</w:t>
            </w:r>
          </w:p>
        </w:tc>
        <w:tc>
          <w:tcPr>
            <w:tcW w:w="3870" w:type="dxa"/>
            <w:shd w:val="clear" w:color="auto" w:fill="F2F2F2" w:themeFill="background1" w:themeFillShade="F2"/>
          </w:tcPr>
          <w:p w14:paraId="79B19D5B" w14:textId="144C3F9E" w:rsidR="00DA6F7E" w:rsidRPr="006E2750" w:rsidRDefault="000F75FF" w:rsidP="0067468D">
            <w:pPr>
              <w:pStyle w:val="TableBullet1"/>
              <w:numPr>
                <w:ilvl w:val="0"/>
                <w:numId w:val="0"/>
              </w:numPr>
            </w:pPr>
            <w:r>
              <w:t>Wedne</w:t>
            </w:r>
            <w:r w:rsidR="00DA6F7E">
              <w:t>sday</w:t>
            </w:r>
            <w:r w:rsidR="00DA6F7E" w:rsidRPr="006E2750">
              <w:t xml:space="preserve">, </w:t>
            </w:r>
            <w:r w:rsidR="00DA6F7E">
              <w:t xml:space="preserve">November </w:t>
            </w:r>
            <w:r>
              <w:t>8</w:t>
            </w:r>
            <w:r w:rsidR="00DA6F7E" w:rsidRPr="006E2750">
              <w:t>, 2023</w:t>
            </w:r>
          </w:p>
        </w:tc>
      </w:tr>
      <w:tr w:rsidR="00B11059" w:rsidRPr="006E2750" w14:paraId="17D64E82" w14:textId="77777777" w:rsidTr="00312555">
        <w:trPr>
          <w:trHeight w:val="300"/>
        </w:trPr>
        <w:tc>
          <w:tcPr>
            <w:tcW w:w="5490" w:type="dxa"/>
            <w:shd w:val="clear" w:color="auto" w:fill="F2F2F2" w:themeFill="background1" w:themeFillShade="F2"/>
            <w:noWrap/>
          </w:tcPr>
          <w:p w14:paraId="4474D13B" w14:textId="5260CDE3" w:rsidR="00B11059" w:rsidRDefault="00B11059" w:rsidP="005F1CCD">
            <w:pPr>
              <w:pStyle w:val="TableText"/>
            </w:pPr>
            <w:r>
              <w:t>Release Revised</w:t>
            </w:r>
            <w:r w:rsidR="00692695">
              <w:t xml:space="preserve"> Infrastructure,</w:t>
            </w:r>
            <w:r>
              <w:t xml:space="preserve"> M&amp;E and Consolidated Agreements</w:t>
            </w:r>
          </w:p>
        </w:tc>
        <w:tc>
          <w:tcPr>
            <w:tcW w:w="3870" w:type="dxa"/>
            <w:shd w:val="clear" w:color="auto" w:fill="F2F2F2" w:themeFill="background1" w:themeFillShade="F2"/>
          </w:tcPr>
          <w:p w14:paraId="508BA218" w14:textId="4C07B49F" w:rsidR="00B11059" w:rsidRDefault="000F75FF" w:rsidP="005F1CCD">
            <w:pPr>
              <w:pStyle w:val="TableBullet1"/>
              <w:numPr>
                <w:ilvl w:val="0"/>
                <w:numId w:val="0"/>
              </w:numPr>
            </w:pPr>
            <w:r>
              <w:t>Wednesday</w:t>
            </w:r>
            <w:r w:rsidR="00E13684">
              <w:t xml:space="preserve">, November </w:t>
            </w:r>
            <w:r>
              <w:t>8</w:t>
            </w:r>
            <w:r w:rsidR="00E13684">
              <w:t>, 2023</w:t>
            </w:r>
          </w:p>
        </w:tc>
      </w:tr>
      <w:tr w:rsidR="00A62FB0" w:rsidRPr="006E2750" w14:paraId="7A9E5D32" w14:textId="77777777" w:rsidTr="00312555">
        <w:trPr>
          <w:trHeight w:val="300"/>
        </w:trPr>
        <w:tc>
          <w:tcPr>
            <w:tcW w:w="5490" w:type="dxa"/>
            <w:shd w:val="clear" w:color="auto" w:fill="F2F2F2" w:themeFill="background1" w:themeFillShade="F2"/>
            <w:noWrap/>
          </w:tcPr>
          <w:p w14:paraId="59C18F89" w14:textId="0A17198C" w:rsidR="00A62FB0" w:rsidRPr="006E2750" w:rsidRDefault="008C514C" w:rsidP="005F1CCD">
            <w:pPr>
              <w:pStyle w:val="TableText"/>
            </w:pPr>
            <w:r>
              <w:t>BAFO #2</w:t>
            </w:r>
            <w:r w:rsidR="00A62FB0" w:rsidRPr="006E2750">
              <w:t xml:space="preserve"> </w:t>
            </w:r>
            <w:r w:rsidR="00395152">
              <w:t xml:space="preserve">Responses </w:t>
            </w:r>
            <w:r w:rsidR="00A62FB0" w:rsidRPr="006E2750">
              <w:t>Due</w:t>
            </w:r>
            <w:r w:rsidR="00395152">
              <w:t xml:space="preserve"> from Bidders</w:t>
            </w:r>
          </w:p>
        </w:tc>
        <w:tc>
          <w:tcPr>
            <w:tcW w:w="3870" w:type="dxa"/>
            <w:shd w:val="clear" w:color="auto" w:fill="F2F2F2" w:themeFill="background1" w:themeFillShade="F2"/>
          </w:tcPr>
          <w:p w14:paraId="71AC50A2" w14:textId="58EFD663" w:rsidR="00A62FB0" w:rsidRPr="006E2750" w:rsidRDefault="00E13684" w:rsidP="005F1CCD">
            <w:pPr>
              <w:pStyle w:val="TableBullet1"/>
              <w:numPr>
                <w:ilvl w:val="0"/>
                <w:numId w:val="0"/>
              </w:numPr>
            </w:pPr>
            <w:r>
              <w:t>Wednesday</w:t>
            </w:r>
            <w:r w:rsidR="0017027B" w:rsidRPr="006E2750">
              <w:t xml:space="preserve">, </w:t>
            </w:r>
            <w:r w:rsidR="008C514C">
              <w:t>November 2</w:t>
            </w:r>
            <w:r>
              <w:t>9</w:t>
            </w:r>
            <w:r w:rsidR="0017027B" w:rsidRPr="006E2750">
              <w:t>, 2023</w:t>
            </w:r>
          </w:p>
        </w:tc>
      </w:tr>
    </w:tbl>
    <w:p w14:paraId="44E44B2C" w14:textId="04006EA2" w:rsidR="00A53BE6" w:rsidRPr="006E2750" w:rsidRDefault="008C514C" w:rsidP="00562C07">
      <w:pPr>
        <w:pStyle w:val="Heading2"/>
        <w:spacing w:before="240"/>
        <w:rPr>
          <w:rFonts w:ascii="Century Gothic" w:hAnsi="Century Gothic"/>
        </w:rPr>
      </w:pPr>
      <w:r>
        <w:rPr>
          <w:rFonts w:ascii="Century Gothic" w:hAnsi="Century Gothic"/>
        </w:rPr>
        <w:t>BAFO #2</w:t>
      </w:r>
      <w:r w:rsidR="00A53BE6" w:rsidRPr="006E2750">
        <w:rPr>
          <w:rFonts w:ascii="Century Gothic" w:hAnsi="Century Gothic"/>
        </w:rPr>
        <w:t xml:space="preserve"> </w:t>
      </w:r>
      <w:r w:rsidR="00573E46" w:rsidRPr="006E2750">
        <w:rPr>
          <w:rFonts w:ascii="Century Gothic" w:hAnsi="Century Gothic"/>
        </w:rPr>
        <w:t>Responses Format</w:t>
      </w:r>
      <w:r w:rsidR="001F5EAD">
        <w:rPr>
          <w:rFonts w:ascii="Century Gothic" w:hAnsi="Century Gothic"/>
        </w:rPr>
        <w:t xml:space="preserve"> and Organization</w:t>
      </w:r>
    </w:p>
    <w:p w14:paraId="64BF5CC4" w14:textId="00D6A660" w:rsidR="00A53BE6" w:rsidRDefault="008C514C" w:rsidP="00E57463">
      <w:pPr>
        <w:rPr>
          <w:rFonts w:ascii="Century Gothic" w:hAnsi="Century Gothic"/>
        </w:rPr>
      </w:pPr>
      <w:r>
        <w:rPr>
          <w:rFonts w:ascii="Century Gothic" w:hAnsi="Century Gothic"/>
        </w:rPr>
        <w:t>BAFO #2</w:t>
      </w:r>
      <w:r w:rsidR="002C4B29">
        <w:rPr>
          <w:rFonts w:ascii="Century Gothic" w:hAnsi="Century Gothic"/>
        </w:rPr>
        <w:t xml:space="preserve"> </w:t>
      </w:r>
      <w:r w:rsidR="00C15795" w:rsidRPr="006E2750">
        <w:rPr>
          <w:rFonts w:ascii="Century Gothic" w:hAnsi="Century Gothic"/>
        </w:rPr>
        <w:t xml:space="preserve">responses must follow the </w:t>
      </w:r>
      <w:r w:rsidR="00242F4F">
        <w:rPr>
          <w:rFonts w:ascii="Century Gothic" w:hAnsi="Century Gothic"/>
        </w:rPr>
        <w:t xml:space="preserve">proposal </w:t>
      </w:r>
      <w:r w:rsidR="00C15795" w:rsidRPr="006E2750">
        <w:rPr>
          <w:rFonts w:ascii="Century Gothic" w:hAnsi="Century Gothic"/>
        </w:rPr>
        <w:t xml:space="preserve">format required in </w:t>
      </w:r>
      <w:r w:rsidR="00822C27" w:rsidRPr="006E2750">
        <w:rPr>
          <w:rFonts w:ascii="Century Gothic" w:hAnsi="Century Gothic"/>
        </w:rPr>
        <w:t>RFP Section 6.3.1</w:t>
      </w:r>
      <w:r w:rsidR="00CF522E">
        <w:rPr>
          <w:rFonts w:ascii="Century Gothic" w:hAnsi="Century Gothic"/>
        </w:rPr>
        <w:t xml:space="preserve"> – </w:t>
      </w:r>
      <w:r w:rsidR="00822C27" w:rsidRPr="006E2750">
        <w:rPr>
          <w:rFonts w:ascii="Century Gothic" w:hAnsi="Century Gothic"/>
        </w:rPr>
        <w:t>Proposa</w:t>
      </w:r>
      <w:r w:rsidR="00C15795" w:rsidRPr="006E2750">
        <w:rPr>
          <w:rFonts w:ascii="Century Gothic" w:hAnsi="Century Gothic"/>
        </w:rPr>
        <w:t>l</w:t>
      </w:r>
      <w:r w:rsidR="00822C27" w:rsidRPr="006E2750">
        <w:rPr>
          <w:rFonts w:ascii="Century Gothic" w:hAnsi="Century Gothic"/>
        </w:rPr>
        <w:t xml:space="preserve"> Format</w:t>
      </w:r>
      <w:r w:rsidR="00C15795" w:rsidRPr="006E2750">
        <w:rPr>
          <w:rFonts w:ascii="Century Gothic" w:hAnsi="Century Gothic"/>
        </w:rPr>
        <w:t>.</w:t>
      </w:r>
      <w:r w:rsidR="003D6C21">
        <w:rPr>
          <w:rFonts w:ascii="Century Gothic" w:hAnsi="Century Gothic"/>
        </w:rPr>
        <w:t xml:space="preserve"> </w:t>
      </w:r>
      <w:r w:rsidR="00BA7307">
        <w:rPr>
          <w:rFonts w:ascii="Century Gothic" w:hAnsi="Century Gothic"/>
        </w:rPr>
        <w:t>BAFO content must be organized as described in the following table.</w:t>
      </w:r>
      <w:r w:rsidR="00D46C14">
        <w:rPr>
          <w:rFonts w:ascii="Century Gothic" w:hAnsi="Century Gothic"/>
        </w:rPr>
        <w:t xml:space="preserve"> </w:t>
      </w:r>
    </w:p>
    <w:tbl>
      <w:tblPr>
        <w:tblW w:w="9408"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9408"/>
      </w:tblGrid>
      <w:tr w:rsidR="00C0020F" w:rsidRPr="00D3727C" w14:paraId="3B1789B4" w14:textId="77777777" w:rsidTr="19155C22">
        <w:trPr>
          <w:trHeight w:val="309"/>
          <w:tblHeader/>
          <w:jc w:val="center"/>
        </w:trPr>
        <w:tc>
          <w:tcPr>
            <w:tcW w:w="9408" w:type="dxa"/>
            <w:shd w:val="clear" w:color="auto" w:fill="3A639E"/>
            <w:noWrap/>
            <w:vAlign w:val="bottom"/>
          </w:tcPr>
          <w:p w14:paraId="424062B5" w14:textId="7AF46669" w:rsidR="00C0020F" w:rsidRPr="00D3727C" w:rsidRDefault="00C0020F" w:rsidP="005F1CCD">
            <w:pPr>
              <w:spacing w:before="60" w:after="60"/>
              <w:rPr>
                <w:rFonts w:ascii="Century Gothic" w:hAnsi="Century Gothic"/>
                <w:b/>
                <w:smallCaps/>
                <w:color w:val="FFFFFF"/>
              </w:rPr>
            </w:pPr>
            <w:r w:rsidRPr="00D3727C">
              <w:rPr>
                <w:rFonts w:ascii="Century Gothic" w:hAnsi="Century Gothic"/>
                <w:b/>
                <w:smallCaps/>
                <w:color w:val="FFFFFF"/>
              </w:rPr>
              <w:t xml:space="preserve">BAFO </w:t>
            </w:r>
            <w:r w:rsidR="00114149">
              <w:rPr>
                <w:rFonts w:ascii="Century Gothic" w:hAnsi="Century Gothic"/>
                <w:b/>
                <w:smallCaps/>
                <w:color w:val="FFFFFF"/>
              </w:rPr>
              <w:t>#</w:t>
            </w:r>
            <w:r w:rsidR="00EB69AE">
              <w:rPr>
                <w:rFonts w:ascii="Century Gothic" w:hAnsi="Century Gothic"/>
                <w:b/>
                <w:smallCaps/>
                <w:color w:val="FFFFFF"/>
              </w:rPr>
              <w:t>2</w:t>
            </w:r>
            <w:r w:rsidR="00777129">
              <w:rPr>
                <w:rFonts w:ascii="Century Gothic" w:hAnsi="Century Gothic"/>
                <w:b/>
                <w:smallCaps/>
                <w:color w:val="FFFFFF"/>
              </w:rPr>
              <w:t xml:space="preserve"> </w:t>
            </w:r>
            <w:r w:rsidRPr="00D3727C">
              <w:rPr>
                <w:rFonts w:ascii="Century Gothic" w:hAnsi="Century Gothic"/>
                <w:b/>
                <w:smallCaps/>
                <w:color w:val="FFFFFF"/>
              </w:rPr>
              <w:t>Contents</w:t>
            </w:r>
          </w:p>
        </w:tc>
      </w:tr>
      <w:tr w:rsidR="00C0020F" w:rsidRPr="00D3727C" w14:paraId="5D680DA6" w14:textId="6D899A04" w:rsidTr="19155C22">
        <w:trPr>
          <w:trHeight w:val="309"/>
          <w:jc w:val="center"/>
        </w:trPr>
        <w:tc>
          <w:tcPr>
            <w:tcW w:w="9408" w:type="dxa"/>
            <w:shd w:val="clear" w:color="auto" w:fill="8EAADB" w:themeFill="accent1" w:themeFillTint="99"/>
            <w:noWrap/>
          </w:tcPr>
          <w:p w14:paraId="110A90F7" w14:textId="6ED0A48E" w:rsidR="00C0020F" w:rsidRPr="00D3727C" w:rsidRDefault="00C0020F" w:rsidP="005F1CCD">
            <w:pPr>
              <w:spacing w:before="60" w:after="60"/>
              <w:rPr>
                <w:rFonts w:ascii="Century Gothic" w:hAnsi="Century Gothic"/>
                <w:b/>
                <w:smallCaps/>
                <w:color w:val="FFFFFF" w:themeColor="background1"/>
                <w:sz w:val="20"/>
              </w:rPr>
            </w:pPr>
            <w:r w:rsidRPr="00D3727C">
              <w:rPr>
                <w:rFonts w:ascii="Century Gothic" w:hAnsi="Century Gothic"/>
                <w:b/>
                <w:smallCaps/>
                <w:color w:val="FFFFFF" w:themeColor="background1"/>
                <w:sz w:val="20"/>
              </w:rPr>
              <w:t>Volume 1</w:t>
            </w:r>
            <w:r w:rsidR="00745E68">
              <w:rPr>
                <w:rFonts w:ascii="Century Gothic" w:hAnsi="Century Gothic"/>
                <w:b/>
                <w:smallCaps/>
                <w:color w:val="FFFFFF" w:themeColor="background1"/>
                <w:sz w:val="20"/>
              </w:rPr>
              <w:t>A</w:t>
            </w:r>
            <w:r w:rsidRPr="00D3727C">
              <w:rPr>
                <w:rFonts w:ascii="Century Gothic" w:hAnsi="Century Gothic"/>
                <w:b/>
                <w:smallCaps/>
                <w:color w:val="FFFFFF" w:themeColor="background1"/>
                <w:sz w:val="20"/>
              </w:rPr>
              <w:t xml:space="preserve"> – </w:t>
            </w:r>
            <w:r w:rsidR="003A16A6">
              <w:rPr>
                <w:rFonts w:ascii="Century Gothic" w:hAnsi="Century Gothic"/>
                <w:b/>
                <w:smallCaps/>
                <w:color w:val="FFFFFF" w:themeColor="background1"/>
                <w:sz w:val="20"/>
              </w:rPr>
              <w:t>Infrastructure</w:t>
            </w:r>
            <w:r w:rsidR="00745E68">
              <w:rPr>
                <w:rFonts w:ascii="Century Gothic" w:hAnsi="Century Gothic"/>
                <w:b/>
                <w:smallCaps/>
                <w:color w:val="FFFFFF" w:themeColor="background1"/>
                <w:sz w:val="20"/>
              </w:rPr>
              <w:t xml:space="preserve"> Price</w:t>
            </w:r>
            <w:r w:rsidRPr="00D3727C">
              <w:rPr>
                <w:rFonts w:ascii="Century Gothic" w:hAnsi="Century Gothic"/>
                <w:b/>
                <w:smallCaps/>
                <w:color w:val="FFFFFF" w:themeColor="background1"/>
                <w:sz w:val="20"/>
              </w:rPr>
              <w:t xml:space="preserve"> </w:t>
            </w:r>
            <w:r w:rsidR="008C514C">
              <w:rPr>
                <w:rFonts w:ascii="Century Gothic" w:hAnsi="Century Gothic"/>
                <w:b/>
                <w:smallCaps/>
                <w:color w:val="FFFFFF" w:themeColor="background1"/>
                <w:sz w:val="20"/>
              </w:rPr>
              <w:t>BAFO #2</w:t>
            </w:r>
          </w:p>
        </w:tc>
      </w:tr>
      <w:tr w:rsidR="00C0020F" w:rsidRPr="00D3727C" w14:paraId="3261D544" w14:textId="77C070B3" w:rsidTr="19155C22">
        <w:trPr>
          <w:trHeight w:val="309"/>
          <w:jc w:val="center"/>
        </w:trPr>
        <w:tc>
          <w:tcPr>
            <w:tcW w:w="9408" w:type="dxa"/>
            <w:shd w:val="clear" w:color="auto" w:fill="F2F2F2" w:themeFill="background1" w:themeFillShade="F2"/>
            <w:noWrap/>
          </w:tcPr>
          <w:p w14:paraId="23BA0516" w14:textId="71D47FBC" w:rsidR="00491A8E" w:rsidRPr="00D3727C" w:rsidRDefault="004F6671" w:rsidP="19155C22">
            <w:pPr>
              <w:numPr>
                <w:ilvl w:val="0"/>
                <w:numId w:val="8"/>
              </w:numPr>
              <w:spacing w:before="60" w:after="60" w:line="240" w:lineRule="auto"/>
              <w:rPr>
                <w:rFonts w:ascii="Century Gothic" w:hAnsi="Century Gothic"/>
                <w:sz w:val="20"/>
                <w:szCs w:val="20"/>
              </w:rPr>
            </w:pPr>
            <w:bookmarkStart w:id="1" w:name="_Hlk142637341"/>
            <w:r w:rsidRPr="19155C22">
              <w:rPr>
                <w:rFonts w:ascii="Century Gothic" w:hAnsi="Century Gothic"/>
                <w:sz w:val="20"/>
                <w:szCs w:val="20"/>
              </w:rPr>
              <w:lastRenderedPageBreak/>
              <w:t>Attachment</w:t>
            </w:r>
            <w:r w:rsidRPr="00755FD7">
              <w:rPr>
                <w:rFonts w:ascii="Century Gothic" w:hAnsi="Century Gothic"/>
                <w:sz w:val="20"/>
                <w:szCs w:val="20"/>
              </w:rPr>
              <w:t xml:space="preserve"> </w:t>
            </w:r>
            <w:r w:rsidR="00745E68">
              <w:rPr>
                <w:rFonts w:ascii="Century Gothic" w:hAnsi="Century Gothic"/>
                <w:sz w:val="20"/>
              </w:rPr>
              <w:t>A5</w:t>
            </w:r>
            <w:r w:rsidR="00755FD7" w:rsidRPr="00755FD7">
              <w:rPr>
                <w:rFonts w:ascii="Century Gothic" w:hAnsi="Century Gothic"/>
                <w:sz w:val="20"/>
              </w:rPr>
              <w:t xml:space="preserve"> – </w:t>
            </w:r>
            <w:r w:rsidR="00745E68">
              <w:rPr>
                <w:rFonts w:ascii="Century Gothic" w:hAnsi="Century Gothic"/>
                <w:sz w:val="20"/>
              </w:rPr>
              <w:t xml:space="preserve">Infrastructure </w:t>
            </w:r>
            <w:r w:rsidR="00745E68" w:rsidRPr="00745E68">
              <w:rPr>
                <w:rFonts w:ascii="Century Gothic" w:hAnsi="Century Gothic"/>
                <w:sz w:val="20"/>
              </w:rPr>
              <w:t xml:space="preserve">Price Proposal Schedules  </w:t>
            </w:r>
            <w:bookmarkEnd w:id="1"/>
          </w:p>
        </w:tc>
      </w:tr>
      <w:tr w:rsidR="00C0020F" w:rsidRPr="00D3727C" w14:paraId="6D49D9FE" w14:textId="77777777" w:rsidTr="19155C22">
        <w:trPr>
          <w:trHeight w:val="309"/>
          <w:jc w:val="center"/>
        </w:trPr>
        <w:tc>
          <w:tcPr>
            <w:tcW w:w="9408" w:type="dxa"/>
            <w:shd w:val="clear" w:color="auto" w:fill="8EAADB" w:themeFill="accent1" w:themeFillTint="99"/>
            <w:noWrap/>
          </w:tcPr>
          <w:p w14:paraId="4796550E" w14:textId="44A6A08A" w:rsidR="00C0020F" w:rsidRPr="00D3727C" w:rsidRDefault="00C0020F" w:rsidP="19155C22">
            <w:pPr>
              <w:spacing w:before="60" w:after="60"/>
              <w:rPr>
                <w:rFonts w:ascii="Century Gothic" w:hAnsi="Century Gothic"/>
                <w:b/>
                <w:bCs/>
                <w:smallCaps/>
                <w:color w:val="FFFFFF" w:themeColor="background1"/>
                <w:sz w:val="20"/>
                <w:szCs w:val="20"/>
              </w:rPr>
            </w:pPr>
            <w:r w:rsidRPr="19155C22">
              <w:rPr>
                <w:rFonts w:ascii="Century Gothic" w:hAnsi="Century Gothic"/>
                <w:b/>
                <w:bCs/>
                <w:smallCaps/>
                <w:color w:val="FFFFFF" w:themeColor="background1"/>
                <w:sz w:val="20"/>
                <w:szCs w:val="20"/>
              </w:rPr>
              <w:t>Volume 2</w:t>
            </w:r>
            <w:r w:rsidR="5682DEA1" w:rsidRPr="19155C22">
              <w:rPr>
                <w:rFonts w:ascii="Century Gothic" w:hAnsi="Century Gothic"/>
                <w:b/>
                <w:bCs/>
                <w:smallCaps/>
                <w:color w:val="FFFFFF" w:themeColor="background1"/>
                <w:sz w:val="20"/>
                <w:szCs w:val="20"/>
              </w:rPr>
              <w:t>B</w:t>
            </w:r>
            <w:r w:rsidRPr="19155C22">
              <w:rPr>
                <w:rFonts w:ascii="Century Gothic" w:hAnsi="Century Gothic"/>
                <w:b/>
                <w:bCs/>
                <w:smallCaps/>
                <w:color w:val="FFFFFF" w:themeColor="background1"/>
                <w:sz w:val="20"/>
                <w:szCs w:val="20"/>
              </w:rPr>
              <w:t xml:space="preserve"> – </w:t>
            </w:r>
            <w:r w:rsidR="006C3EFE" w:rsidRPr="19155C22">
              <w:rPr>
                <w:rFonts w:ascii="Century Gothic" w:hAnsi="Century Gothic"/>
                <w:b/>
                <w:bCs/>
                <w:smallCaps/>
                <w:color w:val="FFFFFF" w:themeColor="background1"/>
                <w:sz w:val="20"/>
                <w:szCs w:val="20"/>
              </w:rPr>
              <w:t>M&amp;E</w:t>
            </w:r>
            <w:r w:rsidRPr="19155C22">
              <w:rPr>
                <w:rFonts w:ascii="Century Gothic" w:hAnsi="Century Gothic"/>
                <w:b/>
                <w:bCs/>
                <w:smallCaps/>
                <w:color w:val="FFFFFF" w:themeColor="background1"/>
                <w:sz w:val="20"/>
                <w:szCs w:val="20"/>
              </w:rPr>
              <w:t xml:space="preserve"> Price </w:t>
            </w:r>
            <w:r w:rsidR="008C514C">
              <w:rPr>
                <w:rFonts w:ascii="Century Gothic" w:hAnsi="Century Gothic"/>
                <w:b/>
                <w:bCs/>
                <w:smallCaps/>
                <w:color w:val="FFFFFF" w:themeColor="background1"/>
                <w:sz w:val="20"/>
                <w:szCs w:val="20"/>
              </w:rPr>
              <w:t>BAFO #2</w:t>
            </w:r>
          </w:p>
        </w:tc>
      </w:tr>
      <w:tr w:rsidR="00C0020F" w:rsidRPr="00D3727C" w14:paraId="41293CF7" w14:textId="77777777" w:rsidTr="19155C22">
        <w:trPr>
          <w:trHeight w:val="309"/>
          <w:jc w:val="center"/>
        </w:trPr>
        <w:tc>
          <w:tcPr>
            <w:tcW w:w="9408" w:type="dxa"/>
            <w:shd w:val="clear" w:color="auto" w:fill="F2F2F2" w:themeFill="background1" w:themeFillShade="F2"/>
            <w:noWrap/>
          </w:tcPr>
          <w:p w14:paraId="79AEC785" w14:textId="0F33F954" w:rsidR="00C0020F" w:rsidRPr="00D3727C" w:rsidRDefault="00D374DC" w:rsidP="00D15613">
            <w:pPr>
              <w:numPr>
                <w:ilvl w:val="0"/>
                <w:numId w:val="13"/>
              </w:numPr>
              <w:spacing w:before="60" w:after="60" w:line="240" w:lineRule="auto"/>
              <w:rPr>
                <w:rFonts w:ascii="Century Gothic" w:hAnsi="Century Gothic"/>
                <w:sz w:val="20"/>
              </w:rPr>
            </w:pPr>
            <w:r>
              <w:rPr>
                <w:rFonts w:ascii="Century Gothic" w:hAnsi="Century Gothic"/>
                <w:sz w:val="20"/>
              </w:rPr>
              <w:t xml:space="preserve">Attachment </w:t>
            </w:r>
            <w:r w:rsidR="002802FC">
              <w:rPr>
                <w:rFonts w:ascii="Century Gothic" w:hAnsi="Century Gothic"/>
                <w:sz w:val="20"/>
              </w:rPr>
              <w:t>B</w:t>
            </w:r>
            <w:r>
              <w:rPr>
                <w:rFonts w:ascii="Century Gothic" w:hAnsi="Century Gothic"/>
                <w:sz w:val="20"/>
              </w:rPr>
              <w:t xml:space="preserve">5 </w:t>
            </w:r>
            <w:r w:rsidR="009F0826">
              <w:rPr>
                <w:rFonts w:ascii="Century Gothic" w:hAnsi="Century Gothic"/>
                <w:sz w:val="20"/>
              </w:rPr>
              <w:t>–</w:t>
            </w:r>
            <w:r w:rsidR="00C0020F" w:rsidRPr="00D3727C">
              <w:rPr>
                <w:rFonts w:ascii="Century Gothic" w:hAnsi="Century Gothic"/>
                <w:sz w:val="20"/>
              </w:rPr>
              <w:t xml:space="preserve"> </w:t>
            </w:r>
            <w:r w:rsidR="002802FC">
              <w:rPr>
                <w:rFonts w:ascii="Century Gothic" w:hAnsi="Century Gothic"/>
                <w:sz w:val="20"/>
              </w:rPr>
              <w:t>M&amp;E</w:t>
            </w:r>
            <w:r w:rsidR="009F0826">
              <w:rPr>
                <w:rFonts w:ascii="Century Gothic" w:hAnsi="Century Gothic"/>
                <w:sz w:val="20"/>
              </w:rPr>
              <w:t xml:space="preserve"> </w:t>
            </w:r>
            <w:r w:rsidR="00C0020F" w:rsidRPr="00D3727C">
              <w:rPr>
                <w:rFonts w:ascii="Century Gothic" w:hAnsi="Century Gothic"/>
                <w:sz w:val="20"/>
              </w:rPr>
              <w:t xml:space="preserve">Price Proposal Schedules  </w:t>
            </w:r>
          </w:p>
        </w:tc>
      </w:tr>
      <w:tr w:rsidR="00B61AAC" w:rsidRPr="00D3727C" w14:paraId="7B00E3EA" w14:textId="77777777" w:rsidTr="19155C22">
        <w:trPr>
          <w:trHeight w:val="309"/>
          <w:jc w:val="center"/>
        </w:trPr>
        <w:tc>
          <w:tcPr>
            <w:tcW w:w="9408" w:type="dxa"/>
            <w:shd w:val="clear" w:color="auto" w:fill="8EAADB" w:themeFill="accent1" w:themeFillTint="99"/>
            <w:noWrap/>
          </w:tcPr>
          <w:p w14:paraId="4D596EEA" w14:textId="24306355" w:rsidR="00B61AAC" w:rsidRPr="00D3727C" w:rsidRDefault="00B61AAC" w:rsidP="00C121CE">
            <w:pPr>
              <w:spacing w:before="60" w:after="60"/>
              <w:rPr>
                <w:rFonts w:ascii="Century Gothic" w:hAnsi="Century Gothic"/>
                <w:b/>
                <w:smallCaps/>
                <w:color w:val="FFFFFF" w:themeColor="background1"/>
                <w:sz w:val="20"/>
              </w:rPr>
            </w:pPr>
            <w:r w:rsidRPr="00D3727C">
              <w:rPr>
                <w:rFonts w:ascii="Century Gothic" w:hAnsi="Century Gothic"/>
                <w:b/>
                <w:smallCaps/>
                <w:color w:val="FFFFFF" w:themeColor="background1"/>
                <w:sz w:val="20"/>
              </w:rPr>
              <w:t xml:space="preserve">Volume </w:t>
            </w:r>
            <w:r w:rsidR="006C75ED">
              <w:rPr>
                <w:rFonts w:ascii="Century Gothic" w:hAnsi="Century Gothic"/>
                <w:b/>
                <w:smallCaps/>
                <w:color w:val="FFFFFF" w:themeColor="background1"/>
                <w:sz w:val="20"/>
              </w:rPr>
              <w:t>4</w:t>
            </w:r>
            <w:r w:rsidRPr="00D3727C">
              <w:rPr>
                <w:rFonts w:ascii="Century Gothic" w:hAnsi="Century Gothic"/>
                <w:b/>
                <w:smallCaps/>
                <w:color w:val="FFFFFF" w:themeColor="background1"/>
                <w:sz w:val="20"/>
              </w:rPr>
              <w:t xml:space="preserve"> – </w:t>
            </w:r>
            <w:r w:rsidR="00D644E8" w:rsidRPr="00D644E8">
              <w:rPr>
                <w:rFonts w:ascii="Century Gothic" w:hAnsi="Century Gothic"/>
                <w:b/>
                <w:smallCaps/>
                <w:color w:val="FFFFFF" w:themeColor="background1"/>
                <w:sz w:val="20"/>
              </w:rPr>
              <w:t>Consolidated Infrastructure and M&amp;E Price Proposal</w:t>
            </w:r>
          </w:p>
        </w:tc>
      </w:tr>
      <w:tr w:rsidR="00A310AB" w:rsidRPr="00D3727C" w14:paraId="375D29F6" w14:textId="77777777" w:rsidTr="19155C22">
        <w:trPr>
          <w:trHeight w:val="309"/>
          <w:jc w:val="center"/>
        </w:trPr>
        <w:tc>
          <w:tcPr>
            <w:tcW w:w="9408" w:type="dxa"/>
            <w:shd w:val="clear" w:color="auto" w:fill="F2F2F2" w:themeFill="background1" w:themeFillShade="F2"/>
            <w:noWrap/>
          </w:tcPr>
          <w:p w14:paraId="7362FBA7" w14:textId="1DE8F160" w:rsidR="00491A8E" w:rsidRDefault="00D644E8" w:rsidP="19155C22">
            <w:pPr>
              <w:numPr>
                <w:ilvl w:val="0"/>
                <w:numId w:val="14"/>
              </w:numPr>
              <w:spacing w:before="60" w:after="60" w:line="240" w:lineRule="auto"/>
              <w:rPr>
                <w:rFonts w:ascii="Century Gothic" w:hAnsi="Century Gothic"/>
                <w:sz w:val="20"/>
                <w:szCs w:val="20"/>
              </w:rPr>
            </w:pPr>
            <w:r w:rsidRPr="19155C22">
              <w:rPr>
                <w:rFonts w:ascii="Century Gothic" w:hAnsi="Century Gothic"/>
                <w:sz w:val="20"/>
                <w:szCs w:val="20"/>
              </w:rPr>
              <w:t>Attachment</w:t>
            </w:r>
            <w:r w:rsidR="007901AC" w:rsidRPr="19155C22">
              <w:rPr>
                <w:rFonts w:ascii="Century Gothic" w:hAnsi="Century Gothic"/>
                <w:sz w:val="20"/>
                <w:szCs w:val="20"/>
              </w:rPr>
              <w:t xml:space="preserve"> C1 – Consolidated Price Proposal Schedules</w:t>
            </w:r>
          </w:p>
        </w:tc>
      </w:tr>
    </w:tbl>
    <w:p w14:paraId="4D3E2721" w14:textId="0BDD677F" w:rsidR="00FC64A8" w:rsidRPr="006E2750" w:rsidRDefault="008C514C" w:rsidP="0069595A">
      <w:pPr>
        <w:pStyle w:val="Heading2"/>
        <w:spacing w:before="240"/>
        <w:rPr>
          <w:rFonts w:ascii="Century Gothic" w:hAnsi="Century Gothic"/>
        </w:rPr>
      </w:pPr>
      <w:r>
        <w:rPr>
          <w:rFonts w:ascii="Century Gothic" w:hAnsi="Century Gothic"/>
        </w:rPr>
        <w:t>BAFO #2</w:t>
      </w:r>
      <w:r w:rsidR="00FC64A8" w:rsidRPr="006E2750">
        <w:rPr>
          <w:rFonts w:ascii="Century Gothic" w:hAnsi="Century Gothic"/>
        </w:rPr>
        <w:t xml:space="preserve"> Content</w:t>
      </w:r>
    </w:p>
    <w:p w14:paraId="3457A4BC" w14:textId="4EA54EF6" w:rsidR="00AF300D" w:rsidRDefault="00AF300D" w:rsidP="00AF300D">
      <w:pPr>
        <w:rPr>
          <w:rFonts w:ascii="Century Gothic" w:hAnsi="Century Gothic"/>
        </w:rPr>
      </w:pPr>
      <w:r w:rsidRPr="006E2750">
        <w:rPr>
          <w:rFonts w:ascii="Century Gothic" w:hAnsi="Century Gothic"/>
        </w:rPr>
        <w:t xml:space="preserve">This </w:t>
      </w:r>
      <w:r w:rsidR="008C514C">
        <w:rPr>
          <w:rFonts w:ascii="Century Gothic" w:hAnsi="Century Gothic"/>
        </w:rPr>
        <w:t>BAFO #2</w:t>
      </w:r>
      <w:r w:rsidR="002C4B29">
        <w:rPr>
          <w:rFonts w:ascii="Century Gothic" w:hAnsi="Century Gothic"/>
        </w:rPr>
        <w:t xml:space="preserve"> </w:t>
      </w:r>
      <w:r w:rsidRPr="006E2750">
        <w:rPr>
          <w:rFonts w:ascii="Century Gothic" w:hAnsi="Century Gothic"/>
        </w:rPr>
        <w:t xml:space="preserve">is comprised of </w:t>
      </w:r>
      <w:r w:rsidR="00263AC5">
        <w:rPr>
          <w:rFonts w:ascii="Century Gothic" w:hAnsi="Century Gothic"/>
        </w:rPr>
        <w:t>t</w:t>
      </w:r>
      <w:r w:rsidR="000C62B8">
        <w:rPr>
          <w:rFonts w:ascii="Century Gothic" w:hAnsi="Century Gothic"/>
        </w:rPr>
        <w:t>hree</w:t>
      </w:r>
      <w:r w:rsidRPr="006E2750">
        <w:rPr>
          <w:rFonts w:ascii="Century Gothic" w:hAnsi="Century Gothic"/>
        </w:rPr>
        <w:t xml:space="preserve"> sections</w:t>
      </w:r>
      <w:r w:rsidR="0095609F">
        <w:rPr>
          <w:rFonts w:ascii="Century Gothic" w:hAnsi="Century Gothic"/>
        </w:rPr>
        <w:t>:</w:t>
      </w:r>
      <w:r w:rsidRPr="006E2750">
        <w:rPr>
          <w:rFonts w:ascii="Century Gothic" w:hAnsi="Century Gothic"/>
        </w:rPr>
        <w:t xml:space="preserve"> </w:t>
      </w:r>
      <w:r w:rsidR="003F59DD">
        <w:rPr>
          <w:rFonts w:ascii="Century Gothic" w:hAnsi="Century Gothic"/>
        </w:rPr>
        <w:t xml:space="preserve">the </w:t>
      </w:r>
      <w:r w:rsidR="0047540F">
        <w:rPr>
          <w:rFonts w:ascii="Century Gothic" w:hAnsi="Century Gothic"/>
        </w:rPr>
        <w:t xml:space="preserve">Infrastructure Price BAFO, the </w:t>
      </w:r>
      <w:r w:rsidR="003F59DD">
        <w:rPr>
          <w:rFonts w:ascii="Century Gothic" w:hAnsi="Century Gothic"/>
        </w:rPr>
        <w:t xml:space="preserve">M&amp;E </w:t>
      </w:r>
      <w:r w:rsidRPr="006E2750">
        <w:rPr>
          <w:rFonts w:ascii="Century Gothic" w:hAnsi="Century Gothic"/>
        </w:rPr>
        <w:t>Pric</w:t>
      </w:r>
      <w:r w:rsidR="004F6671">
        <w:rPr>
          <w:rFonts w:ascii="Century Gothic" w:hAnsi="Century Gothic"/>
        </w:rPr>
        <w:t>e</w:t>
      </w:r>
      <w:r w:rsidRPr="006E2750">
        <w:rPr>
          <w:rFonts w:ascii="Century Gothic" w:hAnsi="Century Gothic"/>
        </w:rPr>
        <w:t xml:space="preserve"> BAFO</w:t>
      </w:r>
      <w:r w:rsidR="00ED15F7">
        <w:rPr>
          <w:rFonts w:ascii="Century Gothic" w:hAnsi="Century Gothic"/>
        </w:rPr>
        <w:t xml:space="preserve"> and the </w:t>
      </w:r>
      <w:r w:rsidR="00ED15F7" w:rsidRPr="00ED15F7">
        <w:rPr>
          <w:rFonts w:ascii="Century Gothic" w:hAnsi="Century Gothic"/>
        </w:rPr>
        <w:t xml:space="preserve">Consolidated Infrastructure and M&amp;E Price </w:t>
      </w:r>
      <w:r w:rsidR="0095609F">
        <w:rPr>
          <w:rFonts w:ascii="Century Gothic" w:hAnsi="Century Gothic"/>
        </w:rPr>
        <w:t>BAFO</w:t>
      </w:r>
      <w:r w:rsidRPr="006E2750">
        <w:rPr>
          <w:rFonts w:ascii="Century Gothic" w:hAnsi="Century Gothic"/>
        </w:rPr>
        <w:t xml:space="preserve">. </w:t>
      </w:r>
      <w:r w:rsidR="0095609F">
        <w:rPr>
          <w:rFonts w:ascii="Century Gothic" w:hAnsi="Century Gothic"/>
        </w:rPr>
        <w:t xml:space="preserve"> </w:t>
      </w:r>
    </w:p>
    <w:p w14:paraId="670C2081" w14:textId="5568C400" w:rsidR="00C66516" w:rsidRPr="006E2750" w:rsidRDefault="00C66516" w:rsidP="00C66516">
      <w:pPr>
        <w:pStyle w:val="Heading3"/>
        <w:numPr>
          <w:ilvl w:val="0"/>
          <w:numId w:val="0"/>
        </w:numPr>
      </w:pPr>
      <w:r>
        <w:t xml:space="preserve">Volume </w:t>
      </w:r>
      <w:r w:rsidR="003A16A6">
        <w:t>1</w:t>
      </w:r>
      <w:r>
        <w:t xml:space="preserve">B – </w:t>
      </w:r>
      <w:r w:rsidR="0047540F">
        <w:t>Infrastructure</w:t>
      </w:r>
      <w:r>
        <w:t xml:space="preserve"> Price BAFO #2</w:t>
      </w:r>
    </w:p>
    <w:p w14:paraId="5747EE65" w14:textId="7946DE1C" w:rsidR="00C66516" w:rsidRDefault="00C66516" w:rsidP="00C66516">
      <w:pPr>
        <w:rPr>
          <w:rFonts w:ascii="Century Gothic" w:hAnsi="Century Gothic"/>
        </w:rPr>
      </w:pPr>
      <w:r>
        <w:rPr>
          <w:rFonts w:ascii="Century Gothic" w:hAnsi="Century Gothic"/>
        </w:rPr>
        <w:t xml:space="preserve">RFP </w:t>
      </w:r>
      <w:r w:rsidRPr="00C256AE">
        <w:rPr>
          <w:rFonts w:ascii="Century Gothic" w:hAnsi="Century Gothic"/>
        </w:rPr>
        <w:t xml:space="preserve">Attachment </w:t>
      </w:r>
      <w:r w:rsidR="001C6281">
        <w:rPr>
          <w:rFonts w:ascii="Century Gothic" w:hAnsi="Century Gothic"/>
        </w:rPr>
        <w:t>A</w:t>
      </w:r>
      <w:r w:rsidRPr="00C256AE">
        <w:rPr>
          <w:rFonts w:ascii="Century Gothic" w:hAnsi="Century Gothic"/>
        </w:rPr>
        <w:t xml:space="preserve">5 – </w:t>
      </w:r>
      <w:r w:rsidR="001C6281">
        <w:rPr>
          <w:rFonts w:ascii="Century Gothic" w:hAnsi="Century Gothic"/>
        </w:rPr>
        <w:t>Infrastructure</w:t>
      </w:r>
      <w:r w:rsidRPr="00C256AE">
        <w:rPr>
          <w:rFonts w:ascii="Century Gothic" w:hAnsi="Century Gothic"/>
        </w:rPr>
        <w:t xml:space="preserve"> Price Proposal Schedules</w:t>
      </w:r>
      <w:r>
        <w:rPr>
          <w:rFonts w:ascii="Century Gothic" w:hAnsi="Century Gothic"/>
        </w:rPr>
        <w:t xml:space="preserve"> have been revised for this BAFO.  Bidders must respond to the Attachment contents. </w:t>
      </w:r>
    </w:p>
    <w:p w14:paraId="6D229686" w14:textId="25261129" w:rsidR="00781021" w:rsidRPr="006E2750" w:rsidRDefault="00781021" w:rsidP="00781021">
      <w:pPr>
        <w:pStyle w:val="Heading3"/>
        <w:numPr>
          <w:ilvl w:val="0"/>
          <w:numId w:val="0"/>
        </w:numPr>
      </w:pPr>
      <w:r>
        <w:t>Volume 2</w:t>
      </w:r>
      <w:r w:rsidR="00256AB3">
        <w:t>B</w:t>
      </w:r>
      <w:r>
        <w:t xml:space="preserve"> – </w:t>
      </w:r>
      <w:r w:rsidR="00256AB3">
        <w:t>M&amp;E</w:t>
      </w:r>
      <w:r>
        <w:t xml:space="preserve"> Price </w:t>
      </w:r>
      <w:r w:rsidR="008C514C">
        <w:t>BAFO #2</w:t>
      </w:r>
    </w:p>
    <w:p w14:paraId="2E60A418" w14:textId="42F8BE43" w:rsidR="00781021" w:rsidRDefault="00773467" w:rsidP="00B54B87">
      <w:pPr>
        <w:rPr>
          <w:rFonts w:ascii="Century Gothic" w:hAnsi="Century Gothic"/>
        </w:rPr>
      </w:pPr>
      <w:bookmarkStart w:id="2" w:name="_Hlk142302299"/>
      <w:r>
        <w:rPr>
          <w:rFonts w:ascii="Century Gothic" w:hAnsi="Century Gothic"/>
        </w:rPr>
        <w:t xml:space="preserve">RFP Section </w:t>
      </w:r>
      <w:r w:rsidR="001D0ED4">
        <w:rPr>
          <w:rFonts w:ascii="Century Gothic" w:hAnsi="Century Gothic"/>
        </w:rPr>
        <w:t>6.3.</w:t>
      </w:r>
      <w:r w:rsidR="00CB7B7C">
        <w:rPr>
          <w:rFonts w:ascii="Century Gothic" w:hAnsi="Century Gothic"/>
        </w:rPr>
        <w:t>10</w:t>
      </w:r>
      <w:r w:rsidR="001D0ED4">
        <w:rPr>
          <w:rFonts w:ascii="Century Gothic" w:hAnsi="Century Gothic"/>
        </w:rPr>
        <w:t xml:space="preserve"> </w:t>
      </w:r>
      <w:r w:rsidR="00D35F8B" w:rsidRPr="00D35F8B">
        <w:rPr>
          <w:rFonts w:ascii="Century Gothic" w:hAnsi="Century Gothic"/>
        </w:rPr>
        <w:t>Volume 2</w:t>
      </w:r>
      <w:r w:rsidR="00CB7B7C">
        <w:rPr>
          <w:rFonts w:ascii="Century Gothic" w:hAnsi="Century Gothic"/>
        </w:rPr>
        <w:t>B</w:t>
      </w:r>
      <w:r w:rsidR="00D35F8B" w:rsidRPr="00D35F8B">
        <w:rPr>
          <w:rFonts w:ascii="Century Gothic" w:hAnsi="Century Gothic"/>
        </w:rPr>
        <w:t xml:space="preserve"> – </w:t>
      </w:r>
      <w:r w:rsidR="00CB7B7C">
        <w:rPr>
          <w:rFonts w:ascii="Century Gothic" w:hAnsi="Century Gothic"/>
        </w:rPr>
        <w:t>M&amp;E</w:t>
      </w:r>
      <w:r w:rsidR="00D35F8B" w:rsidRPr="00D35F8B">
        <w:rPr>
          <w:rFonts w:ascii="Century Gothic" w:hAnsi="Century Gothic"/>
        </w:rPr>
        <w:t xml:space="preserve"> Price Proposal</w:t>
      </w:r>
      <w:r w:rsidR="00C256AE">
        <w:rPr>
          <w:rFonts w:ascii="Century Gothic" w:hAnsi="Century Gothic"/>
        </w:rPr>
        <w:t xml:space="preserve"> </w:t>
      </w:r>
      <w:r w:rsidR="00CF32EE">
        <w:rPr>
          <w:rFonts w:ascii="Century Gothic" w:hAnsi="Century Gothic"/>
        </w:rPr>
        <w:t>I</w:t>
      </w:r>
      <w:r w:rsidR="00C256AE">
        <w:rPr>
          <w:rFonts w:ascii="Century Gothic" w:hAnsi="Century Gothic"/>
        </w:rPr>
        <w:t>nstructions and</w:t>
      </w:r>
      <w:r w:rsidR="00C256AE" w:rsidRPr="00C256AE">
        <w:t xml:space="preserve"> </w:t>
      </w:r>
      <w:r w:rsidR="00C256AE" w:rsidRPr="00C256AE">
        <w:rPr>
          <w:rFonts w:ascii="Century Gothic" w:hAnsi="Century Gothic"/>
        </w:rPr>
        <w:t>Attachment B5 – M&amp;E Price Proposal Schedules</w:t>
      </w:r>
      <w:r w:rsidR="00391EF9">
        <w:rPr>
          <w:rFonts w:ascii="Century Gothic" w:hAnsi="Century Gothic"/>
        </w:rPr>
        <w:t xml:space="preserve"> </w:t>
      </w:r>
      <w:r w:rsidR="00FB00C3">
        <w:rPr>
          <w:rFonts w:ascii="Century Gothic" w:hAnsi="Century Gothic"/>
        </w:rPr>
        <w:t xml:space="preserve">have been revised for this BAFO. Bidders must respond to the </w:t>
      </w:r>
      <w:r w:rsidR="00EE78A2">
        <w:rPr>
          <w:rFonts w:ascii="Century Gothic" w:hAnsi="Century Gothic"/>
        </w:rPr>
        <w:t>updated</w:t>
      </w:r>
      <w:r w:rsidR="00FB00C3">
        <w:rPr>
          <w:rFonts w:ascii="Century Gothic" w:hAnsi="Century Gothic"/>
        </w:rPr>
        <w:t xml:space="preserve"> section and Attachment content</w:t>
      </w:r>
      <w:r w:rsidR="00E42044">
        <w:rPr>
          <w:rFonts w:ascii="Century Gothic" w:hAnsi="Century Gothic"/>
        </w:rPr>
        <w:t>s</w:t>
      </w:r>
      <w:r w:rsidR="00FB00C3">
        <w:rPr>
          <w:rFonts w:ascii="Century Gothic" w:hAnsi="Century Gothic"/>
        </w:rPr>
        <w:t>.</w:t>
      </w:r>
      <w:r w:rsidR="00391EF9">
        <w:rPr>
          <w:rFonts w:ascii="Century Gothic" w:hAnsi="Century Gothic"/>
        </w:rPr>
        <w:t xml:space="preserve"> </w:t>
      </w:r>
    </w:p>
    <w:bookmarkEnd w:id="2"/>
    <w:p w14:paraId="3827F050" w14:textId="193BFD9A" w:rsidR="00A47C67" w:rsidRDefault="00445B8A" w:rsidP="00145120">
      <w:pPr>
        <w:pStyle w:val="Heading3"/>
        <w:numPr>
          <w:ilvl w:val="0"/>
          <w:numId w:val="0"/>
        </w:numPr>
      </w:pPr>
      <w:r>
        <w:t>Volume 4 – Consolidated Infrastructure and M&amp;E Price Proposal Schedules</w:t>
      </w:r>
    </w:p>
    <w:p w14:paraId="260CD3F0" w14:textId="54AD0E6C" w:rsidR="00445B8A" w:rsidRDefault="00E24D54" w:rsidP="00B54B87">
      <w:pPr>
        <w:rPr>
          <w:rFonts w:ascii="Century Gothic" w:hAnsi="Century Gothic"/>
        </w:rPr>
      </w:pPr>
      <w:r w:rsidRPr="00E24D54">
        <w:rPr>
          <w:rFonts w:ascii="Century Gothic" w:hAnsi="Century Gothic"/>
        </w:rPr>
        <w:t>RFP Section 6.3.1</w:t>
      </w:r>
      <w:r>
        <w:rPr>
          <w:rFonts w:ascii="Century Gothic" w:hAnsi="Century Gothic"/>
        </w:rPr>
        <w:t>2</w:t>
      </w:r>
      <w:r w:rsidRPr="00E24D54">
        <w:rPr>
          <w:rFonts w:ascii="Century Gothic" w:hAnsi="Century Gothic"/>
        </w:rPr>
        <w:t xml:space="preserve"> </w:t>
      </w:r>
      <w:r w:rsidR="0094634C" w:rsidRPr="0094634C">
        <w:rPr>
          <w:rFonts w:ascii="Century Gothic" w:hAnsi="Century Gothic"/>
        </w:rPr>
        <w:t>Volume 4 – Consolidated Infrastructure and M&amp;E Price Proposal</w:t>
      </w:r>
      <w:r w:rsidR="00CF4946">
        <w:rPr>
          <w:rFonts w:ascii="Century Gothic" w:hAnsi="Century Gothic"/>
        </w:rPr>
        <w:t xml:space="preserve"> </w:t>
      </w:r>
      <w:r w:rsidR="00CF32EE">
        <w:rPr>
          <w:rFonts w:ascii="Century Gothic" w:hAnsi="Century Gothic"/>
        </w:rPr>
        <w:t>I</w:t>
      </w:r>
      <w:r w:rsidR="00CF4946">
        <w:rPr>
          <w:rFonts w:ascii="Century Gothic" w:hAnsi="Century Gothic"/>
        </w:rPr>
        <w:t xml:space="preserve">nstructions and </w:t>
      </w:r>
      <w:r w:rsidR="003B7AF7" w:rsidRPr="003B7AF7">
        <w:rPr>
          <w:rFonts w:ascii="Century Gothic" w:hAnsi="Century Gothic"/>
        </w:rPr>
        <w:t xml:space="preserve">Attachment C1 – Consolidated Price Proposal Schedules </w:t>
      </w:r>
      <w:r w:rsidRPr="00E24D54">
        <w:rPr>
          <w:rFonts w:ascii="Century Gothic" w:hAnsi="Century Gothic"/>
        </w:rPr>
        <w:t xml:space="preserve">have been revised for this BAFO. Bidders must respond to the </w:t>
      </w:r>
      <w:r w:rsidR="00EE78A2">
        <w:rPr>
          <w:rFonts w:ascii="Century Gothic" w:hAnsi="Century Gothic"/>
        </w:rPr>
        <w:t>updated</w:t>
      </w:r>
      <w:r w:rsidRPr="00E24D54">
        <w:rPr>
          <w:rFonts w:ascii="Century Gothic" w:hAnsi="Century Gothic"/>
        </w:rPr>
        <w:t xml:space="preserve"> section and Attachment contents.</w:t>
      </w:r>
    </w:p>
    <w:p w14:paraId="5DF759D7" w14:textId="00554BC0" w:rsidR="00A13EB1" w:rsidRDefault="00A13EB1" w:rsidP="00A13EB1">
      <w:pPr>
        <w:pStyle w:val="Heading3"/>
        <w:numPr>
          <w:ilvl w:val="0"/>
          <w:numId w:val="0"/>
        </w:numPr>
      </w:pPr>
      <w:r>
        <w:t>General Information</w:t>
      </w:r>
    </w:p>
    <w:p w14:paraId="42D9095C" w14:textId="7C248BC8" w:rsidR="00CF32EE" w:rsidRDefault="00A13EB1" w:rsidP="0095609F">
      <w:pPr>
        <w:rPr>
          <w:rFonts w:ascii="Century Gothic" w:hAnsi="Century Gothic"/>
        </w:rPr>
      </w:pPr>
      <w:r>
        <w:rPr>
          <w:rFonts w:ascii="Century Gothic" w:hAnsi="Century Gothic"/>
        </w:rPr>
        <w:t>For this BAFO #2, t</w:t>
      </w:r>
      <w:r w:rsidR="00CF32EE">
        <w:rPr>
          <w:rFonts w:ascii="Century Gothic" w:hAnsi="Century Gothic"/>
        </w:rPr>
        <w:t xml:space="preserve">he Consortium has </w:t>
      </w:r>
      <w:r>
        <w:rPr>
          <w:rFonts w:ascii="Century Gothic" w:hAnsi="Century Gothic"/>
        </w:rPr>
        <w:t xml:space="preserve">only </w:t>
      </w:r>
      <w:r w:rsidR="00CF32EE">
        <w:rPr>
          <w:rFonts w:ascii="Century Gothic" w:hAnsi="Century Gothic"/>
        </w:rPr>
        <w:t>made refinements to formulas across the Price Proposal Schedules</w:t>
      </w:r>
      <w:r>
        <w:rPr>
          <w:rFonts w:ascii="Century Gothic" w:hAnsi="Century Gothic"/>
        </w:rPr>
        <w:t xml:space="preserve"> based on the Bidder responses as part of the BAFO #1 process</w:t>
      </w:r>
      <w:r w:rsidR="00CF32EE">
        <w:rPr>
          <w:rFonts w:ascii="Century Gothic" w:hAnsi="Century Gothic"/>
        </w:rPr>
        <w:t xml:space="preserve">, including adjustments to the applicable months that comprise State Fiscal Years (SFYs). </w:t>
      </w:r>
      <w:r>
        <w:rPr>
          <w:rFonts w:ascii="Century Gothic" w:hAnsi="Century Gothic"/>
        </w:rPr>
        <w:t xml:space="preserve"> </w:t>
      </w:r>
      <w:r w:rsidR="00CF32EE">
        <w:rPr>
          <w:rFonts w:ascii="Century Gothic" w:hAnsi="Century Gothic"/>
        </w:rPr>
        <w:t>For the BAFO #2 responses, Bidders are specifically directed not to modify formulas associated with the calculations for SFY months.</w:t>
      </w:r>
    </w:p>
    <w:p w14:paraId="285EA1DC" w14:textId="4B305AF6" w:rsidR="0095609F" w:rsidRDefault="00CF32EE" w:rsidP="0095609F">
      <w:pPr>
        <w:rPr>
          <w:rFonts w:ascii="Century Gothic" w:hAnsi="Century Gothic"/>
        </w:rPr>
      </w:pPr>
      <w:r>
        <w:rPr>
          <w:rFonts w:ascii="Century Gothic" w:hAnsi="Century Gothic"/>
        </w:rPr>
        <w:t>Based</w:t>
      </w:r>
      <w:r w:rsidR="0095609F">
        <w:rPr>
          <w:rFonts w:ascii="Century Gothic" w:hAnsi="Century Gothic"/>
        </w:rPr>
        <w:t xml:space="preserve"> on the Agreement revisions</w:t>
      </w:r>
      <w:r>
        <w:rPr>
          <w:rFonts w:ascii="Century Gothic" w:hAnsi="Century Gothic"/>
        </w:rPr>
        <w:t xml:space="preserve"> resulting from the Agreement Exception Discussions</w:t>
      </w:r>
      <w:r w:rsidR="0095609F">
        <w:rPr>
          <w:rFonts w:ascii="Century Gothic" w:hAnsi="Century Gothic"/>
        </w:rPr>
        <w:t xml:space="preserve">, Bidder risk profiles are substantially lower as compared to earlier proposal submissions.  </w:t>
      </w:r>
      <w:r>
        <w:rPr>
          <w:rFonts w:ascii="Century Gothic" w:hAnsi="Century Gothic"/>
        </w:rPr>
        <w:t>Therefore</w:t>
      </w:r>
      <w:r w:rsidR="0095609F">
        <w:rPr>
          <w:rFonts w:ascii="Century Gothic" w:hAnsi="Century Gothic"/>
        </w:rPr>
        <w:t>, the Consortium expects Bidders to reflect that reduced risk in their BAFO #2 Price Proposals.</w:t>
      </w:r>
    </w:p>
    <w:p w14:paraId="5C67364E" w14:textId="2E20D4C1" w:rsidR="00B54B87" w:rsidRPr="009F6A53" w:rsidRDefault="002B0D0B" w:rsidP="001B1A03">
      <w:pPr>
        <w:pStyle w:val="Heading2"/>
        <w:rPr>
          <w:rFonts w:ascii="Century Gothic" w:hAnsi="Century Gothic"/>
        </w:rPr>
      </w:pPr>
      <w:r w:rsidRPr="009F6A53">
        <w:rPr>
          <w:rFonts w:ascii="Century Gothic" w:hAnsi="Century Gothic"/>
        </w:rPr>
        <w:lastRenderedPageBreak/>
        <w:t>BAFO Scoring</w:t>
      </w:r>
    </w:p>
    <w:p w14:paraId="23DCD994" w14:textId="64A212A1" w:rsidR="00AA63F4" w:rsidRDefault="007F3AD2" w:rsidP="002261F1">
      <w:pPr>
        <w:rPr>
          <w:rFonts w:ascii="Century Gothic" w:hAnsi="Century Gothic"/>
        </w:rPr>
      </w:pPr>
      <w:r>
        <w:rPr>
          <w:rFonts w:ascii="Century Gothic" w:hAnsi="Century Gothic"/>
        </w:rPr>
        <w:t>Infrastructure</w:t>
      </w:r>
      <w:r w:rsidR="0095609F">
        <w:rPr>
          <w:rFonts w:ascii="Century Gothic" w:hAnsi="Century Gothic"/>
        </w:rPr>
        <w:t>,</w:t>
      </w:r>
      <w:r>
        <w:rPr>
          <w:rFonts w:ascii="Century Gothic" w:hAnsi="Century Gothic"/>
        </w:rPr>
        <w:t xml:space="preserve"> </w:t>
      </w:r>
      <w:r w:rsidR="00FF41E4">
        <w:rPr>
          <w:rFonts w:ascii="Century Gothic" w:hAnsi="Century Gothic"/>
        </w:rPr>
        <w:t>M&amp;E</w:t>
      </w:r>
      <w:r w:rsidR="00355607" w:rsidRPr="00355607">
        <w:rPr>
          <w:rFonts w:ascii="Century Gothic" w:hAnsi="Century Gothic"/>
        </w:rPr>
        <w:t xml:space="preserve"> </w:t>
      </w:r>
      <w:r w:rsidR="0095609F">
        <w:rPr>
          <w:rFonts w:ascii="Century Gothic" w:hAnsi="Century Gothic"/>
        </w:rPr>
        <w:t xml:space="preserve">and Consolidated </w:t>
      </w:r>
      <w:r w:rsidR="00355607" w:rsidRPr="00355607">
        <w:rPr>
          <w:rFonts w:ascii="Century Gothic" w:hAnsi="Century Gothic"/>
        </w:rPr>
        <w:t>methodolog</w:t>
      </w:r>
      <w:r>
        <w:rPr>
          <w:rFonts w:ascii="Century Gothic" w:hAnsi="Century Gothic"/>
        </w:rPr>
        <w:t>ies</w:t>
      </w:r>
      <w:r w:rsidR="00355607" w:rsidRPr="00355607">
        <w:rPr>
          <w:rFonts w:ascii="Century Gothic" w:hAnsi="Century Gothic"/>
        </w:rPr>
        <w:t xml:space="preserve"> </w:t>
      </w:r>
      <w:r w:rsidR="008C712B">
        <w:rPr>
          <w:rFonts w:ascii="Century Gothic" w:hAnsi="Century Gothic"/>
        </w:rPr>
        <w:t>defined in</w:t>
      </w:r>
      <w:r w:rsidR="008C712B" w:rsidRPr="008C712B">
        <w:t xml:space="preserve"> </w:t>
      </w:r>
      <w:r w:rsidR="008C712B" w:rsidRPr="008C712B">
        <w:rPr>
          <w:rFonts w:ascii="Century Gothic" w:hAnsi="Century Gothic"/>
        </w:rPr>
        <w:t>RFP Section 8.3</w:t>
      </w:r>
      <w:r w:rsidR="005E1392">
        <w:rPr>
          <w:rFonts w:ascii="Century Gothic" w:hAnsi="Century Gothic"/>
        </w:rPr>
        <w:t xml:space="preserve"> </w:t>
      </w:r>
      <w:r w:rsidR="00DC68B1">
        <w:rPr>
          <w:rFonts w:ascii="Century Gothic" w:hAnsi="Century Gothic"/>
        </w:rPr>
        <w:t>Proposal</w:t>
      </w:r>
      <w:r w:rsidR="008C712B" w:rsidRPr="008C712B">
        <w:rPr>
          <w:rFonts w:ascii="Century Gothic" w:hAnsi="Century Gothic"/>
        </w:rPr>
        <w:t xml:space="preserve"> Evaluation Methodology</w:t>
      </w:r>
      <w:r w:rsidR="008C712B">
        <w:rPr>
          <w:rFonts w:ascii="Century Gothic" w:hAnsi="Century Gothic"/>
        </w:rPr>
        <w:t xml:space="preserve"> </w:t>
      </w:r>
      <w:r w:rsidR="00355607" w:rsidRPr="00355607">
        <w:rPr>
          <w:rFonts w:ascii="Century Gothic" w:hAnsi="Century Gothic"/>
        </w:rPr>
        <w:t xml:space="preserve">will be applied to the </w:t>
      </w:r>
      <w:r w:rsidR="008C514C">
        <w:rPr>
          <w:rFonts w:ascii="Century Gothic" w:hAnsi="Century Gothic"/>
        </w:rPr>
        <w:t>BAFO #2</w:t>
      </w:r>
      <w:r w:rsidR="009224E2">
        <w:rPr>
          <w:rFonts w:ascii="Century Gothic" w:hAnsi="Century Gothic"/>
        </w:rPr>
        <w:t xml:space="preserve"> </w:t>
      </w:r>
      <w:r w:rsidR="006640CE">
        <w:rPr>
          <w:rFonts w:ascii="Century Gothic" w:hAnsi="Century Gothic"/>
        </w:rPr>
        <w:t>evaluation and scoring</w:t>
      </w:r>
      <w:r w:rsidR="0095609F">
        <w:rPr>
          <w:rFonts w:ascii="Century Gothic" w:hAnsi="Century Gothic"/>
        </w:rPr>
        <w:t xml:space="preserve"> process.</w:t>
      </w:r>
    </w:p>
    <w:sectPr w:rsidR="00AA63F4" w:rsidSect="00BB3664">
      <w:headerReference w:type="default" r:id="rId12"/>
      <w:footerReference w:type="default" r:id="rId13"/>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2620" w14:textId="77777777" w:rsidR="00BC6BD7" w:rsidRDefault="00BC6BD7" w:rsidP="00902B75">
      <w:pPr>
        <w:spacing w:after="0" w:line="240" w:lineRule="auto"/>
      </w:pPr>
      <w:r>
        <w:separator/>
      </w:r>
    </w:p>
  </w:endnote>
  <w:endnote w:type="continuationSeparator" w:id="0">
    <w:p w14:paraId="41D719E0" w14:textId="77777777" w:rsidR="00BC6BD7" w:rsidRDefault="00BC6BD7" w:rsidP="00902B75">
      <w:pPr>
        <w:spacing w:after="0" w:line="240" w:lineRule="auto"/>
      </w:pPr>
      <w:r>
        <w:continuationSeparator/>
      </w:r>
    </w:p>
  </w:endnote>
  <w:endnote w:type="continuationNotice" w:id="1">
    <w:p w14:paraId="025CEFFD" w14:textId="77777777" w:rsidR="00BC6BD7" w:rsidRDefault="00BC6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858704"/>
      <w:docPartObj>
        <w:docPartGallery w:val="Page Numbers (Bottom of Page)"/>
        <w:docPartUnique/>
      </w:docPartObj>
    </w:sdtPr>
    <w:sdtEndPr>
      <w:rPr>
        <w:rFonts w:ascii="Century Gothic" w:hAnsi="Century Gothic"/>
        <w:noProof/>
      </w:rPr>
    </w:sdtEndPr>
    <w:sdtContent>
      <w:p w14:paraId="2C8F935A" w14:textId="148F175C" w:rsidR="00BB3664" w:rsidRPr="00807FAD" w:rsidRDefault="00BB3664">
        <w:pPr>
          <w:pStyle w:val="Footer"/>
          <w:jc w:val="center"/>
          <w:rPr>
            <w:rFonts w:ascii="Century Gothic" w:hAnsi="Century Gothic"/>
          </w:rPr>
        </w:pPr>
        <w:r w:rsidRPr="00807FAD">
          <w:rPr>
            <w:rFonts w:ascii="Century Gothic" w:hAnsi="Century Gothic"/>
          </w:rPr>
          <w:fldChar w:fldCharType="begin"/>
        </w:r>
        <w:r w:rsidRPr="00807FAD">
          <w:rPr>
            <w:rFonts w:ascii="Century Gothic" w:hAnsi="Century Gothic"/>
          </w:rPr>
          <w:instrText xml:space="preserve"> PAGE   \* MERGEFORMAT </w:instrText>
        </w:r>
        <w:r w:rsidRPr="00807FAD">
          <w:rPr>
            <w:rFonts w:ascii="Century Gothic" w:hAnsi="Century Gothic"/>
          </w:rPr>
          <w:fldChar w:fldCharType="separate"/>
        </w:r>
        <w:r w:rsidRPr="00807FAD">
          <w:rPr>
            <w:rFonts w:ascii="Century Gothic" w:hAnsi="Century Gothic"/>
            <w:noProof/>
          </w:rPr>
          <w:t>2</w:t>
        </w:r>
        <w:r w:rsidRPr="00807FAD">
          <w:rPr>
            <w:rFonts w:ascii="Century Gothic" w:hAnsi="Century Gothic"/>
            <w:noProof/>
          </w:rPr>
          <w:fldChar w:fldCharType="end"/>
        </w:r>
      </w:p>
    </w:sdtContent>
  </w:sdt>
  <w:p w14:paraId="7BD17543" w14:textId="77777777" w:rsidR="00902B75" w:rsidRDefault="00902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66679" w14:textId="77777777" w:rsidR="00BC6BD7" w:rsidRDefault="00BC6BD7" w:rsidP="00902B75">
      <w:pPr>
        <w:spacing w:after="0" w:line="240" w:lineRule="auto"/>
      </w:pPr>
      <w:r>
        <w:separator/>
      </w:r>
    </w:p>
  </w:footnote>
  <w:footnote w:type="continuationSeparator" w:id="0">
    <w:p w14:paraId="579537C8" w14:textId="77777777" w:rsidR="00BC6BD7" w:rsidRDefault="00BC6BD7" w:rsidP="00902B75">
      <w:pPr>
        <w:spacing w:after="0" w:line="240" w:lineRule="auto"/>
      </w:pPr>
      <w:r>
        <w:continuationSeparator/>
      </w:r>
    </w:p>
  </w:footnote>
  <w:footnote w:type="continuationNotice" w:id="1">
    <w:p w14:paraId="4E3834CE" w14:textId="77777777" w:rsidR="00BC6BD7" w:rsidRDefault="00BC6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FB56" w14:textId="31D23A3A" w:rsidR="007E1C62" w:rsidRPr="00BB3664" w:rsidRDefault="00BB3664" w:rsidP="00BB3664">
    <w:pPr>
      <w:pStyle w:val="Header"/>
      <w:pBdr>
        <w:bottom w:val="single" w:sz="4" w:space="1" w:color="auto"/>
      </w:pBdr>
      <w:rPr>
        <w:rFonts w:ascii="Century Gothic" w:hAnsi="Century Gothic"/>
        <w:sz w:val="24"/>
        <w:szCs w:val="24"/>
      </w:rPr>
    </w:pPr>
    <w:r w:rsidRPr="00BB3664">
      <w:rPr>
        <w:rFonts w:ascii="Century Gothic" w:hAnsi="Century Gothic"/>
        <w:sz w:val="24"/>
        <w:szCs w:val="24"/>
      </w:rPr>
      <w:t xml:space="preserve">CalSAWS </w:t>
    </w:r>
    <w:r w:rsidR="00F01D69" w:rsidRPr="00F01D69">
      <w:rPr>
        <w:rFonts w:ascii="Century Gothic" w:hAnsi="Century Gothic"/>
        <w:sz w:val="24"/>
        <w:szCs w:val="24"/>
      </w:rPr>
      <w:t>Maintenance and Operations</w:t>
    </w:r>
    <w:r w:rsidR="00F01D69" w:rsidRPr="00F01D69" w:rsidDel="00F01D69">
      <w:rPr>
        <w:rFonts w:ascii="Century Gothic" w:hAnsi="Century Gothic"/>
        <w:sz w:val="24"/>
        <w:szCs w:val="24"/>
      </w:rPr>
      <w:t xml:space="preserve"> </w:t>
    </w:r>
    <w:r w:rsidR="00835848">
      <w:rPr>
        <w:rFonts w:ascii="Century Gothic" w:hAnsi="Century Gothic"/>
        <w:sz w:val="24"/>
        <w:szCs w:val="24"/>
      </w:rPr>
      <w:t xml:space="preserve">RFP </w:t>
    </w:r>
    <w:r w:rsidRPr="00BB3664">
      <w:rPr>
        <w:rFonts w:ascii="Century Gothic" w:hAnsi="Century Gothic"/>
        <w:sz w:val="24"/>
        <w:szCs w:val="24"/>
      </w:rPr>
      <w:t xml:space="preserve">Best and Final Offer </w:t>
    </w:r>
    <w:r w:rsidR="00484566">
      <w:rPr>
        <w:rFonts w:ascii="Century Gothic" w:hAnsi="Century Gothic"/>
        <w:sz w:val="24"/>
        <w:szCs w:val="24"/>
      </w:rPr>
      <w:t>#</w:t>
    </w:r>
    <w:r w:rsidR="00B11059">
      <w:rPr>
        <w:rFonts w:ascii="Century Gothic" w:hAnsi="Century Gothic"/>
        <w:sz w:val="24"/>
        <w:szCs w:val="24"/>
      </w:rPr>
      <w:t>2</w:t>
    </w:r>
    <w:r w:rsidR="00484566">
      <w:rPr>
        <w:rFonts w:ascii="Century Gothic" w:hAnsi="Century Gothic"/>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2B8E"/>
    <w:multiLevelType w:val="multilevel"/>
    <w:tmpl w:val="7AC8D39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F306F3"/>
    <w:multiLevelType w:val="hybridMultilevel"/>
    <w:tmpl w:val="72909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72341"/>
    <w:multiLevelType w:val="multilevel"/>
    <w:tmpl w:val="7AC8D39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07438CB"/>
    <w:multiLevelType w:val="multilevel"/>
    <w:tmpl w:val="F5F0ACAC"/>
    <w:lvl w:ilvl="0">
      <w:start w:val="1"/>
      <w:numFmt w:val="decimal"/>
      <w:lvlText w:val="I-U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F6A383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310D0D1D"/>
    <w:multiLevelType w:val="multilevel"/>
    <w:tmpl w:val="7AC8D39C"/>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7BD70B1"/>
    <w:multiLevelType w:val="hybridMultilevel"/>
    <w:tmpl w:val="DE0871F0"/>
    <w:lvl w:ilvl="0" w:tplc="9948044E">
      <w:start w:val="1"/>
      <w:numFmt w:val="decimal"/>
      <w:lvlText w:val="%1."/>
      <w:lvlJc w:val="left"/>
      <w:pPr>
        <w:ind w:left="360" w:hanging="360"/>
      </w:pPr>
      <w:rPr>
        <w:rFonts w:ascii="Century Gothic" w:hAnsi="Century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15E26"/>
    <w:multiLevelType w:val="multilevel"/>
    <w:tmpl w:val="04090027"/>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52112B87"/>
    <w:multiLevelType w:val="hybridMultilevel"/>
    <w:tmpl w:val="54F0F9DA"/>
    <w:lvl w:ilvl="0" w:tplc="01C2AA04">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6C3371F"/>
    <w:multiLevelType w:val="hybridMultilevel"/>
    <w:tmpl w:val="BAB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97B80"/>
    <w:multiLevelType w:val="multilevel"/>
    <w:tmpl w:val="CD96AFA0"/>
    <w:lvl w:ilvl="0">
      <w:start w:val="1"/>
      <w:numFmt w:val="upperRoman"/>
      <w:lvlText w:val="%1."/>
      <w:lvlJc w:val="left"/>
      <w:pPr>
        <w:ind w:left="0" w:firstLine="0"/>
      </w:pPr>
      <w:rPr>
        <w:rFonts w:hint="default"/>
      </w:rPr>
    </w:lvl>
    <w:lvl w:ilvl="1">
      <w:start w:val="1"/>
      <w:numFmt w:val="upperLetter"/>
      <w:lvlText w:val="%2."/>
      <w:lvlJc w:val="left"/>
      <w:pPr>
        <w:ind w:left="720" w:hanging="720"/>
      </w:pPr>
      <w:rPr>
        <w:rFonts w:hint="default"/>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65E71924"/>
    <w:multiLevelType w:val="hybridMultilevel"/>
    <w:tmpl w:val="631C9FA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C3C10CC"/>
    <w:multiLevelType w:val="hybridMultilevel"/>
    <w:tmpl w:val="957C2824"/>
    <w:lvl w:ilvl="0" w:tplc="FFFFFFFF">
      <w:start w:val="1"/>
      <w:numFmt w:val="decimal"/>
      <w:pStyle w:val="TableBullet1"/>
      <w:lvlText w:val="%1."/>
      <w:lvlJc w:val="left"/>
      <w:pPr>
        <w:ind w:left="360" w:hanging="360"/>
      </w:p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13" w15:restartNumberingAfterBreak="0">
    <w:nsid w:val="738D3A3A"/>
    <w:multiLevelType w:val="hybridMultilevel"/>
    <w:tmpl w:val="E14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03FD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294062329">
    <w:abstractNumId w:val="10"/>
  </w:num>
  <w:num w:numId="2" w16cid:durableId="1462187998">
    <w:abstractNumId w:val="13"/>
  </w:num>
  <w:num w:numId="3" w16cid:durableId="1655375212">
    <w:abstractNumId w:val="5"/>
  </w:num>
  <w:num w:numId="4" w16cid:durableId="885873455">
    <w:abstractNumId w:val="2"/>
  </w:num>
  <w:num w:numId="5" w16cid:durableId="347295413">
    <w:abstractNumId w:val="0"/>
  </w:num>
  <w:num w:numId="6" w16cid:durableId="1713463124">
    <w:abstractNumId w:val="3"/>
  </w:num>
  <w:num w:numId="7" w16cid:durableId="1958172350">
    <w:abstractNumId w:val="12"/>
  </w:num>
  <w:num w:numId="8" w16cid:durableId="1732460522">
    <w:abstractNumId w:val="7"/>
  </w:num>
  <w:num w:numId="9" w16cid:durableId="746533022">
    <w:abstractNumId w:val="8"/>
  </w:num>
  <w:num w:numId="10" w16cid:durableId="1254626129">
    <w:abstractNumId w:val="6"/>
  </w:num>
  <w:num w:numId="11" w16cid:durableId="852494915">
    <w:abstractNumId w:val="11"/>
  </w:num>
  <w:num w:numId="12" w16cid:durableId="630212591">
    <w:abstractNumId w:val="9"/>
  </w:num>
  <w:num w:numId="13" w16cid:durableId="1590962861">
    <w:abstractNumId w:val="14"/>
  </w:num>
  <w:num w:numId="14" w16cid:durableId="1480808512">
    <w:abstractNumId w:val="4"/>
  </w:num>
  <w:num w:numId="15" w16cid:durableId="883905912">
    <w:abstractNumId w:val="1"/>
  </w:num>
  <w:num w:numId="16" w16cid:durableId="259804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F4"/>
    <w:rsid w:val="00001114"/>
    <w:rsid w:val="0001750E"/>
    <w:rsid w:val="00035903"/>
    <w:rsid w:val="00041C66"/>
    <w:rsid w:val="00041F03"/>
    <w:rsid w:val="00042808"/>
    <w:rsid w:val="000609ED"/>
    <w:rsid w:val="00070634"/>
    <w:rsid w:val="000714B8"/>
    <w:rsid w:val="000725CC"/>
    <w:rsid w:val="000754D6"/>
    <w:rsid w:val="00077DDD"/>
    <w:rsid w:val="00081B67"/>
    <w:rsid w:val="000835F9"/>
    <w:rsid w:val="000A0BE2"/>
    <w:rsid w:val="000A2960"/>
    <w:rsid w:val="000A6551"/>
    <w:rsid w:val="000B222F"/>
    <w:rsid w:val="000C62B8"/>
    <w:rsid w:val="000D7ADF"/>
    <w:rsid w:val="000E4437"/>
    <w:rsid w:val="000F7298"/>
    <w:rsid w:val="000F75FF"/>
    <w:rsid w:val="00114149"/>
    <w:rsid w:val="00127AE4"/>
    <w:rsid w:val="00136A4C"/>
    <w:rsid w:val="00143C92"/>
    <w:rsid w:val="00145120"/>
    <w:rsid w:val="00161BFC"/>
    <w:rsid w:val="0017027B"/>
    <w:rsid w:val="001709F8"/>
    <w:rsid w:val="00193ECD"/>
    <w:rsid w:val="001A589C"/>
    <w:rsid w:val="001A66F4"/>
    <w:rsid w:val="001A7B0F"/>
    <w:rsid w:val="001B17E4"/>
    <w:rsid w:val="001B1A03"/>
    <w:rsid w:val="001C390C"/>
    <w:rsid w:val="001C3D54"/>
    <w:rsid w:val="001C6281"/>
    <w:rsid w:val="001D0ED4"/>
    <w:rsid w:val="001E0A7C"/>
    <w:rsid w:val="001E1037"/>
    <w:rsid w:val="001E5C23"/>
    <w:rsid w:val="001E6624"/>
    <w:rsid w:val="001F3106"/>
    <w:rsid w:val="001F3290"/>
    <w:rsid w:val="001F4FFB"/>
    <w:rsid w:val="001F5EAD"/>
    <w:rsid w:val="00200198"/>
    <w:rsid w:val="0020715B"/>
    <w:rsid w:val="00212421"/>
    <w:rsid w:val="00212449"/>
    <w:rsid w:val="002132C7"/>
    <w:rsid w:val="002258B2"/>
    <w:rsid w:val="002261F1"/>
    <w:rsid w:val="00235696"/>
    <w:rsid w:val="00237E69"/>
    <w:rsid w:val="00241BEA"/>
    <w:rsid w:val="00242E3E"/>
    <w:rsid w:val="00242F4F"/>
    <w:rsid w:val="00244C8C"/>
    <w:rsid w:val="00253DFC"/>
    <w:rsid w:val="00256AB3"/>
    <w:rsid w:val="00256E10"/>
    <w:rsid w:val="00256E1D"/>
    <w:rsid w:val="00261303"/>
    <w:rsid w:val="00263AC5"/>
    <w:rsid w:val="0026580E"/>
    <w:rsid w:val="00266613"/>
    <w:rsid w:val="00267FEA"/>
    <w:rsid w:val="00271EF7"/>
    <w:rsid w:val="00272E34"/>
    <w:rsid w:val="00277CBD"/>
    <w:rsid w:val="002802FC"/>
    <w:rsid w:val="002809CE"/>
    <w:rsid w:val="00287A7E"/>
    <w:rsid w:val="00293D47"/>
    <w:rsid w:val="002A0875"/>
    <w:rsid w:val="002A3540"/>
    <w:rsid w:val="002A5AF8"/>
    <w:rsid w:val="002A6802"/>
    <w:rsid w:val="002B0D0B"/>
    <w:rsid w:val="002B7947"/>
    <w:rsid w:val="002C4B29"/>
    <w:rsid w:val="002C5B72"/>
    <w:rsid w:val="002C612B"/>
    <w:rsid w:val="002F1B43"/>
    <w:rsid w:val="002F41DA"/>
    <w:rsid w:val="002F79BD"/>
    <w:rsid w:val="00300003"/>
    <w:rsid w:val="003061EB"/>
    <w:rsid w:val="00312555"/>
    <w:rsid w:val="0033013F"/>
    <w:rsid w:val="00335FEB"/>
    <w:rsid w:val="00341339"/>
    <w:rsid w:val="0034208E"/>
    <w:rsid w:val="003424D3"/>
    <w:rsid w:val="00351951"/>
    <w:rsid w:val="00355607"/>
    <w:rsid w:val="003606A7"/>
    <w:rsid w:val="00391EF9"/>
    <w:rsid w:val="0039254E"/>
    <w:rsid w:val="00395152"/>
    <w:rsid w:val="003A16A6"/>
    <w:rsid w:val="003A2BA5"/>
    <w:rsid w:val="003A4D54"/>
    <w:rsid w:val="003B0923"/>
    <w:rsid w:val="003B17D2"/>
    <w:rsid w:val="003B7AF7"/>
    <w:rsid w:val="003C13DC"/>
    <w:rsid w:val="003C632C"/>
    <w:rsid w:val="003C6EA1"/>
    <w:rsid w:val="003D2AFD"/>
    <w:rsid w:val="003D5373"/>
    <w:rsid w:val="003D56DD"/>
    <w:rsid w:val="003D6C21"/>
    <w:rsid w:val="003E12BF"/>
    <w:rsid w:val="003F2ACD"/>
    <w:rsid w:val="003F59DD"/>
    <w:rsid w:val="00404A42"/>
    <w:rsid w:val="00411F3A"/>
    <w:rsid w:val="00445B8A"/>
    <w:rsid w:val="00446F47"/>
    <w:rsid w:val="00450B61"/>
    <w:rsid w:val="00451B8B"/>
    <w:rsid w:val="00452BD8"/>
    <w:rsid w:val="0045440B"/>
    <w:rsid w:val="004550AA"/>
    <w:rsid w:val="00464C8D"/>
    <w:rsid w:val="00471606"/>
    <w:rsid w:val="00471F8E"/>
    <w:rsid w:val="0047540F"/>
    <w:rsid w:val="004760B0"/>
    <w:rsid w:val="00484566"/>
    <w:rsid w:val="00484B78"/>
    <w:rsid w:val="00491A8E"/>
    <w:rsid w:val="004A25C5"/>
    <w:rsid w:val="004A398E"/>
    <w:rsid w:val="004A6905"/>
    <w:rsid w:val="004B35A0"/>
    <w:rsid w:val="004B5EA7"/>
    <w:rsid w:val="004C084C"/>
    <w:rsid w:val="004C5381"/>
    <w:rsid w:val="004D7F6D"/>
    <w:rsid w:val="004E165E"/>
    <w:rsid w:val="004E7FD3"/>
    <w:rsid w:val="004F6671"/>
    <w:rsid w:val="005019BA"/>
    <w:rsid w:val="00505984"/>
    <w:rsid w:val="005204F5"/>
    <w:rsid w:val="00542088"/>
    <w:rsid w:val="00560DCF"/>
    <w:rsid w:val="00562C07"/>
    <w:rsid w:val="00573E46"/>
    <w:rsid w:val="00584DFE"/>
    <w:rsid w:val="00585774"/>
    <w:rsid w:val="00592F97"/>
    <w:rsid w:val="005932EE"/>
    <w:rsid w:val="005A2E85"/>
    <w:rsid w:val="005C66BA"/>
    <w:rsid w:val="005E0A5B"/>
    <w:rsid w:val="005E1392"/>
    <w:rsid w:val="005F054A"/>
    <w:rsid w:val="005F1C26"/>
    <w:rsid w:val="00612120"/>
    <w:rsid w:val="006138D4"/>
    <w:rsid w:val="0061689A"/>
    <w:rsid w:val="006177BA"/>
    <w:rsid w:val="00623FDB"/>
    <w:rsid w:val="00626557"/>
    <w:rsid w:val="00632F30"/>
    <w:rsid w:val="00641BE5"/>
    <w:rsid w:val="006476A8"/>
    <w:rsid w:val="006523B5"/>
    <w:rsid w:val="006640CE"/>
    <w:rsid w:val="00671065"/>
    <w:rsid w:val="006803D8"/>
    <w:rsid w:val="0068568E"/>
    <w:rsid w:val="0069211B"/>
    <w:rsid w:val="00692695"/>
    <w:rsid w:val="00694AF7"/>
    <w:rsid w:val="0069595A"/>
    <w:rsid w:val="00696C34"/>
    <w:rsid w:val="006A6B0C"/>
    <w:rsid w:val="006C3EFE"/>
    <w:rsid w:val="006C43EC"/>
    <w:rsid w:val="006C75ED"/>
    <w:rsid w:val="006D7149"/>
    <w:rsid w:val="006E2750"/>
    <w:rsid w:val="006F2408"/>
    <w:rsid w:val="006F3F83"/>
    <w:rsid w:val="006F430E"/>
    <w:rsid w:val="007008E8"/>
    <w:rsid w:val="00705AEB"/>
    <w:rsid w:val="00713490"/>
    <w:rsid w:val="00717612"/>
    <w:rsid w:val="007201FA"/>
    <w:rsid w:val="00724B06"/>
    <w:rsid w:val="00731D4C"/>
    <w:rsid w:val="00741628"/>
    <w:rsid w:val="00745E68"/>
    <w:rsid w:val="00755FD7"/>
    <w:rsid w:val="007575E1"/>
    <w:rsid w:val="00764049"/>
    <w:rsid w:val="00764C1C"/>
    <w:rsid w:val="0076750A"/>
    <w:rsid w:val="00767B20"/>
    <w:rsid w:val="00773467"/>
    <w:rsid w:val="00777129"/>
    <w:rsid w:val="00781021"/>
    <w:rsid w:val="007834EB"/>
    <w:rsid w:val="0078425B"/>
    <w:rsid w:val="00787A75"/>
    <w:rsid w:val="007901AC"/>
    <w:rsid w:val="00793FF0"/>
    <w:rsid w:val="007977E8"/>
    <w:rsid w:val="007A1204"/>
    <w:rsid w:val="007A15C9"/>
    <w:rsid w:val="007A3047"/>
    <w:rsid w:val="007A3081"/>
    <w:rsid w:val="007B4F06"/>
    <w:rsid w:val="007B5500"/>
    <w:rsid w:val="007C05E7"/>
    <w:rsid w:val="007C2868"/>
    <w:rsid w:val="007D65C2"/>
    <w:rsid w:val="007E1C62"/>
    <w:rsid w:val="007E4099"/>
    <w:rsid w:val="007F3AD2"/>
    <w:rsid w:val="00803065"/>
    <w:rsid w:val="00807FAD"/>
    <w:rsid w:val="00810EC0"/>
    <w:rsid w:val="008115C8"/>
    <w:rsid w:val="0081417E"/>
    <w:rsid w:val="008147CA"/>
    <w:rsid w:val="00822C27"/>
    <w:rsid w:val="0082456E"/>
    <w:rsid w:val="00824799"/>
    <w:rsid w:val="00833AE5"/>
    <w:rsid w:val="008340D0"/>
    <w:rsid w:val="00835848"/>
    <w:rsid w:val="00854EF2"/>
    <w:rsid w:val="008563D0"/>
    <w:rsid w:val="00857FF2"/>
    <w:rsid w:val="008627A9"/>
    <w:rsid w:val="008636EE"/>
    <w:rsid w:val="008757AE"/>
    <w:rsid w:val="00885293"/>
    <w:rsid w:val="00885CBD"/>
    <w:rsid w:val="008867DE"/>
    <w:rsid w:val="008A37AF"/>
    <w:rsid w:val="008C514C"/>
    <w:rsid w:val="008C712B"/>
    <w:rsid w:val="008D6B51"/>
    <w:rsid w:val="008D6C39"/>
    <w:rsid w:val="008E594E"/>
    <w:rsid w:val="008F1190"/>
    <w:rsid w:val="00902B75"/>
    <w:rsid w:val="009224E2"/>
    <w:rsid w:val="00926CBF"/>
    <w:rsid w:val="00930B14"/>
    <w:rsid w:val="00930BB3"/>
    <w:rsid w:val="00935AE6"/>
    <w:rsid w:val="009379F9"/>
    <w:rsid w:val="00941FB6"/>
    <w:rsid w:val="00943A21"/>
    <w:rsid w:val="0094634C"/>
    <w:rsid w:val="0095469D"/>
    <w:rsid w:val="0095609F"/>
    <w:rsid w:val="009818C5"/>
    <w:rsid w:val="009820E7"/>
    <w:rsid w:val="0098719E"/>
    <w:rsid w:val="00990D67"/>
    <w:rsid w:val="009A41CC"/>
    <w:rsid w:val="009C334B"/>
    <w:rsid w:val="009D0DB7"/>
    <w:rsid w:val="009D6BD0"/>
    <w:rsid w:val="009F0826"/>
    <w:rsid w:val="009F4437"/>
    <w:rsid w:val="009F6A53"/>
    <w:rsid w:val="00A02AE0"/>
    <w:rsid w:val="00A0322A"/>
    <w:rsid w:val="00A05131"/>
    <w:rsid w:val="00A13EB1"/>
    <w:rsid w:val="00A21F28"/>
    <w:rsid w:val="00A22417"/>
    <w:rsid w:val="00A23BF3"/>
    <w:rsid w:val="00A24BA5"/>
    <w:rsid w:val="00A310AB"/>
    <w:rsid w:val="00A3401B"/>
    <w:rsid w:val="00A362B8"/>
    <w:rsid w:val="00A4355D"/>
    <w:rsid w:val="00A44DB8"/>
    <w:rsid w:val="00A47C67"/>
    <w:rsid w:val="00A5249C"/>
    <w:rsid w:val="00A53BE6"/>
    <w:rsid w:val="00A60D56"/>
    <w:rsid w:val="00A62FB0"/>
    <w:rsid w:val="00A80164"/>
    <w:rsid w:val="00A819F2"/>
    <w:rsid w:val="00A82FC4"/>
    <w:rsid w:val="00A876BD"/>
    <w:rsid w:val="00A938F4"/>
    <w:rsid w:val="00AA3DCC"/>
    <w:rsid w:val="00AA63F4"/>
    <w:rsid w:val="00AB78A2"/>
    <w:rsid w:val="00AC0DF6"/>
    <w:rsid w:val="00AC58FA"/>
    <w:rsid w:val="00AD6B10"/>
    <w:rsid w:val="00AE41E4"/>
    <w:rsid w:val="00AF0DA8"/>
    <w:rsid w:val="00AF25CC"/>
    <w:rsid w:val="00AF300D"/>
    <w:rsid w:val="00AF4BC1"/>
    <w:rsid w:val="00B00BB4"/>
    <w:rsid w:val="00B04C4C"/>
    <w:rsid w:val="00B11059"/>
    <w:rsid w:val="00B113FB"/>
    <w:rsid w:val="00B12733"/>
    <w:rsid w:val="00B30C31"/>
    <w:rsid w:val="00B463BC"/>
    <w:rsid w:val="00B5356A"/>
    <w:rsid w:val="00B542D7"/>
    <w:rsid w:val="00B54B87"/>
    <w:rsid w:val="00B56C2A"/>
    <w:rsid w:val="00B61AAC"/>
    <w:rsid w:val="00B62F47"/>
    <w:rsid w:val="00B65096"/>
    <w:rsid w:val="00B66902"/>
    <w:rsid w:val="00B730C2"/>
    <w:rsid w:val="00B80ADF"/>
    <w:rsid w:val="00B81D75"/>
    <w:rsid w:val="00B83F5B"/>
    <w:rsid w:val="00B90F96"/>
    <w:rsid w:val="00BA1F65"/>
    <w:rsid w:val="00BA7307"/>
    <w:rsid w:val="00BB0D4E"/>
    <w:rsid w:val="00BB3664"/>
    <w:rsid w:val="00BB6C66"/>
    <w:rsid w:val="00BC0310"/>
    <w:rsid w:val="00BC1375"/>
    <w:rsid w:val="00BC6BD7"/>
    <w:rsid w:val="00BD0744"/>
    <w:rsid w:val="00BD15C3"/>
    <w:rsid w:val="00BE6A89"/>
    <w:rsid w:val="00C0020F"/>
    <w:rsid w:val="00C0159D"/>
    <w:rsid w:val="00C04A37"/>
    <w:rsid w:val="00C144DA"/>
    <w:rsid w:val="00C15795"/>
    <w:rsid w:val="00C2074D"/>
    <w:rsid w:val="00C23198"/>
    <w:rsid w:val="00C256AE"/>
    <w:rsid w:val="00C26638"/>
    <w:rsid w:val="00C30C49"/>
    <w:rsid w:val="00C521E9"/>
    <w:rsid w:val="00C6096F"/>
    <w:rsid w:val="00C66516"/>
    <w:rsid w:val="00C845AC"/>
    <w:rsid w:val="00C91ACC"/>
    <w:rsid w:val="00C97338"/>
    <w:rsid w:val="00C97A70"/>
    <w:rsid w:val="00CA5BFF"/>
    <w:rsid w:val="00CA76DF"/>
    <w:rsid w:val="00CB7B7C"/>
    <w:rsid w:val="00CC7DF9"/>
    <w:rsid w:val="00CD6094"/>
    <w:rsid w:val="00CD684A"/>
    <w:rsid w:val="00CE56E1"/>
    <w:rsid w:val="00CF32EE"/>
    <w:rsid w:val="00CF4946"/>
    <w:rsid w:val="00CF522E"/>
    <w:rsid w:val="00D15613"/>
    <w:rsid w:val="00D16237"/>
    <w:rsid w:val="00D2028B"/>
    <w:rsid w:val="00D23255"/>
    <w:rsid w:val="00D240FF"/>
    <w:rsid w:val="00D35F8B"/>
    <w:rsid w:val="00D3727C"/>
    <w:rsid w:val="00D374DC"/>
    <w:rsid w:val="00D42265"/>
    <w:rsid w:val="00D46C14"/>
    <w:rsid w:val="00D644E8"/>
    <w:rsid w:val="00D677E3"/>
    <w:rsid w:val="00D7343B"/>
    <w:rsid w:val="00D74E51"/>
    <w:rsid w:val="00D74F75"/>
    <w:rsid w:val="00D82E64"/>
    <w:rsid w:val="00D92212"/>
    <w:rsid w:val="00DA6F7E"/>
    <w:rsid w:val="00DC0698"/>
    <w:rsid w:val="00DC68B1"/>
    <w:rsid w:val="00DF01AB"/>
    <w:rsid w:val="00DF7151"/>
    <w:rsid w:val="00DF7DFC"/>
    <w:rsid w:val="00E045DB"/>
    <w:rsid w:val="00E05FC0"/>
    <w:rsid w:val="00E13684"/>
    <w:rsid w:val="00E139B2"/>
    <w:rsid w:val="00E141DD"/>
    <w:rsid w:val="00E24D54"/>
    <w:rsid w:val="00E3091B"/>
    <w:rsid w:val="00E30FE4"/>
    <w:rsid w:val="00E31039"/>
    <w:rsid w:val="00E346CD"/>
    <w:rsid w:val="00E36ABF"/>
    <w:rsid w:val="00E41EF5"/>
    <w:rsid w:val="00E42044"/>
    <w:rsid w:val="00E57463"/>
    <w:rsid w:val="00E676B1"/>
    <w:rsid w:val="00E70DD2"/>
    <w:rsid w:val="00E8068B"/>
    <w:rsid w:val="00E82D01"/>
    <w:rsid w:val="00E8334E"/>
    <w:rsid w:val="00E85141"/>
    <w:rsid w:val="00E85CC2"/>
    <w:rsid w:val="00E9348D"/>
    <w:rsid w:val="00EA18A2"/>
    <w:rsid w:val="00EA32C9"/>
    <w:rsid w:val="00EB5253"/>
    <w:rsid w:val="00EB69AE"/>
    <w:rsid w:val="00EC4A8C"/>
    <w:rsid w:val="00EC5998"/>
    <w:rsid w:val="00ED15F7"/>
    <w:rsid w:val="00EE53F1"/>
    <w:rsid w:val="00EE58A0"/>
    <w:rsid w:val="00EE78A2"/>
    <w:rsid w:val="00EF18AC"/>
    <w:rsid w:val="00EF5117"/>
    <w:rsid w:val="00EF5D4E"/>
    <w:rsid w:val="00F000A0"/>
    <w:rsid w:val="00F01D69"/>
    <w:rsid w:val="00F05B7B"/>
    <w:rsid w:val="00F06788"/>
    <w:rsid w:val="00F10E06"/>
    <w:rsid w:val="00F22C7D"/>
    <w:rsid w:val="00F23AEB"/>
    <w:rsid w:val="00F248DC"/>
    <w:rsid w:val="00F251BE"/>
    <w:rsid w:val="00F26F61"/>
    <w:rsid w:val="00F275A9"/>
    <w:rsid w:val="00F3067A"/>
    <w:rsid w:val="00F42D65"/>
    <w:rsid w:val="00F52173"/>
    <w:rsid w:val="00F65071"/>
    <w:rsid w:val="00F76357"/>
    <w:rsid w:val="00F77331"/>
    <w:rsid w:val="00F816AA"/>
    <w:rsid w:val="00F83B38"/>
    <w:rsid w:val="00F853FC"/>
    <w:rsid w:val="00FA050F"/>
    <w:rsid w:val="00FB00C3"/>
    <w:rsid w:val="00FC64A8"/>
    <w:rsid w:val="00FD18FC"/>
    <w:rsid w:val="00FD6A46"/>
    <w:rsid w:val="00FF1368"/>
    <w:rsid w:val="00FF18D6"/>
    <w:rsid w:val="00FF1C86"/>
    <w:rsid w:val="00FF1F1C"/>
    <w:rsid w:val="00FF41E4"/>
    <w:rsid w:val="19155C22"/>
    <w:rsid w:val="482AC462"/>
    <w:rsid w:val="5682DEA1"/>
    <w:rsid w:val="6170AC36"/>
    <w:rsid w:val="6A51B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869E4"/>
  <w15:chartTrackingRefBased/>
  <w15:docId w15:val="{2599558C-0E3A-4E92-87EC-65C31420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9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D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16237"/>
    <w:pPr>
      <w:keepNext/>
      <w:numPr>
        <w:ilvl w:val="2"/>
        <w:numId w:val="1"/>
      </w:numPr>
      <w:pBdr>
        <w:bottom w:val="single" w:sz="4" w:space="1" w:color="auto"/>
      </w:pBdr>
      <w:spacing w:before="360" w:after="60" w:line="240" w:lineRule="auto"/>
      <w:outlineLvl w:val="2"/>
    </w:pPr>
    <w:rPr>
      <w:rFonts w:ascii="Century Gothic" w:eastAsia="Times New Roman" w:hAnsi="Century Gothic"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16237"/>
    <w:rPr>
      <w:rFonts w:ascii="Century Gothic" w:eastAsia="Times New Roman" w:hAnsi="Century Gothic" w:cs="Arial"/>
      <w:b/>
      <w:bCs/>
      <w:sz w:val="24"/>
      <w:szCs w:val="26"/>
    </w:rPr>
  </w:style>
  <w:style w:type="paragraph" w:styleId="ListParagraph">
    <w:name w:val="List Paragraph"/>
    <w:aliases w:val="Use Case List Paragraph,b1,Bullet for no #'s,B1,List Paragraph1,Scope of Services,Bull2,Numbering,Figure_name,Bullet- First level,numbered,FooterText,Alpha List Paragraph,Appendix Bullets,Style 2,Bullet List,Number List 2,Bullet Level 1"/>
    <w:basedOn w:val="Normal"/>
    <w:link w:val="ListParagraphChar"/>
    <w:uiPriority w:val="34"/>
    <w:qFormat/>
    <w:rsid w:val="00AA63F4"/>
    <w:pPr>
      <w:ind w:left="720"/>
      <w:contextualSpacing/>
    </w:pPr>
  </w:style>
  <w:style w:type="table" w:styleId="TableGrid">
    <w:name w:val="Table Grid"/>
    <w:basedOn w:val="TableNormal"/>
    <w:uiPriority w:val="39"/>
    <w:rsid w:val="0047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B54B87"/>
    <w:pPr>
      <w:spacing w:before="60" w:after="60" w:line="240" w:lineRule="auto"/>
      <w:jc w:val="center"/>
    </w:pPr>
    <w:rPr>
      <w:rFonts w:ascii="Century Gothic" w:eastAsia="Times New Roman" w:hAnsi="Century Gothic" w:cs="Times New Roman"/>
      <w:b/>
      <w:smallCaps/>
      <w:color w:val="FFFFFF"/>
      <w:szCs w:val="24"/>
    </w:rPr>
  </w:style>
  <w:style w:type="paragraph" w:customStyle="1" w:styleId="TableText">
    <w:name w:val="Table Text"/>
    <w:basedOn w:val="Normal"/>
    <w:link w:val="TableTextChar"/>
    <w:uiPriority w:val="99"/>
    <w:qFormat/>
    <w:rsid w:val="00B54B87"/>
    <w:pPr>
      <w:spacing w:before="60" w:after="60" w:line="240" w:lineRule="auto"/>
    </w:pPr>
    <w:rPr>
      <w:rFonts w:ascii="Century Gothic" w:eastAsia="Times New Roman" w:hAnsi="Century Gothic" w:cs="Times New Roman"/>
      <w:sz w:val="20"/>
      <w:szCs w:val="24"/>
    </w:rPr>
  </w:style>
  <w:style w:type="character" w:customStyle="1" w:styleId="TableTextChar">
    <w:name w:val="Table Text Char"/>
    <w:link w:val="TableText"/>
    <w:uiPriority w:val="99"/>
    <w:locked/>
    <w:rsid w:val="00B54B87"/>
    <w:rPr>
      <w:rFonts w:ascii="Century Gothic" w:eastAsia="Times New Roman" w:hAnsi="Century Gothic" w:cs="Times New Roman"/>
      <w:sz w:val="20"/>
      <w:szCs w:val="24"/>
    </w:rPr>
  </w:style>
  <w:style w:type="paragraph" w:customStyle="1" w:styleId="TableBullet1">
    <w:name w:val="Table Bullet 1"/>
    <w:basedOn w:val="TableText"/>
    <w:qFormat/>
    <w:rsid w:val="00B54B87"/>
    <w:pPr>
      <w:numPr>
        <w:numId w:val="7"/>
      </w:numPr>
      <w:tabs>
        <w:tab w:val="num" w:pos="360"/>
      </w:tabs>
      <w:ind w:left="0" w:firstLine="0"/>
    </w:pPr>
  </w:style>
  <w:style w:type="character" w:customStyle="1" w:styleId="TableHeadingChar">
    <w:name w:val="Table Heading Char"/>
    <w:basedOn w:val="DefaultParagraphFont"/>
    <w:link w:val="TableHeading"/>
    <w:rsid w:val="00B54B87"/>
    <w:rPr>
      <w:rFonts w:ascii="Century Gothic" w:eastAsia="Times New Roman" w:hAnsi="Century Gothic" w:cs="Times New Roman"/>
      <w:b/>
      <w:smallCaps/>
      <w:color w:val="FFFFFF"/>
      <w:szCs w:val="24"/>
    </w:rPr>
  </w:style>
  <w:style w:type="character" w:customStyle="1" w:styleId="Heading1Char">
    <w:name w:val="Heading 1 Char"/>
    <w:basedOn w:val="DefaultParagraphFont"/>
    <w:link w:val="Heading1"/>
    <w:uiPriority w:val="9"/>
    <w:rsid w:val="00E139B2"/>
    <w:rPr>
      <w:rFonts w:asciiTheme="majorHAnsi" w:eastAsiaTheme="majorEastAsia" w:hAnsiTheme="majorHAnsi" w:cstheme="majorBidi"/>
      <w:color w:val="2F5496" w:themeColor="accent1" w:themeShade="BF"/>
      <w:sz w:val="32"/>
      <w:szCs w:val="32"/>
    </w:rPr>
  </w:style>
  <w:style w:type="character" w:styleId="Hyperlink">
    <w:name w:val="Hyperlink"/>
    <w:aliases w:val="RFP Hyperlink"/>
    <w:basedOn w:val="DefaultParagraphFont"/>
    <w:uiPriority w:val="99"/>
    <w:qFormat/>
    <w:rsid w:val="00AA3DCC"/>
    <w:rPr>
      <w:color w:val="0000FF"/>
      <w:u w:val="single"/>
    </w:rPr>
  </w:style>
  <w:style w:type="paragraph" w:customStyle="1" w:styleId="RFPBody">
    <w:name w:val="RFP Body"/>
    <w:basedOn w:val="Normal"/>
    <w:link w:val="RFPBodyChar"/>
    <w:qFormat/>
    <w:rsid w:val="00AA3DCC"/>
    <w:pPr>
      <w:spacing w:after="240" w:line="240" w:lineRule="auto"/>
      <w:jc w:val="both"/>
    </w:pPr>
    <w:rPr>
      <w:rFonts w:ascii="Century Gothic" w:eastAsia="Times New Roman" w:hAnsi="Century Gothic" w:cs="Times New Roman"/>
      <w:szCs w:val="24"/>
    </w:rPr>
  </w:style>
  <w:style w:type="character" w:customStyle="1" w:styleId="RFPBodyChar">
    <w:name w:val="RFP Body Char"/>
    <w:basedOn w:val="DefaultParagraphFont"/>
    <w:link w:val="RFPBody"/>
    <w:rsid w:val="00AA3DCC"/>
    <w:rPr>
      <w:rFonts w:ascii="Century Gothic" w:eastAsia="Times New Roman" w:hAnsi="Century Gothic" w:cs="Times New Roman"/>
      <w:szCs w:val="24"/>
    </w:rPr>
  </w:style>
  <w:style w:type="character" w:customStyle="1" w:styleId="Heading2Char">
    <w:name w:val="Heading 2 Char"/>
    <w:basedOn w:val="DefaultParagraphFont"/>
    <w:link w:val="Heading2"/>
    <w:uiPriority w:val="9"/>
    <w:rsid w:val="00CC7DF9"/>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Use Case List Paragraph Char,b1 Char,Bullet for no #'s Char,B1 Char,List Paragraph1 Char,Scope of Services Char,Bull2 Char,Numbering Char,Figure_name Char,Bullet- First level Char,numbered Char,FooterText Char,Appendix Bullets Char"/>
    <w:basedOn w:val="DefaultParagraphFont"/>
    <w:link w:val="ListParagraph"/>
    <w:uiPriority w:val="34"/>
    <w:qFormat/>
    <w:locked/>
    <w:rsid w:val="00C0020F"/>
  </w:style>
  <w:style w:type="character" w:styleId="CommentReference">
    <w:name w:val="annotation reference"/>
    <w:basedOn w:val="DefaultParagraphFont"/>
    <w:uiPriority w:val="99"/>
    <w:semiHidden/>
    <w:unhideWhenUsed/>
    <w:rsid w:val="00885CBD"/>
    <w:rPr>
      <w:sz w:val="16"/>
      <w:szCs w:val="16"/>
    </w:rPr>
  </w:style>
  <w:style w:type="paragraph" w:styleId="CommentText">
    <w:name w:val="annotation text"/>
    <w:basedOn w:val="Normal"/>
    <w:link w:val="CommentTextChar"/>
    <w:uiPriority w:val="99"/>
    <w:unhideWhenUsed/>
    <w:rsid w:val="00885CBD"/>
    <w:pPr>
      <w:spacing w:line="240" w:lineRule="auto"/>
    </w:pPr>
    <w:rPr>
      <w:sz w:val="20"/>
      <w:szCs w:val="20"/>
    </w:rPr>
  </w:style>
  <w:style w:type="character" w:customStyle="1" w:styleId="CommentTextChar">
    <w:name w:val="Comment Text Char"/>
    <w:basedOn w:val="DefaultParagraphFont"/>
    <w:link w:val="CommentText"/>
    <w:uiPriority w:val="99"/>
    <w:rsid w:val="00885CBD"/>
    <w:rPr>
      <w:sz w:val="20"/>
      <w:szCs w:val="20"/>
    </w:rPr>
  </w:style>
  <w:style w:type="paragraph" w:styleId="CommentSubject">
    <w:name w:val="annotation subject"/>
    <w:basedOn w:val="CommentText"/>
    <w:next w:val="CommentText"/>
    <w:link w:val="CommentSubjectChar"/>
    <w:uiPriority w:val="99"/>
    <w:semiHidden/>
    <w:unhideWhenUsed/>
    <w:rsid w:val="00885CBD"/>
    <w:rPr>
      <w:b/>
      <w:bCs/>
    </w:rPr>
  </w:style>
  <w:style w:type="character" w:customStyle="1" w:styleId="CommentSubjectChar">
    <w:name w:val="Comment Subject Char"/>
    <w:basedOn w:val="CommentTextChar"/>
    <w:link w:val="CommentSubject"/>
    <w:uiPriority w:val="99"/>
    <w:semiHidden/>
    <w:rsid w:val="00885CBD"/>
    <w:rPr>
      <w:b/>
      <w:bCs/>
      <w:sz w:val="20"/>
      <w:szCs w:val="20"/>
    </w:rPr>
  </w:style>
  <w:style w:type="paragraph" w:styleId="Revision">
    <w:name w:val="Revision"/>
    <w:hidden/>
    <w:uiPriority w:val="99"/>
    <w:semiHidden/>
    <w:rsid w:val="009C334B"/>
    <w:pPr>
      <w:spacing w:after="0" w:line="240" w:lineRule="auto"/>
    </w:pPr>
  </w:style>
  <w:style w:type="paragraph" w:styleId="BodyText">
    <w:name w:val="Body Text"/>
    <w:aliases w:val="bt,Body Text Char3,bt Char1,Body Text Char2 Char1,heading3 Char Char1,heading31 Char Char1,heading32 Char Char1,bt1 Char Char1,heading33 Char Char1,bt2 Char Char1,heading34 Char Char1,bt3 Char Char1,heading35 Char Char1,bt4 Char Char1,bt1 Char"/>
    <w:basedOn w:val="Normal"/>
    <w:link w:val="BodyTextChar"/>
    <w:qFormat/>
    <w:rsid w:val="00584DFE"/>
    <w:pPr>
      <w:spacing w:before="120" w:after="120" w:line="240" w:lineRule="auto"/>
    </w:pPr>
    <w:rPr>
      <w:rFonts w:ascii="Century Gothic" w:eastAsia="Times New Roman" w:hAnsi="Century Gothic" w:cs="Times New Roman"/>
      <w:szCs w:val="24"/>
    </w:rPr>
  </w:style>
  <w:style w:type="character" w:customStyle="1" w:styleId="BodyTextChar">
    <w:name w:val="Body Text Char"/>
    <w:aliases w:val="bt Char,Body Text Char3 Char,bt Char1 Char,Body Text Char2 Char1 Char,heading3 Char Char1 Char,heading31 Char Char1 Char,heading32 Char Char1 Char,bt1 Char Char1 Char,heading33 Char Char1 Char,bt2 Char Char1 Char,heading34 Char Char1 Char"/>
    <w:basedOn w:val="DefaultParagraphFont"/>
    <w:link w:val="BodyText"/>
    <w:rsid w:val="00584DFE"/>
    <w:rPr>
      <w:rFonts w:ascii="Century Gothic" w:eastAsia="Times New Roman" w:hAnsi="Century Gothic" w:cs="Times New Roman"/>
      <w:szCs w:val="24"/>
    </w:rPr>
  </w:style>
  <w:style w:type="paragraph" w:styleId="Header">
    <w:name w:val="header"/>
    <w:basedOn w:val="Normal"/>
    <w:link w:val="HeaderChar"/>
    <w:uiPriority w:val="99"/>
    <w:unhideWhenUsed/>
    <w:rsid w:val="00902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B75"/>
  </w:style>
  <w:style w:type="paragraph" w:styleId="Footer">
    <w:name w:val="footer"/>
    <w:basedOn w:val="Normal"/>
    <w:link w:val="FooterChar"/>
    <w:uiPriority w:val="99"/>
    <w:unhideWhenUsed/>
    <w:rsid w:val="00902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B75"/>
  </w:style>
  <w:style w:type="character" w:styleId="FollowedHyperlink">
    <w:name w:val="FollowedHyperlink"/>
    <w:basedOn w:val="DefaultParagraphFont"/>
    <w:uiPriority w:val="99"/>
    <w:semiHidden/>
    <w:unhideWhenUsed/>
    <w:rsid w:val="00671065"/>
    <w:rPr>
      <w:color w:val="954F72" w:themeColor="followedHyperlink"/>
      <w:u w:val="single"/>
    </w:rPr>
  </w:style>
  <w:style w:type="character" w:styleId="UnresolvedMention">
    <w:name w:val="Unresolved Mention"/>
    <w:basedOn w:val="DefaultParagraphFont"/>
    <w:uiPriority w:val="99"/>
    <w:semiHidden/>
    <w:unhideWhenUsed/>
    <w:rsid w:val="009A4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0343c0-af67-4d55-b6f3-a7838e163d14">PROCURE-1039933742-2307</_dlc_DocId>
    <_dlc_DocIdUrl xmlns="500343c0-af67-4d55-b6f3-a7838e163d14">
      <Url>https://osicagov.sharepoint.com/sites/Procurement/CalSAWS/_layouts/15/DocIdRedir.aspx?ID=PROCURE-1039933742-2307</Url>
      <Description>PROCURE-1039933742-2307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bce90d6-5a2c-47e0-8337-aac7acda0e97"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DAA9B18646CA547AA0211C62BE25688" ma:contentTypeVersion="9" ma:contentTypeDescription="Create a new document." ma:contentTypeScope="" ma:versionID="f24b652502c9f6e4966529014a461c5f">
  <xsd:schema xmlns:xsd="http://www.w3.org/2001/XMLSchema" xmlns:xs="http://www.w3.org/2001/XMLSchema" xmlns:p="http://schemas.microsoft.com/office/2006/metadata/properties" xmlns:ns2="500343c0-af67-4d55-b6f3-a7838e163d14" xmlns:ns3="4ec7b936-c78e-4e69-b316-5df51d9cc692" targetNamespace="http://schemas.microsoft.com/office/2006/metadata/properties" ma:root="true" ma:fieldsID="0c56d185f2a7777f7ed61628434875e0" ns2:_="" ns3:_="">
    <xsd:import namespace="500343c0-af67-4d55-b6f3-a7838e163d14"/>
    <xsd:import namespace="4ec7b936-c78e-4e69-b316-5df51d9cc6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c7b936-c78e-4e69-b316-5df51d9cc6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5707F-1F38-4306-9853-401B8664282B}">
  <ds:schemaRefs>
    <ds:schemaRef ds:uri="http://schemas.microsoft.com/office/2006/metadata/properties"/>
    <ds:schemaRef ds:uri="http://schemas.microsoft.com/office/infopath/2007/PartnerControls"/>
    <ds:schemaRef ds:uri="500343c0-af67-4d55-b6f3-a7838e163d14"/>
  </ds:schemaRefs>
</ds:datastoreItem>
</file>

<file path=customXml/itemProps2.xml><?xml version="1.0" encoding="utf-8"?>
<ds:datastoreItem xmlns:ds="http://schemas.openxmlformats.org/officeDocument/2006/customXml" ds:itemID="{0B4DD483-30CB-4DAC-A8BB-BB42C49EA1F5}">
  <ds:schemaRefs>
    <ds:schemaRef ds:uri="http://schemas.microsoft.com/sharepoint/v3/contenttype/forms"/>
  </ds:schemaRefs>
</ds:datastoreItem>
</file>

<file path=customXml/itemProps3.xml><?xml version="1.0" encoding="utf-8"?>
<ds:datastoreItem xmlns:ds="http://schemas.openxmlformats.org/officeDocument/2006/customXml" ds:itemID="{2439D3FA-3293-4B8E-B443-1843B556475D}">
  <ds:schemaRefs>
    <ds:schemaRef ds:uri="http://schemas.microsoft.com/sharepoint/events"/>
  </ds:schemaRefs>
</ds:datastoreItem>
</file>

<file path=customXml/itemProps4.xml><?xml version="1.0" encoding="utf-8"?>
<ds:datastoreItem xmlns:ds="http://schemas.openxmlformats.org/officeDocument/2006/customXml" ds:itemID="{38B48AAF-C66A-4227-BB9B-FB8910C4E7E0}">
  <ds:schemaRefs>
    <ds:schemaRef ds:uri="Microsoft.SharePoint.Taxonomy.ContentTypeSync"/>
  </ds:schemaRefs>
</ds:datastoreItem>
</file>

<file path=customXml/itemProps5.xml><?xml version="1.0" encoding="utf-8"?>
<ds:datastoreItem xmlns:ds="http://schemas.openxmlformats.org/officeDocument/2006/customXml" ds:itemID="{0214DA3E-4E6F-4068-BC3C-19C3EE34E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343c0-af67-4d55-b6f3-a7838e163d14"/>
    <ds:schemaRef ds:uri="4ec7b936-c78e-4e69-b316-5df51d9cc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Stacey Drohan</cp:lastModifiedBy>
  <cp:revision>2</cp:revision>
  <cp:lastPrinted>2023-08-12T02:31:00Z</cp:lastPrinted>
  <dcterms:created xsi:type="dcterms:W3CDTF">2023-11-06T16:29:00Z</dcterms:created>
  <dcterms:modified xsi:type="dcterms:W3CDTF">2023-11-06T16:29:00Z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0x010100BDAA9B18646CA547AA0211C62BE25688</vt:lpwstr>
  </property>
  <property fmtid="{D5CDD505-2E9C-101B-9397-08002B2CF9AE}" pid="3" name="_dlc_DocIdItemGuid">
    <vt:lpwstr>db7a012e-feaf-4338-9b45-8cb0b7cf9c36</vt:lpwstr>
  </property>
</Properties>
</file>