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FCA8" w14:textId="6B6358DF" w:rsidR="00AA7A8A" w:rsidRPr="007D1AF3" w:rsidRDefault="00835848" w:rsidP="00615497">
      <w:pPr>
        <w:pStyle w:val="SectionHeading"/>
        <w:pageBreakBefore w:val="0"/>
        <w:tabs>
          <w:tab w:val="left" w:pos="5207"/>
        </w:tabs>
        <w:spacing w:before="0" w:after="0"/>
        <w:rPr>
          <w:rFonts w:cs="Kalinga"/>
          <w:color w:val="417A84"/>
        </w:rPr>
      </w:pPr>
      <w:r w:rsidRPr="007D1AF3">
        <w:rPr>
          <w:rFonts w:cs="Kalinga"/>
          <w:color w:val="417A84"/>
        </w:rPr>
        <w:t xml:space="preserve">CalSAWS </w:t>
      </w:r>
      <w:r w:rsidR="006A4063" w:rsidRPr="007D1AF3">
        <w:rPr>
          <w:rFonts w:cs="Kalinga"/>
          <w:color w:val="417A84"/>
        </w:rPr>
        <w:t xml:space="preserve">BenefitsCal </w:t>
      </w:r>
      <w:r w:rsidRPr="007D1AF3">
        <w:rPr>
          <w:rFonts w:cs="Kalinga"/>
          <w:color w:val="417A84"/>
        </w:rPr>
        <w:t>M&amp;O</w:t>
      </w:r>
      <w:r w:rsidR="007201FA" w:rsidRPr="007D1AF3" w:rsidDel="007201FA">
        <w:rPr>
          <w:rFonts w:cs="Kalinga"/>
          <w:color w:val="417A84"/>
        </w:rPr>
        <w:t xml:space="preserve"> </w:t>
      </w:r>
      <w:r w:rsidRPr="007D1AF3">
        <w:rPr>
          <w:rFonts w:cs="Kalinga"/>
          <w:color w:val="417A84"/>
        </w:rPr>
        <w:t>RFP</w:t>
      </w:r>
      <w:r w:rsidR="00270934" w:rsidRPr="007D1AF3">
        <w:rPr>
          <w:rFonts w:cs="Kalinga"/>
          <w:color w:val="417A84"/>
        </w:rPr>
        <w:t xml:space="preserve"> #01-2024</w:t>
      </w:r>
    </w:p>
    <w:p w14:paraId="11BDA4CF" w14:textId="0C5CD9E6" w:rsidR="00CC7DF9" w:rsidRPr="007D1AF3" w:rsidRDefault="00CC7DF9" w:rsidP="00615497">
      <w:pPr>
        <w:pStyle w:val="SectionHeading"/>
        <w:pageBreakBefore w:val="0"/>
        <w:tabs>
          <w:tab w:val="left" w:pos="5207"/>
        </w:tabs>
        <w:spacing w:before="0"/>
        <w:rPr>
          <w:rFonts w:cs="Kalinga"/>
          <w:color w:val="417A84"/>
        </w:rPr>
      </w:pPr>
      <w:r w:rsidRPr="007D1AF3">
        <w:rPr>
          <w:rFonts w:cs="Kalinga"/>
          <w:color w:val="417A84"/>
        </w:rPr>
        <w:t xml:space="preserve">Best and Final Offer </w:t>
      </w:r>
      <w:r w:rsidR="003A2BA5" w:rsidRPr="007D1AF3">
        <w:rPr>
          <w:rFonts w:cs="Kalinga"/>
          <w:color w:val="417A84"/>
        </w:rPr>
        <w:t>Instructions</w:t>
      </w:r>
    </w:p>
    <w:p w14:paraId="6EE3CBDF" w14:textId="6507042A" w:rsidR="00143C92" w:rsidRDefault="00FB0966" w:rsidP="00615497">
      <w:pPr>
        <w:rPr>
          <w:rFonts w:ascii="Century Gothic" w:hAnsi="Century Gothic"/>
        </w:rPr>
      </w:pPr>
      <w:r w:rsidRPr="00EB123B">
        <w:rPr>
          <w:rFonts w:ascii="Century Gothic" w:hAnsi="Century Gothic"/>
        </w:rPr>
        <w:t xml:space="preserve">January </w:t>
      </w:r>
      <w:r w:rsidR="00D75B24" w:rsidRPr="00EB123B">
        <w:rPr>
          <w:rFonts w:ascii="Century Gothic" w:hAnsi="Century Gothic"/>
        </w:rPr>
        <w:t>13</w:t>
      </w:r>
      <w:r w:rsidR="00143C92" w:rsidRPr="00EB123B">
        <w:rPr>
          <w:rFonts w:ascii="Century Gothic" w:hAnsi="Century Gothic"/>
        </w:rPr>
        <w:t>, 202</w:t>
      </w:r>
      <w:r w:rsidRPr="00EB123B">
        <w:rPr>
          <w:rFonts w:ascii="Century Gothic" w:hAnsi="Century Gothic"/>
        </w:rPr>
        <w:t>5</w:t>
      </w:r>
    </w:p>
    <w:p w14:paraId="38CFC1AA" w14:textId="77777777" w:rsidR="003924B0" w:rsidRPr="00EB123B" w:rsidRDefault="003924B0" w:rsidP="003924B0">
      <w:pPr>
        <w:spacing w:after="0" w:line="240" w:lineRule="auto"/>
        <w:rPr>
          <w:rFonts w:ascii="Century Gothic" w:hAnsi="Century Gothic"/>
        </w:rPr>
      </w:pPr>
    </w:p>
    <w:p w14:paraId="10027D3C" w14:textId="62A1B507" w:rsidR="00F275A9" w:rsidRPr="00EB123B" w:rsidRDefault="00212421" w:rsidP="00E57463">
      <w:pPr>
        <w:rPr>
          <w:rFonts w:ascii="Century Gothic" w:hAnsi="Century Gothic"/>
        </w:rPr>
      </w:pPr>
      <w:r w:rsidRPr="00EB123B">
        <w:rPr>
          <w:rFonts w:ascii="Century Gothic" w:hAnsi="Century Gothic"/>
        </w:rPr>
        <w:t xml:space="preserve">The CalSAWS Consortium </w:t>
      </w:r>
      <w:r w:rsidR="00391EF9" w:rsidRPr="00EB123B">
        <w:rPr>
          <w:rFonts w:ascii="Century Gothic" w:hAnsi="Century Gothic"/>
        </w:rPr>
        <w:t xml:space="preserve">hereby </w:t>
      </w:r>
      <w:r w:rsidR="00CF522E" w:rsidRPr="00EB123B">
        <w:rPr>
          <w:rFonts w:ascii="Century Gothic" w:hAnsi="Century Gothic"/>
        </w:rPr>
        <w:t>releases</w:t>
      </w:r>
      <w:r w:rsidRPr="00EB123B">
        <w:rPr>
          <w:rFonts w:ascii="Century Gothic" w:hAnsi="Century Gothic"/>
        </w:rPr>
        <w:t xml:space="preserve"> instructions for the CalSAWS </w:t>
      </w:r>
      <w:r w:rsidR="00AB29F8" w:rsidRPr="00EB123B">
        <w:rPr>
          <w:rFonts w:ascii="Century Gothic" w:hAnsi="Century Gothic"/>
        </w:rPr>
        <w:t xml:space="preserve">BenefitsCal </w:t>
      </w:r>
      <w:r w:rsidR="00E57463" w:rsidRPr="00EB123B">
        <w:rPr>
          <w:rFonts w:ascii="Century Gothic" w:hAnsi="Century Gothic"/>
        </w:rPr>
        <w:t xml:space="preserve">Maintenance and Operations </w:t>
      </w:r>
      <w:r w:rsidR="007201FA" w:rsidRPr="00EB123B">
        <w:rPr>
          <w:rFonts w:ascii="Century Gothic" w:hAnsi="Century Gothic"/>
        </w:rPr>
        <w:t xml:space="preserve">(M&amp;O) </w:t>
      </w:r>
      <w:r w:rsidR="00E57463" w:rsidRPr="00EB123B">
        <w:rPr>
          <w:rFonts w:ascii="Century Gothic" w:hAnsi="Century Gothic"/>
        </w:rPr>
        <w:t>RFP #01-202</w:t>
      </w:r>
      <w:r w:rsidR="00AB29F8" w:rsidRPr="00EB123B">
        <w:rPr>
          <w:rFonts w:ascii="Century Gothic" w:hAnsi="Century Gothic"/>
        </w:rPr>
        <w:t>4</w:t>
      </w:r>
      <w:r w:rsidR="004C5381" w:rsidRPr="00EB123B">
        <w:rPr>
          <w:rFonts w:ascii="Century Gothic" w:hAnsi="Century Gothic"/>
        </w:rPr>
        <w:t xml:space="preserve"> Best and Final Offer (BAFO).</w:t>
      </w:r>
      <w:r w:rsidR="00650331">
        <w:rPr>
          <w:rFonts w:ascii="Century Gothic" w:hAnsi="Century Gothic"/>
        </w:rPr>
        <w:t xml:space="preserve"> </w:t>
      </w:r>
      <w:r w:rsidR="00B66902" w:rsidRPr="00EB123B">
        <w:rPr>
          <w:rFonts w:ascii="Century Gothic" w:hAnsi="Century Gothic"/>
        </w:rPr>
        <w:t>The Consortium has concluded the</w:t>
      </w:r>
      <w:r w:rsidR="00F275A9" w:rsidRPr="00EB123B">
        <w:rPr>
          <w:rFonts w:ascii="Century Gothic" w:hAnsi="Century Gothic"/>
        </w:rPr>
        <w:t xml:space="preserve"> following evaluation steps:</w:t>
      </w:r>
    </w:p>
    <w:p w14:paraId="59C95602" w14:textId="37940653" w:rsidR="00F275A9" w:rsidRPr="00EB123B" w:rsidRDefault="00B66902" w:rsidP="00F275A9">
      <w:pPr>
        <w:pStyle w:val="ListParagraph"/>
        <w:numPr>
          <w:ilvl w:val="0"/>
          <w:numId w:val="11"/>
        </w:numPr>
        <w:rPr>
          <w:rFonts w:ascii="Century Gothic" w:hAnsi="Century Gothic"/>
        </w:rPr>
      </w:pPr>
      <w:r w:rsidRPr="00EB123B">
        <w:rPr>
          <w:rFonts w:ascii="Century Gothic" w:hAnsi="Century Gothic"/>
        </w:rPr>
        <w:t xml:space="preserve">Business and Price </w:t>
      </w:r>
      <w:r w:rsidR="0078425B" w:rsidRPr="00EB123B">
        <w:rPr>
          <w:rFonts w:ascii="Century Gothic" w:hAnsi="Century Gothic"/>
        </w:rPr>
        <w:t>Proposal</w:t>
      </w:r>
      <w:r w:rsidRPr="00EB123B">
        <w:rPr>
          <w:rFonts w:ascii="Century Gothic" w:hAnsi="Century Gothic"/>
        </w:rPr>
        <w:t xml:space="preserve"> evaluations</w:t>
      </w:r>
    </w:p>
    <w:p w14:paraId="0F39F924" w14:textId="38120D31" w:rsidR="0078425B" w:rsidRPr="00EB123B" w:rsidRDefault="0039254E" w:rsidP="00F275A9">
      <w:pPr>
        <w:pStyle w:val="ListParagraph"/>
        <w:numPr>
          <w:ilvl w:val="0"/>
          <w:numId w:val="11"/>
        </w:numPr>
        <w:rPr>
          <w:rFonts w:ascii="Century Gothic" w:hAnsi="Century Gothic"/>
        </w:rPr>
      </w:pPr>
      <w:r w:rsidRPr="00EB123B">
        <w:rPr>
          <w:rFonts w:ascii="Century Gothic" w:hAnsi="Century Gothic"/>
        </w:rPr>
        <w:t xml:space="preserve">Oral </w:t>
      </w:r>
      <w:r w:rsidR="00CF522E" w:rsidRPr="00EB123B">
        <w:rPr>
          <w:rFonts w:ascii="Century Gothic" w:hAnsi="Century Gothic"/>
        </w:rPr>
        <w:t>P</w:t>
      </w:r>
      <w:r w:rsidRPr="00EB123B">
        <w:rPr>
          <w:rFonts w:ascii="Century Gothic" w:hAnsi="Century Gothic"/>
        </w:rPr>
        <w:t xml:space="preserve">resentations and Key Staff </w:t>
      </w:r>
      <w:r w:rsidR="00F275A9" w:rsidRPr="00EB123B">
        <w:rPr>
          <w:rFonts w:ascii="Century Gothic" w:hAnsi="Century Gothic"/>
        </w:rPr>
        <w:t>Interviews</w:t>
      </w:r>
    </w:p>
    <w:p w14:paraId="0646CDCD" w14:textId="77777777" w:rsidR="00D2028B" w:rsidRPr="00EB123B" w:rsidRDefault="0039254E" w:rsidP="00F275A9">
      <w:pPr>
        <w:pStyle w:val="ListParagraph"/>
        <w:numPr>
          <w:ilvl w:val="0"/>
          <w:numId w:val="11"/>
        </w:numPr>
        <w:rPr>
          <w:rFonts w:ascii="Century Gothic" w:hAnsi="Century Gothic"/>
        </w:rPr>
      </w:pPr>
      <w:r w:rsidRPr="00EB123B">
        <w:rPr>
          <w:rFonts w:ascii="Century Gothic" w:hAnsi="Century Gothic"/>
        </w:rPr>
        <w:t>Confidential Discussions</w:t>
      </w:r>
    </w:p>
    <w:p w14:paraId="3F05B04A" w14:textId="461189C1" w:rsidR="008C514C" w:rsidRPr="00EB123B" w:rsidRDefault="00A22417" w:rsidP="00F275A9">
      <w:pPr>
        <w:pStyle w:val="ListParagraph"/>
        <w:numPr>
          <w:ilvl w:val="0"/>
          <w:numId w:val="11"/>
        </w:numPr>
        <w:rPr>
          <w:rFonts w:ascii="Century Gothic" w:hAnsi="Century Gothic"/>
        </w:rPr>
      </w:pPr>
      <w:r w:rsidRPr="00EB123B">
        <w:rPr>
          <w:rFonts w:ascii="Century Gothic" w:hAnsi="Century Gothic"/>
        </w:rPr>
        <w:t>Agreement</w:t>
      </w:r>
      <w:r w:rsidR="008C514C" w:rsidRPr="00EB123B">
        <w:rPr>
          <w:rFonts w:ascii="Century Gothic" w:hAnsi="Century Gothic"/>
        </w:rPr>
        <w:t xml:space="preserve"> Exception Discussions</w:t>
      </w:r>
    </w:p>
    <w:p w14:paraId="4191792C" w14:textId="70AAAAD4" w:rsidR="00B11059" w:rsidRPr="00EB123B" w:rsidRDefault="00AD6B10" w:rsidP="000609ED">
      <w:pPr>
        <w:rPr>
          <w:rFonts w:ascii="Century Gothic" w:hAnsi="Century Gothic"/>
        </w:rPr>
      </w:pPr>
      <w:r w:rsidRPr="00EB123B">
        <w:rPr>
          <w:rFonts w:ascii="Century Gothic" w:hAnsi="Century Gothic"/>
        </w:rPr>
        <w:t xml:space="preserve">The next step in the </w:t>
      </w:r>
      <w:r w:rsidR="00AF4BC1" w:rsidRPr="00EB123B">
        <w:rPr>
          <w:rFonts w:ascii="Century Gothic" w:hAnsi="Century Gothic"/>
        </w:rPr>
        <w:t xml:space="preserve">evaluation </w:t>
      </w:r>
      <w:r w:rsidRPr="00EB123B">
        <w:rPr>
          <w:rFonts w:ascii="Century Gothic" w:hAnsi="Century Gothic"/>
        </w:rPr>
        <w:t xml:space="preserve">process is </w:t>
      </w:r>
      <w:r w:rsidR="004F243A" w:rsidRPr="00EB123B">
        <w:rPr>
          <w:rFonts w:ascii="Century Gothic" w:hAnsi="Century Gothic"/>
        </w:rPr>
        <w:t xml:space="preserve">the </w:t>
      </w:r>
      <w:r w:rsidR="008C514C" w:rsidRPr="00EB123B">
        <w:rPr>
          <w:rFonts w:ascii="Century Gothic" w:hAnsi="Century Gothic"/>
        </w:rPr>
        <w:t>BAFO</w:t>
      </w:r>
      <w:r w:rsidR="004F243A" w:rsidRPr="00EB123B">
        <w:rPr>
          <w:rFonts w:ascii="Century Gothic" w:hAnsi="Century Gothic"/>
        </w:rPr>
        <w:t>.</w:t>
      </w:r>
      <w:r w:rsidR="00F76EFE">
        <w:rPr>
          <w:rFonts w:ascii="Century Gothic" w:hAnsi="Century Gothic"/>
        </w:rPr>
        <w:t xml:space="preserve"> </w:t>
      </w:r>
      <w:r w:rsidR="004F243A" w:rsidRPr="00EB123B">
        <w:rPr>
          <w:rFonts w:ascii="Century Gothic" w:hAnsi="Century Gothic"/>
        </w:rPr>
        <w:t>Th</w:t>
      </w:r>
      <w:r w:rsidR="001D5607" w:rsidRPr="00EB123B">
        <w:rPr>
          <w:rFonts w:ascii="Century Gothic" w:hAnsi="Century Gothic"/>
        </w:rPr>
        <w:t>is</w:t>
      </w:r>
      <w:r w:rsidR="004F243A" w:rsidRPr="00EB123B">
        <w:rPr>
          <w:rFonts w:ascii="Century Gothic" w:hAnsi="Century Gothic"/>
        </w:rPr>
        <w:t xml:space="preserve"> </w:t>
      </w:r>
      <w:bookmarkStart w:id="0" w:name="_Hlk149122807"/>
      <w:r w:rsidR="00263AC5" w:rsidRPr="00EB123B">
        <w:rPr>
          <w:rFonts w:ascii="Century Gothic" w:hAnsi="Century Gothic"/>
        </w:rPr>
        <w:t>BAFO</w:t>
      </w:r>
      <w:r w:rsidR="004F243A" w:rsidRPr="00EB123B">
        <w:rPr>
          <w:rFonts w:ascii="Century Gothic" w:hAnsi="Century Gothic"/>
        </w:rPr>
        <w:t xml:space="preserve"> </w:t>
      </w:r>
      <w:r w:rsidR="00263AC5" w:rsidRPr="00EB123B">
        <w:rPr>
          <w:rFonts w:ascii="Century Gothic" w:hAnsi="Century Gothic"/>
        </w:rPr>
        <w:t xml:space="preserve">includes </w:t>
      </w:r>
      <w:r w:rsidR="00B11059" w:rsidRPr="00EB123B">
        <w:rPr>
          <w:rFonts w:ascii="Century Gothic" w:hAnsi="Century Gothic"/>
        </w:rPr>
        <w:t>the following:</w:t>
      </w:r>
    </w:p>
    <w:bookmarkEnd w:id="0"/>
    <w:p w14:paraId="0C765828" w14:textId="14F590C2" w:rsidR="00B11059" w:rsidRPr="00EB123B" w:rsidRDefault="00CF522E" w:rsidP="00B11059">
      <w:pPr>
        <w:pStyle w:val="ListParagraph"/>
        <w:numPr>
          <w:ilvl w:val="0"/>
          <w:numId w:val="15"/>
        </w:numPr>
        <w:rPr>
          <w:rFonts w:ascii="Century Gothic" w:hAnsi="Century Gothic"/>
        </w:rPr>
      </w:pPr>
      <w:r w:rsidRPr="00EB123B">
        <w:rPr>
          <w:rFonts w:ascii="Century Gothic" w:hAnsi="Century Gothic"/>
        </w:rPr>
        <w:t>P</w:t>
      </w:r>
      <w:r w:rsidR="00C0159D" w:rsidRPr="00EB123B">
        <w:rPr>
          <w:rFonts w:ascii="Century Gothic" w:hAnsi="Century Gothic"/>
        </w:rPr>
        <w:t xml:space="preserve">rice </w:t>
      </w:r>
      <w:r w:rsidR="000609ED" w:rsidRPr="00EB123B">
        <w:rPr>
          <w:rFonts w:ascii="Century Gothic" w:hAnsi="Century Gothic"/>
        </w:rPr>
        <w:t xml:space="preserve">Proposal </w:t>
      </w:r>
      <w:r w:rsidRPr="00EB123B">
        <w:rPr>
          <w:rFonts w:ascii="Century Gothic" w:hAnsi="Century Gothic"/>
        </w:rPr>
        <w:t>S</w:t>
      </w:r>
      <w:r w:rsidR="00C0159D" w:rsidRPr="00EB123B">
        <w:rPr>
          <w:rFonts w:ascii="Century Gothic" w:hAnsi="Century Gothic"/>
        </w:rPr>
        <w:t>chedule</w:t>
      </w:r>
      <w:r w:rsidR="000609ED" w:rsidRPr="00EB123B">
        <w:rPr>
          <w:rFonts w:ascii="Century Gothic" w:hAnsi="Century Gothic"/>
        </w:rPr>
        <w:t xml:space="preserve"> </w:t>
      </w:r>
      <w:r w:rsidR="00C0159D" w:rsidRPr="00EB123B">
        <w:rPr>
          <w:rFonts w:ascii="Century Gothic" w:hAnsi="Century Gothic"/>
        </w:rPr>
        <w:t xml:space="preserve">updates </w:t>
      </w:r>
      <w:r w:rsidR="00542088" w:rsidRPr="00EB123B">
        <w:rPr>
          <w:rFonts w:ascii="Century Gothic" w:hAnsi="Century Gothic"/>
        </w:rPr>
        <w:t xml:space="preserve"> </w:t>
      </w:r>
    </w:p>
    <w:p w14:paraId="48213B0D" w14:textId="47CD0DDB" w:rsidR="00312555" w:rsidRPr="00EB123B" w:rsidRDefault="00312555" w:rsidP="00835848">
      <w:pPr>
        <w:pStyle w:val="ListParagraph"/>
        <w:numPr>
          <w:ilvl w:val="0"/>
          <w:numId w:val="15"/>
        </w:numPr>
        <w:rPr>
          <w:rFonts w:ascii="Century Gothic" w:hAnsi="Century Gothic"/>
        </w:rPr>
      </w:pPr>
      <w:r w:rsidRPr="00EB123B">
        <w:rPr>
          <w:rFonts w:ascii="Century Gothic" w:hAnsi="Century Gothic"/>
        </w:rPr>
        <w:t>Revisions to the</w:t>
      </w:r>
      <w:r w:rsidR="002C5E56" w:rsidRPr="00EB123B">
        <w:rPr>
          <w:rFonts w:ascii="Century Gothic" w:hAnsi="Century Gothic"/>
        </w:rPr>
        <w:t xml:space="preserve"> </w:t>
      </w:r>
      <w:r w:rsidR="00387607" w:rsidRPr="00EB123B">
        <w:rPr>
          <w:rFonts w:ascii="Century Gothic" w:hAnsi="Century Gothic"/>
        </w:rPr>
        <w:t xml:space="preserve">BenefitsCal Agreement based </w:t>
      </w:r>
      <w:r w:rsidR="001D5607" w:rsidRPr="00EB123B">
        <w:rPr>
          <w:rFonts w:ascii="Century Gothic" w:hAnsi="Century Gothic"/>
        </w:rPr>
        <w:t>on</w:t>
      </w:r>
      <w:r w:rsidR="00387607" w:rsidRPr="00EB123B">
        <w:rPr>
          <w:rFonts w:ascii="Century Gothic" w:hAnsi="Century Gothic"/>
        </w:rPr>
        <w:t xml:space="preserve"> the </w:t>
      </w:r>
      <w:r w:rsidR="002C5E56" w:rsidRPr="00EB123B">
        <w:rPr>
          <w:rFonts w:ascii="Century Gothic" w:hAnsi="Century Gothic"/>
        </w:rPr>
        <w:t>c</w:t>
      </w:r>
      <w:r w:rsidR="00387607" w:rsidRPr="00EB123B">
        <w:rPr>
          <w:rFonts w:ascii="Century Gothic" w:hAnsi="Century Gothic"/>
        </w:rPr>
        <w:t xml:space="preserve">ontract exception </w:t>
      </w:r>
      <w:r w:rsidR="002C5E56" w:rsidRPr="00EB123B">
        <w:rPr>
          <w:rFonts w:ascii="Century Gothic" w:hAnsi="Century Gothic"/>
        </w:rPr>
        <w:t>discussions</w:t>
      </w:r>
      <w:r w:rsidR="003924B0">
        <w:rPr>
          <w:rFonts w:ascii="Century Gothic" w:hAnsi="Century Gothic"/>
        </w:rPr>
        <w:t xml:space="preserve"> held on December 16, 2024.</w:t>
      </w:r>
    </w:p>
    <w:p w14:paraId="07AA53C2" w14:textId="32589B10" w:rsidR="008340D0" w:rsidRPr="004713BC" w:rsidRDefault="008340D0" w:rsidP="00B7699B">
      <w:pPr>
        <w:pStyle w:val="Heading2"/>
        <w:spacing w:before="360" w:after="60" w:line="240" w:lineRule="auto"/>
        <w:contextualSpacing/>
        <w:rPr>
          <w:rFonts w:ascii="Century Gothic" w:eastAsia="Times New Roman" w:hAnsi="Century Gothic" w:cs="Arial"/>
          <w:b/>
          <w:bCs/>
          <w:color w:val="417A84"/>
          <w:sz w:val="24"/>
        </w:rPr>
      </w:pPr>
      <w:r w:rsidRPr="004713BC">
        <w:rPr>
          <w:rFonts w:ascii="Century Gothic" w:eastAsia="Times New Roman" w:hAnsi="Century Gothic" w:cs="Arial"/>
          <w:b/>
          <w:bCs/>
          <w:color w:val="417A84"/>
          <w:sz w:val="24"/>
        </w:rPr>
        <w:t>Submission Instructions</w:t>
      </w:r>
    </w:p>
    <w:p w14:paraId="43051775" w14:textId="6318DBFD" w:rsidR="00AF0DA8" w:rsidRDefault="00A62FB0" w:rsidP="00272E34">
      <w:pPr>
        <w:rPr>
          <w:rFonts w:ascii="Century Gothic" w:hAnsi="Century Gothic"/>
        </w:rPr>
      </w:pPr>
      <w:r w:rsidRPr="00EB123B">
        <w:rPr>
          <w:rFonts w:ascii="Century Gothic" w:hAnsi="Century Gothic"/>
        </w:rPr>
        <w:t xml:space="preserve">Bidders are advised to carefully review and follow the </w:t>
      </w:r>
      <w:r w:rsidR="008C514C" w:rsidRPr="00EB123B">
        <w:rPr>
          <w:rFonts w:ascii="Century Gothic" w:hAnsi="Century Gothic"/>
        </w:rPr>
        <w:t xml:space="preserve">BAFO </w:t>
      </w:r>
      <w:r w:rsidRPr="00EB123B">
        <w:rPr>
          <w:rFonts w:ascii="Century Gothic" w:hAnsi="Century Gothic"/>
        </w:rPr>
        <w:t>submission instructions</w:t>
      </w:r>
      <w:r w:rsidR="00B62F47" w:rsidRPr="00EB123B">
        <w:rPr>
          <w:rFonts w:ascii="Century Gothic" w:hAnsi="Century Gothic"/>
        </w:rPr>
        <w:t xml:space="preserve"> described herein</w:t>
      </w:r>
      <w:r w:rsidRPr="00EB123B">
        <w:rPr>
          <w:rFonts w:ascii="Century Gothic" w:hAnsi="Century Gothic"/>
        </w:rPr>
        <w:t>.</w:t>
      </w:r>
      <w:r w:rsidR="00CF32EE" w:rsidRPr="00EB123B">
        <w:rPr>
          <w:rFonts w:ascii="Century Gothic" w:hAnsi="Century Gothic"/>
        </w:rPr>
        <w:t xml:space="preserve"> </w:t>
      </w:r>
      <w:r w:rsidR="007E1CCC">
        <w:rPr>
          <w:rFonts w:ascii="Century Gothic" w:hAnsi="Century Gothic"/>
        </w:rPr>
        <w:t xml:space="preserve"> </w:t>
      </w:r>
      <w:r w:rsidR="003061EB" w:rsidRPr="00EB123B">
        <w:rPr>
          <w:rFonts w:ascii="Century Gothic" w:hAnsi="Century Gothic"/>
          <w:u w:val="single"/>
        </w:rPr>
        <w:t xml:space="preserve">Bidders </w:t>
      </w:r>
      <w:r w:rsidR="001E5C23" w:rsidRPr="00EB123B">
        <w:rPr>
          <w:rFonts w:ascii="Century Gothic" w:hAnsi="Century Gothic"/>
          <w:u w:val="single"/>
        </w:rPr>
        <w:t>who f</w:t>
      </w:r>
      <w:r w:rsidR="003061EB" w:rsidRPr="00EB123B">
        <w:rPr>
          <w:rFonts w:ascii="Century Gothic" w:hAnsi="Century Gothic"/>
          <w:u w:val="single"/>
        </w:rPr>
        <w:t xml:space="preserve">ail to respond </w:t>
      </w:r>
      <w:r w:rsidR="00CF522E" w:rsidRPr="00EB123B">
        <w:rPr>
          <w:rFonts w:ascii="Century Gothic" w:hAnsi="Century Gothic"/>
          <w:u w:val="single"/>
        </w:rPr>
        <w:t xml:space="preserve">in accordance with the required </w:t>
      </w:r>
      <w:r w:rsidR="00287A7E" w:rsidRPr="00EB123B">
        <w:rPr>
          <w:rFonts w:ascii="Century Gothic" w:hAnsi="Century Gothic"/>
          <w:u w:val="single"/>
        </w:rPr>
        <w:t xml:space="preserve">content and </w:t>
      </w:r>
      <w:r w:rsidR="00CF522E" w:rsidRPr="00EB123B">
        <w:rPr>
          <w:rFonts w:ascii="Century Gothic" w:hAnsi="Century Gothic"/>
          <w:u w:val="single"/>
        </w:rPr>
        <w:t xml:space="preserve">timeframes </w:t>
      </w:r>
      <w:r w:rsidR="001E5C23" w:rsidRPr="00EB123B">
        <w:rPr>
          <w:rFonts w:ascii="Century Gothic" w:hAnsi="Century Gothic"/>
          <w:u w:val="single"/>
        </w:rPr>
        <w:t xml:space="preserve">will no longer </w:t>
      </w:r>
      <w:r w:rsidR="00CE56E1" w:rsidRPr="00EB123B">
        <w:rPr>
          <w:rFonts w:ascii="Century Gothic" w:hAnsi="Century Gothic"/>
          <w:u w:val="single"/>
        </w:rPr>
        <w:t xml:space="preserve">have their proposal considered by the Consortium for purposes of the final Contract award. </w:t>
      </w:r>
      <w:r w:rsidR="00CE56E1" w:rsidRPr="00EB123B">
        <w:rPr>
          <w:rFonts w:ascii="Century Gothic" w:hAnsi="Century Gothic"/>
        </w:rPr>
        <w:t xml:space="preserve"> </w:t>
      </w:r>
    </w:p>
    <w:p w14:paraId="03E06C9A" w14:textId="1D3DE231" w:rsidR="009F3AC7" w:rsidRPr="003924B0" w:rsidRDefault="009F3AC7" w:rsidP="009F3AC7">
      <w:pPr>
        <w:rPr>
          <w:rFonts w:ascii="Century Gothic" w:hAnsi="Century Gothic"/>
        </w:rPr>
      </w:pPr>
      <w:r>
        <w:rPr>
          <w:rFonts w:ascii="Century Gothic" w:hAnsi="Century Gothic"/>
        </w:rPr>
        <w:t xml:space="preserve">Bidders are to submit </w:t>
      </w:r>
      <w:r w:rsidR="00660140">
        <w:rPr>
          <w:rFonts w:ascii="Century Gothic" w:hAnsi="Century Gothic"/>
        </w:rPr>
        <w:t>BAFOs</w:t>
      </w:r>
      <w:r>
        <w:rPr>
          <w:rFonts w:ascii="Century Gothic" w:hAnsi="Century Gothic"/>
        </w:rPr>
        <w:t xml:space="preserve"> via email</w:t>
      </w:r>
      <w:r w:rsidR="003924B0">
        <w:rPr>
          <w:rFonts w:ascii="Century Gothic" w:hAnsi="Century Gothic"/>
        </w:rPr>
        <w:t xml:space="preserve"> </w:t>
      </w:r>
      <w:r w:rsidR="003924B0" w:rsidRPr="003924B0">
        <w:rPr>
          <w:rFonts w:ascii="Century Gothic" w:hAnsi="Century Gothic"/>
        </w:rPr>
        <w:t xml:space="preserve">to </w:t>
      </w:r>
      <w:hyperlink r:id="rId12" w:history="1">
        <w:r w:rsidR="003924B0" w:rsidRPr="003924B0">
          <w:rPr>
            <w:rStyle w:val="Hyperlink"/>
            <w:rFonts w:ascii="Century Gothic" w:hAnsi="Century Gothic"/>
          </w:rPr>
          <w:t>ProcurementTeam@CalSAWS.org</w:t>
        </w:r>
      </w:hyperlink>
      <w:r w:rsidR="003924B0">
        <w:rPr>
          <w:rStyle w:val="Hyperlink"/>
          <w:rFonts w:ascii="Century Gothic" w:hAnsi="Century Gothic"/>
          <w:color w:val="auto"/>
          <w:u w:val="none"/>
        </w:rPr>
        <w:t>.</w:t>
      </w:r>
    </w:p>
    <w:p w14:paraId="2D6FD2D5" w14:textId="5E91FA8C" w:rsidR="00E05FC0" w:rsidRPr="00C26F13" w:rsidRDefault="008C514C" w:rsidP="00B7699B">
      <w:pPr>
        <w:pStyle w:val="Heading2"/>
        <w:spacing w:before="360" w:after="60" w:line="240" w:lineRule="auto"/>
        <w:contextualSpacing/>
        <w:rPr>
          <w:rFonts w:ascii="Century Gothic" w:eastAsia="Times New Roman" w:hAnsi="Century Gothic" w:cs="Arial"/>
          <w:b/>
          <w:bCs/>
          <w:color w:val="417A84"/>
          <w:sz w:val="24"/>
          <w:szCs w:val="24"/>
        </w:rPr>
      </w:pPr>
      <w:r w:rsidRPr="00C26F13">
        <w:rPr>
          <w:rFonts w:ascii="Century Gothic" w:eastAsia="Times New Roman" w:hAnsi="Century Gothic" w:cs="Arial"/>
          <w:b/>
          <w:bCs/>
          <w:color w:val="417A84"/>
          <w:sz w:val="24"/>
        </w:rPr>
        <w:t xml:space="preserve">BAFO </w:t>
      </w:r>
      <w:r w:rsidR="00930BB3" w:rsidRPr="00C26F13">
        <w:rPr>
          <w:rFonts w:ascii="Century Gothic" w:eastAsia="Times New Roman" w:hAnsi="Century Gothic" w:cs="Arial"/>
          <w:b/>
          <w:bCs/>
          <w:color w:val="417A84"/>
          <w:sz w:val="24"/>
        </w:rPr>
        <w:t>Key Action Dates</w:t>
      </w:r>
    </w:p>
    <w:p w14:paraId="485037EB" w14:textId="699CD229" w:rsidR="00AA3DCC" w:rsidRPr="00EB123B" w:rsidRDefault="000754D6" w:rsidP="00835848">
      <w:pPr>
        <w:rPr>
          <w:rFonts w:ascii="Century Gothic" w:hAnsi="Century Gothic"/>
        </w:rPr>
      </w:pPr>
      <w:r w:rsidRPr="00EB123B">
        <w:rPr>
          <w:rFonts w:ascii="Century Gothic" w:hAnsi="Century Gothic"/>
        </w:rPr>
        <w:t>BAFO</w:t>
      </w:r>
      <w:r w:rsidR="008C514C" w:rsidRPr="00EB123B">
        <w:rPr>
          <w:rFonts w:ascii="Century Gothic" w:hAnsi="Century Gothic"/>
        </w:rPr>
        <w:t xml:space="preserve"> </w:t>
      </w:r>
      <w:r w:rsidRPr="00EB123B">
        <w:rPr>
          <w:rFonts w:ascii="Century Gothic" w:hAnsi="Century Gothic"/>
        </w:rPr>
        <w:t>Key Action D</w:t>
      </w:r>
      <w:r w:rsidR="000B222F" w:rsidRPr="00EB123B">
        <w:rPr>
          <w:rFonts w:ascii="Century Gothic" w:hAnsi="Century Gothic"/>
        </w:rPr>
        <w:t>ates</w:t>
      </w:r>
      <w:r w:rsidR="002A6802" w:rsidRPr="00EB123B">
        <w:rPr>
          <w:rFonts w:ascii="Century Gothic" w:hAnsi="Century Gothic"/>
        </w:rPr>
        <w:t xml:space="preserve"> are listed in the following table.</w:t>
      </w:r>
      <w:r w:rsidR="00F22C7D" w:rsidRPr="00EB123B">
        <w:rPr>
          <w:rFonts w:ascii="Century Gothic" w:hAnsi="Century Gothic"/>
        </w:rPr>
        <w:t xml:space="preserve"> </w:t>
      </w:r>
      <w:r w:rsidR="00930B14" w:rsidRPr="00EB123B">
        <w:rPr>
          <w:rFonts w:ascii="Century Gothic" w:hAnsi="Century Gothic"/>
        </w:rPr>
        <w:t xml:space="preserve">Deadlines for all </w:t>
      </w:r>
      <w:r w:rsidR="00CF522E" w:rsidRPr="00EB123B">
        <w:rPr>
          <w:rFonts w:ascii="Century Gothic" w:hAnsi="Century Gothic"/>
        </w:rPr>
        <w:t>items</w:t>
      </w:r>
      <w:r w:rsidR="00930B14" w:rsidRPr="00EB123B">
        <w:rPr>
          <w:rFonts w:ascii="Century Gothic" w:hAnsi="Century Gothic"/>
        </w:rPr>
        <w:t xml:space="preserve"> are no later than 3:00 PM, Pacific Time (PT).</w:t>
      </w:r>
    </w:p>
    <w:tbl>
      <w:tblPr>
        <w:tblW w:w="954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6120"/>
        <w:gridCol w:w="3420"/>
      </w:tblGrid>
      <w:tr w:rsidR="00A62FB0" w:rsidRPr="00EB123B" w14:paraId="51E6DD17" w14:textId="77777777" w:rsidTr="003924B0">
        <w:trPr>
          <w:trHeight w:val="300"/>
          <w:tblHeader/>
        </w:trPr>
        <w:tc>
          <w:tcPr>
            <w:tcW w:w="9540" w:type="dxa"/>
            <w:gridSpan w:val="2"/>
            <w:shd w:val="clear" w:color="auto" w:fill="417A84"/>
            <w:noWrap/>
            <w:vAlign w:val="bottom"/>
          </w:tcPr>
          <w:p w14:paraId="40993DDB" w14:textId="3C49FC8C" w:rsidR="00A62FB0" w:rsidRPr="00665991" w:rsidRDefault="00A62FB0" w:rsidP="00BA0C1B">
            <w:pPr>
              <w:pStyle w:val="TableHeading"/>
              <w:rPr>
                <w:szCs w:val="20"/>
              </w:rPr>
            </w:pPr>
            <w:r w:rsidRPr="00665991">
              <w:rPr>
                <w:szCs w:val="20"/>
              </w:rPr>
              <w:t>Best and Final Offer</w:t>
            </w:r>
            <w:r w:rsidR="00A24BA5" w:rsidRPr="00665991">
              <w:rPr>
                <w:szCs w:val="20"/>
              </w:rPr>
              <w:t xml:space="preserve"> </w:t>
            </w:r>
            <w:r w:rsidRPr="00665991">
              <w:rPr>
                <w:szCs w:val="20"/>
              </w:rPr>
              <w:t>Key Action Dates</w:t>
            </w:r>
          </w:p>
        </w:tc>
      </w:tr>
      <w:tr w:rsidR="00F22C7D" w:rsidRPr="00EB123B" w14:paraId="3A9EF934" w14:textId="77777777" w:rsidTr="003924B0">
        <w:trPr>
          <w:trHeight w:val="300"/>
          <w:tblHeader/>
        </w:trPr>
        <w:tc>
          <w:tcPr>
            <w:tcW w:w="6120" w:type="dxa"/>
            <w:shd w:val="clear" w:color="auto" w:fill="417A84"/>
            <w:noWrap/>
            <w:vAlign w:val="bottom"/>
          </w:tcPr>
          <w:p w14:paraId="01B5D3E7" w14:textId="244C315E" w:rsidR="00F22C7D" w:rsidRPr="00665991" w:rsidRDefault="00F22C7D" w:rsidP="00BA0C1B">
            <w:pPr>
              <w:pStyle w:val="TableHeading"/>
              <w:rPr>
                <w:szCs w:val="20"/>
              </w:rPr>
            </w:pPr>
            <w:r w:rsidRPr="00665991">
              <w:rPr>
                <w:szCs w:val="20"/>
              </w:rPr>
              <w:t>Action</w:t>
            </w:r>
          </w:p>
        </w:tc>
        <w:tc>
          <w:tcPr>
            <w:tcW w:w="3420" w:type="dxa"/>
            <w:shd w:val="clear" w:color="auto" w:fill="417A84"/>
            <w:vAlign w:val="bottom"/>
          </w:tcPr>
          <w:p w14:paraId="1C27B6DD" w14:textId="759BA7DB" w:rsidR="00F22C7D" w:rsidRPr="00665991" w:rsidRDefault="00F22C7D" w:rsidP="00BA0C1B">
            <w:pPr>
              <w:pStyle w:val="TableHeading"/>
              <w:rPr>
                <w:szCs w:val="20"/>
              </w:rPr>
            </w:pPr>
            <w:r w:rsidRPr="00665991">
              <w:rPr>
                <w:szCs w:val="20"/>
              </w:rPr>
              <w:t>Date</w:t>
            </w:r>
          </w:p>
        </w:tc>
      </w:tr>
      <w:tr w:rsidR="00DA6F7E" w:rsidRPr="00EB123B" w14:paraId="2DEEAC43" w14:textId="77777777" w:rsidTr="003924B0">
        <w:trPr>
          <w:trHeight w:val="300"/>
        </w:trPr>
        <w:tc>
          <w:tcPr>
            <w:tcW w:w="6120" w:type="dxa"/>
            <w:shd w:val="clear" w:color="auto" w:fill="F2F2F2" w:themeFill="background1" w:themeFillShade="F2"/>
            <w:noWrap/>
          </w:tcPr>
          <w:p w14:paraId="4039850A" w14:textId="13976D9D" w:rsidR="00DA6F7E" w:rsidRPr="003924B0" w:rsidRDefault="00DA6F7E" w:rsidP="0067468D">
            <w:pPr>
              <w:pStyle w:val="TableText"/>
              <w:rPr>
                <w:sz w:val="21"/>
                <w:szCs w:val="21"/>
              </w:rPr>
            </w:pPr>
            <w:r w:rsidRPr="003924B0">
              <w:rPr>
                <w:sz w:val="21"/>
                <w:szCs w:val="21"/>
              </w:rPr>
              <w:t xml:space="preserve">Release BAFO </w:t>
            </w:r>
            <w:r w:rsidR="00D75B24" w:rsidRPr="003924B0">
              <w:rPr>
                <w:sz w:val="21"/>
                <w:szCs w:val="21"/>
              </w:rPr>
              <w:t>Instructions</w:t>
            </w:r>
          </w:p>
        </w:tc>
        <w:tc>
          <w:tcPr>
            <w:tcW w:w="3420" w:type="dxa"/>
            <w:shd w:val="clear" w:color="auto" w:fill="F2F2F2" w:themeFill="background1" w:themeFillShade="F2"/>
          </w:tcPr>
          <w:p w14:paraId="79B19D5B" w14:textId="38A4FFF8" w:rsidR="00DA6F7E" w:rsidRPr="003924B0" w:rsidRDefault="00234CB0" w:rsidP="0067468D">
            <w:pPr>
              <w:pStyle w:val="TableBullet1"/>
              <w:numPr>
                <w:ilvl w:val="0"/>
                <w:numId w:val="0"/>
              </w:numPr>
              <w:rPr>
                <w:sz w:val="21"/>
                <w:szCs w:val="21"/>
              </w:rPr>
            </w:pPr>
            <w:r w:rsidRPr="003924B0">
              <w:rPr>
                <w:sz w:val="21"/>
                <w:szCs w:val="21"/>
              </w:rPr>
              <w:t>Monday</w:t>
            </w:r>
            <w:r w:rsidR="00737E27" w:rsidRPr="003924B0">
              <w:rPr>
                <w:sz w:val="21"/>
                <w:szCs w:val="21"/>
              </w:rPr>
              <w:t xml:space="preserve">, January 13, </w:t>
            </w:r>
            <w:r w:rsidR="00DA6F7E" w:rsidRPr="003924B0">
              <w:rPr>
                <w:sz w:val="21"/>
                <w:szCs w:val="21"/>
              </w:rPr>
              <w:t>202</w:t>
            </w:r>
            <w:r w:rsidR="00737E27" w:rsidRPr="003924B0">
              <w:rPr>
                <w:sz w:val="21"/>
                <w:szCs w:val="21"/>
              </w:rPr>
              <w:t>5</w:t>
            </w:r>
          </w:p>
        </w:tc>
      </w:tr>
      <w:tr w:rsidR="00B11059" w:rsidRPr="00EB123B" w14:paraId="17D64E82" w14:textId="77777777" w:rsidTr="003924B0">
        <w:trPr>
          <w:trHeight w:val="300"/>
        </w:trPr>
        <w:tc>
          <w:tcPr>
            <w:tcW w:w="6120" w:type="dxa"/>
            <w:shd w:val="clear" w:color="auto" w:fill="F2F2F2" w:themeFill="background1" w:themeFillShade="F2"/>
            <w:noWrap/>
          </w:tcPr>
          <w:p w14:paraId="4474D13B" w14:textId="433DA349" w:rsidR="00B11059" w:rsidRPr="003924B0" w:rsidRDefault="00B11059" w:rsidP="005F1CCD">
            <w:pPr>
              <w:pStyle w:val="TableText"/>
              <w:rPr>
                <w:sz w:val="21"/>
                <w:szCs w:val="21"/>
              </w:rPr>
            </w:pPr>
            <w:r w:rsidRPr="003924B0">
              <w:rPr>
                <w:sz w:val="21"/>
                <w:szCs w:val="21"/>
              </w:rPr>
              <w:t>Release Revised</w:t>
            </w:r>
            <w:r w:rsidR="00692695" w:rsidRPr="003924B0">
              <w:rPr>
                <w:sz w:val="21"/>
                <w:szCs w:val="21"/>
              </w:rPr>
              <w:t xml:space="preserve"> </w:t>
            </w:r>
            <w:r w:rsidR="00B45152" w:rsidRPr="003924B0">
              <w:rPr>
                <w:sz w:val="21"/>
                <w:szCs w:val="21"/>
              </w:rPr>
              <w:t xml:space="preserve">Price Schedules and </w:t>
            </w:r>
            <w:r w:rsidR="00F97C8D" w:rsidRPr="003924B0">
              <w:rPr>
                <w:sz w:val="21"/>
                <w:szCs w:val="21"/>
              </w:rPr>
              <w:t>A</w:t>
            </w:r>
            <w:r w:rsidRPr="003924B0">
              <w:rPr>
                <w:sz w:val="21"/>
                <w:szCs w:val="21"/>
              </w:rPr>
              <w:t>greement</w:t>
            </w:r>
          </w:p>
        </w:tc>
        <w:tc>
          <w:tcPr>
            <w:tcW w:w="3420" w:type="dxa"/>
            <w:shd w:val="clear" w:color="auto" w:fill="F2F2F2" w:themeFill="background1" w:themeFillShade="F2"/>
          </w:tcPr>
          <w:p w14:paraId="508BA218" w14:textId="12716B33" w:rsidR="00B11059" w:rsidRPr="003924B0" w:rsidRDefault="00BF64D1" w:rsidP="005F1CCD">
            <w:pPr>
              <w:pStyle w:val="TableBullet1"/>
              <w:numPr>
                <w:ilvl w:val="0"/>
                <w:numId w:val="0"/>
              </w:numPr>
              <w:rPr>
                <w:sz w:val="21"/>
                <w:szCs w:val="21"/>
              </w:rPr>
            </w:pPr>
            <w:r w:rsidRPr="003924B0">
              <w:rPr>
                <w:sz w:val="21"/>
                <w:szCs w:val="21"/>
              </w:rPr>
              <w:t>Monday</w:t>
            </w:r>
            <w:r w:rsidR="00E13684" w:rsidRPr="003924B0">
              <w:rPr>
                <w:sz w:val="21"/>
                <w:szCs w:val="21"/>
              </w:rPr>
              <w:t xml:space="preserve">, </w:t>
            </w:r>
            <w:r w:rsidRPr="003924B0">
              <w:rPr>
                <w:sz w:val="21"/>
                <w:szCs w:val="21"/>
              </w:rPr>
              <w:t>January 13, 2025</w:t>
            </w:r>
          </w:p>
        </w:tc>
      </w:tr>
      <w:tr w:rsidR="00A62FB0" w:rsidRPr="00EB123B" w14:paraId="7A9E5D32" w14:textId="77777777" w:rsidTr="003924B0">
        <w:trPr>
          <w:trHeight w:val="300"/>
        </w:trPr>
        <w:tc>
          <w:tcPr>
            <w:tcW w:w="6120" w:type="dxa"/>
            <w:shd w:val="clear" w:color="auto" w:fill="F2F2F2" w:themeFill="background1" w:themeFillShade="F2"/>
            <w:noWrap/>
          </w:tcPr>
          <w:p w14:paraId="59C18F89" w14:textId="435D1E98" w:rsidR="00A62FB0" w:rsidRPr="003924B0" w:rsidRDefault="008C514C" w:rsidP="005F1CCD">
            <w:pPr>
              <w:pStyle w:val="TableText"/>
              <w:rPr>
                <w:sz w:val="21"/>
                <w:szCs w:val="21"/>
              </w:rPr>
            </w:pPr>
            <w:r w:rsidRPr="003924B0">
              <w:rPr>
                <w:sz w:val="21"/>
                <w:szCs w:val="21"/>
              </w:rPr>
              <w:t>BAFO</w:t>
            </w:r>
            <w:r w:rsidR="00A62FB0" w:rsidRPr="003924B0">
              <w:rPr>
                <w:sz w:val="21"/>
                <w:szCs w:val="21"/>
              </w:rPr>
              <w:t xml:space="preserve"> </w:t>
            </w:r>
            <w:r w:rsidR="00395152" w:rsidRPr="003924B0">
              <w:rPr>
                <w:sz w:val="21"/>
                <w:szCs w:val="21"/>
              </w:rPr>
              <w:t xml:space="preserve">Responses </w:t>
            </w:r>
            <w:r w:rsidR="00A62FB0" w:rsidRPr="003924B0">
              <w:rPr>
                <w:sz w:val="21"/>
                <w:szCs w:val="21"/>
              </w:rPr>
              <w:t>Due</w:t>
            </w:r>
            <w:r w:rsidR="00395152" w:rsidRPr="003924B0">
              <w:rPr>
                <w:sz w:val="21"/>
                <w:szCs w:val="21"/>
              </w:rPr>
              <w:t xml:space="preserve"> from Bidders</w:t>
            </w:r>
          </w:p>
        </w:tc>
        <w:tc>
          <w:tcPr>
            <w:tcW w:w="3420" w:type="dxa"/>
            <w:shd w:val="clear" w:color="auto" w:fill="F2F2F2" w:themeFill="background1" w:themeFillShade="F2"/>
          </w:tcPr>
          <w:p w14:paraId="71AC50A2" w14:textId="20AA5655" w:rsidR="00A62FB0" w:rsidRPr="003924B0" w:rsidRDefault="00D75B24" w:rsidP="005F1CCD">
            <w:pPr>
              <w:pStyle w:val="TableBullet1"/>
              <w:numPr>
                <w:ilvl w:val="0"/>
                <w:numId w:val="0"/>
              </w:numPr>
              <w:rPr>
                <w:sz w:val="21"/>
                <w:szCs w:val="21"/>
              </w:rPr>
            </w:pPr>
            <w:r w:rsidRPr="003924B0">
              <w:rPr>
                <w:sz w:val="21"/>
                <w:szCs w:val="21"/>
              </w:rPr>
              <w:t>Wednes</w:t>
            </w:r>
            <w:r w:rsidR="00E23102" w:rsidRPr="003924B0">
              <w:rPr>
                <w:sz w:val="21"/>
                <w:szCs w:val="21"/>
              </w:rPr>
              <w:t>day</w:t>
            </w:r>
            <w:r w:rsidR="0017027B" w:rsidRPr="003924B0">
              <w:rPr>
                <w:sz w:val="21"/>
                <w:szCs w:val="21"/>
              </w:rPr>
              <w:t xml:space="preserve">, </w:t>
            </w:r>
            <w:r w:rsidRPr="003924B0">
              <w:rPr>
                <w:sz w:val="21"/>
                <w:szCs w:val="21"/>
              </w:rPr>
              <w:t>January 29</w:t>
            </w:r>
            <w:r w:rsidR="0017027B" w:rsidRPr="003924B0">
              <w:rPr>
                <w:sz w:val="21"/>
                <w:szCs w:val="21"/>
              </w:rPr>
              <w:t>, 202</w:t>
            </w:r>
            <w:r w:rsidR="00E23102" w:rsidRPr="003924B0">
              <w:rPr>
                <w:sz w:val="21"/>
                <w:szCs w:val="21"/>
              </w:rPr>
              <w:t>5</w:t>
            </w:r>
          </w:p>
        </w:tc>
      </w:tr>
    </w:tbl>
    <w:p w14:paraId="67EA3F0D" w14:textId="77777777" w:rsidR="003924B0" w:rsidRDefault="003924B0" w:rsidP="00C24FE5">
      <w:pPr>
        <w:pStyle w:val="Heading2"/>
        <w:spacing w:before="360" w:after="60" w:line="240" w:lineRule="auto"/>
        <w:contextualSpacing/>
        <w:rPr>
          <w:rFonts w:ascii="Century Gothic" w:eastAsia="Times New Roman" w:hAnsi="Century Gothic" w:cs="Arial"/>
          <w:b/>
          <w:bCs/>
          <w:color w:val="417A84"/>
          <w:sz w:val="24"/>
        </w:rPr>
      </w:pPr>
    </w:p>
    <w:p w14:paraId="4E1DB099" w14:textId="5A3CC1F8" w:rsidR="00875353" w:rsidRPr="00C24FE5" w:rsidRDefault="008C514C" w:rsidP="00C24FE5">
      <w:pPr>
        <w:pStyle w:val="Heading2"/>
        <w:spacing w:before="360" w:after="60" w:line="240" w:lineRule="auto"/>
        <w:contextualSpacing/>
        <w:rPr>
          <w:rFonts w:ascii="Century Gothic" w:eastAsia="Times New Roman" w:hAnsi="Century Gothic" w:cs="Arial"/>
          <w:b/>
          <w:bCs/>
          <w:color w:val="417A84"/>
          <w:sz w:val="24"/>
        </w:rPr>
      </w:pPr>
      <w:r w:rsidRPr="00C24FE5">
        <w:rPr>
          <w:rFonts w:ascii="Century Gothic" w:eastAsia="Times New Roman" w:hAnsi="Century Gothic" w:cs="Arial"/>
          <w:b/>
          <w:bCs/>
          <w:color w:val="417A84"/>
          <w:sz w:val="24"/>
        </w:rPr>
        <w:t>BAFO</w:t>
      </w:r>
      <w:r w:rsidR="00FC64A8" w:rsidRPr="00C24FE5">
        <w:rPr>
          <w:rFonts w:ascii="Century Gothic" w:eastAsia="Times New Roman" w:hAnsi="Century Gothic" w:cs="Arial"/>
          <w:b/>
          <w:bCs/>
          <w:color w:val="417A84"/>
          <w:sz w:val="24"/>
        </w:rPr>
        <w:t xml:space="preserve"> Content</w:t>
      </w:r>
    </w:p>
    <w:p w14:paraId="49EBF523" w14:textId="77777777" w:rsidR="009F3AC7" w:rsidRDefault="00AF300D" w:rsidP="00C24FE5">
      <w:pPr>
        <w:rPr>
          <w:rFonts w:ascii="Century Gothic" w:hAnsi="Century Gothic"/>
        </w:rPr>
      </w:pPr>
      <w:r w:rsidRPr="00EB123B">
        <w:rPr>
          <w:rFonts w:ascii="Century Gothic" w:hAnsi="Century Gothic"/>
        </w:rPr>
        <w:t xml:space="preserve">This </w:t>
      </w:r>
      <w:r w:rsidR="008C514C" w:rsidRPr="00EB123B">
        <w:rPr>
          <w:rFonts w:ascii="Century Gothic" w:hAnsi="Century Gothic"/>
        </w:rPr>
        <w:t>BAFO</w:t>
      </w:r>
      <w:r w:rsidR="002C4B29" w:rsidRPr="00EB123B">
        <w:rPr>
          <w:rFonts w:ascii="Century Gothic" w:hAnsi="Century Gothic"/>
        </w:rPr>
        <w:t xml:space="preserve"> </w:t>
      </w:r>
      <w:r w:rsidRPr="00EB123B">
        <w:rPr>
          <w:rFonts w:ascii="Century Gothic" w:hAnsi="Century Gothic"/>
        </w:rPr>
        <w:t xml:space="preserve">is comprised of </w:t>
      </w:r>
      <w:r w:rsidR="003F59DD" w:rsidRPr="00EB123B">
        <w:rPr>
          <w:rFonts w:ascii="Century Gothic" w:hAnsi="Century Gothic"/>
        </w:rPr>
        <w:t xml:space="preserve">the </w:t>
      </w:r>
      <w:r w:rsidR="009F3AC7">
        <w:rPr>
          <w:rFonts w:ascii="Century Gothic" w:hAnsi="Century Gothic"/>
        </w:rPr>
        <w:t>following RFP Attachments:</w:t>
      </w:r>
      <w:r w:rsidR="008E3FDC" w:rsidRPr="00EB123B">
        <w:rPr>
          <w:rFonts w:ascii="Century Gothic" w:hAnsi="Century Gothic"/>
        </w:rPr>
        <w:t xml:space="preserve"> </w:t>
      </w:r>
    </w:p>
    <w:p w14:paraId="3457A4BC" w14:textId="43C44A99" w:rsidR="00AF300D" w:rsidRDefault="009F3AC7" w:rsidP="009F3AC7">
      <w:pPr>
        <w:pStyle w:val="ListParagraph"/>
        <w:numPr>
          <w:ilvl w:val="0"/>
          <w:numId w:val="11"/>
        </w:numPr>
        <w:rPr>
          <w:rFonts w:ascii="Century Gothic" w:hAnsi="Century Gothic"/>
        </w:rPr>
      </w:pPr>
      <w:r>
        <w:rPr>
          <w:rFonts w:ascii="Century Gothic" w:hAnsi="Century Gothic"/>
        </w:rPr>
        <w:t>Attachment 5 –</w:t>
      </w:r>
      <w:r w:rsidR="0093026E">
        <w:rPr>
          <w:rFonts w:ascii="Century Gothic" w:hAnsi="Century Gothic"/>
        </w:rPr>
        <w:t xml:space="preserve"> </w:t>
      </w:r>
      <w:r w:rsidR="008E3FDC" w:rsidRPr="00EB123B">
        <w:rPr>
          <w:rFonts w:ascii="Century Gothic" w:hAnsi="Century Gothic"/>
        </w:rPr>
        <w:t>Price Proposal Schedules</w:t>
      </w:r>
      <w:r w:rsidR="00483333">
        <w:rPr>
          <w:rFonts w:ascii="Century Gothic" w:hAnsi="Century Gothic"/>
        </w:rPr>
        <w:t xml:space="preserve"> </w:t>
      </w:r>
    </w:p>
    <w:p w14:paraId="3E42E3C3" w14:textId="24004473" w:rsidR="00BF5FFC" w:rsidRPr="003924B0" w:rsidRDefault="009F3AC7" w:rsidP="008F2BFF">
      <w:pPr>
        <w:pStyle w:val="ListParagraph"/>
        <w:numPr>
          <w:ilvl w:val="0"/>
          <w:numId w:val="11"/>
        </w:numPr>
        <w:rPr>
          <w:rFonts w:ascii="Century Gothic" w:hAnsi="Century Gothic"/>
        </w:rPr>
      </w:pPr>
      <w:r w:rsidRPr="003924B0">
        <w:rPr>
          <w:rFonts w:ascii="Century Gothic" w:hAnsi="Century Gothic"/>
        </w:rPr>
        <w:t>Attachment 6 – BenefitsCal Agreement</w:t>
      </w:r>
      <w:r w:rsidR="00BF5FFC" w:rsidRPr="003924B0">
        <w:rPr>
          <w:rFonts w:ascii="Century Gothic" w:hAnsi="Century Gothic"/>
        </w:rPr>
        <w:t xml:space="preserve"> </w:t>
      </w:r>
    </w:p>
    <w:p w14:paraId="3BDA2119" w14:textId="0CD0DD3E" w:rsidR="00BF5FFC" w:rsidRPr="00BF5FFC" w:rsidRDefault="00BF5FFC" w:rsidP="00BF5FFC">
      <w:pPr>
        <w:rPr>
          <w:rFonts w:ascii="Century Gothic" w:hAnsi="Century Gothic"/>
        </w:rPr>
      </w:pPr>
      <w:r w:rsidRPr="00BF5FFC">
        <w:rPr>
          <w:rFonts w:ascii="Century Gothic" w:hAnsi="Century Gothic"/>
        </w:rPr>
        <w:t>RFP Attachment A5 –</w:t>
      </w:r>
      <w:r w:rsidR="0093026E">
        <w:rPr>
          <w:rFonts w:ascii="Century Gothic" w:hAnsi="Century Gothic"/>
        </w:rPr>
        <w:t xml:space="preserve"> </w:t>
      </w:r>
      <w:r w:rsidRPr="00BF5FFC">
        <w:rPr>
          <w:rFonts w:ascii="Century Gothic" w:hAnsi="Century Gothic"/>
        </w:rPr>
        <w:t xml:space="preserve">Price Proposal Schedules has been revised as follows:  </w:t>
      </w:r>
    </w:p>
    <w:p w14:paraId="69E60358" w14:textId="53679932" w:rsidR="001225DE" w:rsidRDefault="001225DE" w:rsidP="00BF5FFC">
      <w:pPr>
        <w:pStyle w:val="ListParagraph"/>
        <w:numPr>
          <w:ilvl w:val="0"/>
          <w:numId w:val="11"/>
        </w:numPr>
        <w:rPr>
          <w:rFonts w:ascii="Century Gothic" w:hAnsi="Century Gothic"/>
        </w:rPr>
      </w:pPr>
      <w:r>
        <w:rPr>
          <w:rFonts w:ascii="Century Gothic" w:hAnsi="Century Gothic"/>
        </w:rPr>
        <w:t xml:space="preserve">Schedule 2 – Deliverables: A double asterisk indicator has been added to Deliverable D14 to designate the </w:t>
      </w:r>
      <w:r w:rsidR="007B5F21">
        <w:rPr>
          <w:rFonts w:ascii="Century Gothic" w:hAnsi="Century Gothic"/>
        </w:rPr>
        <w:t>first approved</w:t>
      </w:r>
      <w:r>
        <w:rPr>
          <w:rFonts w:ascii="Century Gothic" w:hAnsi="Century Gothic"/>
        </w:rPr>
        <w:t xml:space="preserve"> submission</w:t>
      </w:r>
      <w:r w:rsidR="007B5F21">
        <w:rPr>
          <w:rFonts w:ascii="Century Gothic" w:hAnsi="Century Gothic"/>
        </w:rPr>
        <w:t xml:space="preserve"> as the only payment point for the monthly recurring Deliverable</w:t>
      </w:r>
      <w:r>
        <w:rPr>
          <w:rFonts w:ascii="Century Gothic" w:hAnsi="Century Gothic"/>
        </w:rPr>
        <w:t>.</w:t>
      </w:r>
    </w:p>
    <w:p w14:paraId="3A349612" w14:textId="2F634B53" w:rsidR="00BF5FFC" w:rsidRPr="00BF5FFC" w:rsidRDefault="00BF5FFC" w:rsidP="00BF5FFC">
      <w:pPr>
        <w:pStyle w:val="ListParagraph"/>
        <w:numPr>
          <w:ilvl w:val="0"/>
          <w:numId w:val="11"/>
        </w:numPr>
        <w:rPr>
          <w:rFonts w:ascii="Century Gothic" w:hAnsi="Century Gothic"/>
        </w:rPr>
      </w:pPr>
      <w:r w:rsidRPr="63B1A0EE">
        <w:rPr>
          <w:rFonts w:ascii="Century Gothic" w:hAnsi="Century Gothic"/>
        </w:rPr>
        <w:t>Schedule 4 – BenefitsCal Software Price</w:t>
      </w:r>
      <w:r w:rsidR="00A14443" w:rsidRPr="63B1A0EE">
        <w:rPr>
          <w:rFonts w:ascii="Century Gothic" w:hAnsi="Century Gothic"/>
        </w:rPr>
        <w:t>:</w:t>
      </w:r>
      <w:r w:rsidRPr="63B1A0EE">
        <w:rPr>
          <w:rFonts w:ascii="Century Gothic" w:hAnsi="Century Gothic"/>
        </w:rPr>
        <w:t xml:space="preserve"> reflects the latest software inventory as described in the most recent BenefitsCal Bill of Materials (BOM), located in the BenefitsCal M&amp;O Procurement Library</w:t>
      </w:r>
      <w:r w:rsidR="00CE3AC1" w:rsidRPr="63B1A0EE">
        <w:rPr>
          <w:rFonts w:ascii="Century Gothic" w:hAnsi="Century Gothic"/>
        </w:rPr>
        <w:t xml:space="preserve"> </w:t>
      </w:r>
      <w:r w:rsidR="3A0F2F8B" w:rsidRPr="63B1A0EE">
        <w:rPr>
          <w:rFonts w:ascii="Century Gothic" w:hAnsi="Century Gothic"/>
        </w:rPr>
        <w:t xml:space="preserve">via </w:t>
      </w:r>
      <w:hyperlink r:id="rId13">
        <w:r w:rsidR="00CE3AC1" w:rsidRPr="63B1A0EE">
          <w:rPr>
            <w:rStyle w:val="Hyperlink"/>
            <w:rFonts w:ascii="Century Gothic" w:hAnsi="Century Gothic"/>
          </w:rPr>
          <w:t>BenefitsCal M&amp;O Procurement Library</w:t>
        </w:r>
      </w:hyperlink>
      <w:r w:rsidR="001D5299">
        <w:rPr>
          <w:rStyle w:val="Hyperlink"/>
          <w:rFonts w:ascii="Century Gothic" w:hAnsi="Century Gothic"/>
          <w:color w:val="auto"/>
          <w:u w:val="none"/>
        </w:rPr>
        <w:t xml:space="preserve">. </w:t>
      </w:r>
    </w:p>
    <w:p w14:paraId="56DF5BB4" w14:textId="62580762" w:rsidR="00330A29" w:rsidRPr="00330A29" w:rsidRDefault="00330A29" w:rsidP="00330A29">
      <w:pPr>
        <w:pStyle w:val="ListParagraph"/>
        <w:numPr>
          <w:ilvl w:val="0"/>
          <w:numId w:val="11"/>
        </w:numPr>
        <w:rPr>
          <w:rFonts w:ascii="Century Gothic" w:hAnsi="Century Gothic"/>
        </w:rPr>
      </w:pPr>
      <w:r>
        <w:rPr>
          <w:rFonts w:ascii="Century Gothic" w:hAnsi="Century Gothic"/>
        </w:rPr>
        <w:t>Schedule 6 – Staff Loading: t</w:t>
      </w:r>
      <w:r w:rsidRPr="00BF5FFC">
        <w:rPr>
          <w:rFonts w:ascii="Century Gothic" w:hAnsi="Century Gothic"/>
        </w:rPr>
        <w:t xml:space="preserve">he formulas for the </w:t>
      </w:r>
      <w:r>
        <w:rPr>
          <w:rFonts w:ascii="Century Gothic" w:hAnsi="Century Gothic"/>
        </w:rPr>
        <w:t>Total Hours and Total Price columns</w:t>
      </w:r>
      <w:r w:rsidRPr="00BF5FFC">
        <w:rPr>
          <w:rFonts w:ascii="Century Gothic" w:hAnsi="Century Gothic"/>
        </w:rPr>
        <w:t xml:space="preserve"> </w:t>
      </w:r>
      <w:r>
        <w:rPr>
          <w:rFonts w:ascii="Century Gothic" w:hAnsi="Century Gothic"/>
        </w:rPr>
        <w:t>h</w:t>
      </w:r>
      <w:r w:rsidRPr="00BF5FFC">
        <w:rPr>
          <w:rFonts w:ascii="Century Gothic" w:hAnsi="Century Gothic"/>
        </w:rPr>
        <w:t>ave been updated</w:t>
      </w:r>
      <w:r>
        <w:rPr>
          <w:rFonts w:ascii="Century Gothic" w:hAnsi="Century Gothic"/>
        </w:rPr>
        <w:t xml:space="preserve"> for the SCR Training/OCM Key Task block</w:t>
      </w:r>
      <w:r w:rsidRPr="00BF5FFC">
        <w:rPr>
          <w:rFonts w:ascii="Century Gothic" w:hAnsi="Century Gothic"/>
        </w:rPr>
        <w:t>.</w:t>
      </w:r>
    </w:p>
    <w:p w14:paraId="0E6E1027" w14:textId="65144D1E" w:rsidR="00BF5FFC" w:rsidRDefault="00BF5FFC" w:rsidP="00BF5FFC">
      <w:pPr>
        <w:pStyle w:val="ListParagraph"/>
        <w:numPr>
          <w:ilvl w:val="0"/>
          <w:numId w:val="11"/>
        </w:numPr>
        <w:rPr>
          <w:rFonts w:ascii="Century Gothic" w:hAnsi="Century Gothic"/>
        </w:rPr>
      </w:pPr>
      <w:r>
        <w:rPr>
          <w:rFonts w:ascii="Century Gothic" w:hAnsi="Century Gothic"/>
        </w:rPr>
        <w:t xml:space="preserve">Schedule 6.6 </w:t>
      </w:r>
      <w:r w:rsidR="00A14443">
        <w:rPr>
          <w:rFonts w:ascii="Century Gothic" w:hAnsi="Century Gothic"/>
        </w:rPr>
        <w:t xml:space="preserve">– </w:t>
      </w:r>
      <w:r>
        <w:rPr>
          <w:rFonts w:ascii="Century Gothic" w:hAnsi="Century Gothic"/>
        </w:rPr>
        <w:t>Base Year 6 Staff Loading</w:t>
      </w:r>
      <w:r w:rsidR="00A14443">
        <w:rPr>
          <w:rFonts w:ascii="Century Gothic" w:hAnsi="Century Gothic"/>
        </w:rPr>
        <w:t xml:space="preserve">: </w:t>
      </w:r>
      <w:r>
        <w:rPr>
          <w:rFonts w:ascii="Century Gothic" w:hAnsi="Century Gothic"/>
        </w:rPr>
        <w:t>t</w:t>
      </w:r>
      <w:r w:rsidRPr="00BF5FFC">
        <w:rPr>
          <w:rFonts w:ascii="Century Gothic" w:hAnsi="Century Gothic"/>
        </w:rPr>
        <w:t xml:space="preserve">he formulas for the SCR subtotal row </w:t>
      </w:r>
      <w:r w:rsidR="00A14443">
        <w:rPr>
          <w:rFonts w:ascii="Century Gothic" w:hAnsi="Century Gothic"/>
        </w:rPr>
        <w:t>h</w:t>
      </w:r>
      <w:r w:rsidRPr="00BF5FFC">
        <w:rPr>
          <w:rFonts w:ascii="Century Gothic" w:hAnsi="Century Gothic"/>
        </w:rPr>
        <w:t>ave been updated.</w:t>
      </w:r>
    </w:p>
    <w:p w14:paraId="05CE8550" w14:textId="74191935" w:rsidR="00A14443" w:rsidRPr="00BF5FFC" w:rsidRDefault="00A14443" w:rsidP="00BF5FFC">
      <w:pPr>
        <w:pStyle w:val="ListParagraph"/>
        <w:numPr>
          <w:ilvl w:val="0"/>
          <w:numId w:val="11"/>
        </w:numPr>
        <w:rPr>
          <w:rFonts w:ascii="Century Gothic" w:hAnsi="Century Gothic"/>
        </w:rPr>
      </w:pPr>
      <w:r>
        <w:rPr>
          <w:rFonts w:ascii="Century Gothic" w:hAnsi="Century Gothic"/>
        </w:rPr>
        <w:t>Schedule 7.2 – BenefitsCal Optional Extension Year 2: the formulas which link to Schedule 7.1 for the Other Price category have been revised.</w:t>
      </w:r>
    </w:p>
    <w:p w14:paraId="670C2081" w14:textId="027ED139" w:rsidR="00C66516" w:rsidRPr="00875353" w:rsidRDefault="00C66516" w:rsidP="00CE3AC1">
      <w:pPr>
        <w:pStyle w:val="Heading3"/>
        <w:numPr>
          <w:ilvl w:val="0"/>
          <w:numId w:val="0"/>
        </w:numPr>
        <w:pBdr>
          <w:bottom w:val="none" w:sz="0" w:space="0" w:color="auto"/>
        </w:pBdr>
        <w:rPr>
          <w:color w:val="417A84"/>
          <w:szCs w:val="24"/>
        </w:rPr>
      </w:pPr>
      <w:r w:rsidRPr="00875353">
        <w:rPr>
          <w:color w:val="417A84"/>
          <w:szCs w:val="24"/>
        </w:rPr>
        <w:t xml:space="preserve">Volume </w:t>
      </w:r>
      <w:r w:rsidR="0077624E" w:rsidRPr="00875353">
        <w:rPr>
          <w:color w:val="417A84"/>
          <w:szCs w:val="24"/>
        </w:rPr>
        <w:t xml:space="preserve">2 </w:t>
      </w:r>
      <w:r w:rsidRPr="00875353">
        <w:rPr>
          <w:color w:val="417A84"/>
          <w:szCs w:val="24"/>
        </w:rPr>
        <w:t xml:space="preserve">– </w:t>
      </w:r>
      <w:r w:rsidR="00411A0E" w:rsidRPr="00875353">
        <w:rPr>
          <w:color w:val="417A84"/>
          <w:szCs w:val="24"/>
        </w:rPr>
        <w:t>B</w:t>
      </w:r>
      <w:r w:rsidRPr="00875353">
        <w:rPr>
          <w:color w:val="417A84"/>
          <w:szCs w:val="24"/>
        </w:rPr>
        <w:t xml:space="preserve">AFO </w:t>
      </w:r>
      <w:r w:rsidR="009F3AC7">
        <w:rPr>
          <w:color w:val="417A84"/>
          <w:szCs w:val="24"/>
        </w:rPr>
        <w:t>Response</w:t>
      </w:r>
    </w:p>
    <w:p w14:paraId="40030813" w14:textId="51A01D48" w:rsidR="009F3AC7" w:rsidRDefault="009F3AC7" w:rsidP="009F3AC7">
      <w:pPr>
        <w:rPr>
          <w:rFonts w:ascii="Century Gothic" w:hAnsi="Century Gothic"/>
        </w:rPr>
      </w:pPr>
      <w:r w:rsidRPr="461AFA19">
        <w:rPr>
          <w:rFonts w:ascii="Century Gothic" w:hAnsi="Century Gothic"/>
        </w:rPr>
        <w:t xml:space="preserve">In response to this BAFO, Bidders must submit an updated version of Attachment 5 – Price Proposal Schedules. </w:t>
      </w:r>
    </w:p>
    <w:p w14:paraId="2BEC5130" w14:textId="3DF7B1FF" w:rsidR="0093026E" w:rsidRDefault="0093026E" w:rsidP="009F3AC7">
      <w:pPr>
        <w:rPr>
          <w:rFonts w:ascii="Century Gothic" w:hAnsi="Century Gothic"/>
        </w:rPr>
      </w:pPr>
      <w:r>
        <w:rPr>
          <w:rFonts w:ascii="Century Gothic" w:hAnsi="Century Gothic"/>
        </w:rPr>
        <w:t>Bidders should document assumptions for any increase in the number of licenses for required software.</w:t>
      </w:r>
      <w:r w:rsidR="002B7684">
        <w:rPr>
          <w:rFonts w:ascii="Century Gothic" w:hAnsi="Century Gothic"/>
        </w:rPr>
        <w:t xml:space="preserve">  </w:t>
      </w:r>
      <w:r w:rsidR="00673BE9">
        <w:rPr>
          <w:rFonts w:ascii="Century Gothic" w:hAnsi="Century Gothic"/>
        </w:rPr>
        <w:t>Reductions in the number of licenses are not permitted.</w:t>
      </w:r>
    </w:p>
    <w:p w14:paraId="2A8F4766" w14:textId="1D77A252" w:rsidR="00BA3E46" w:rsidRDefault="00BA3E46" w:rsidP="009F3AC7">
      <w:pPr>
        <w:rPr>
          <w:rFonts w:ascii="Century Gothic" w:hAnsi="Century Gothic"/>
        </w:rPr>
      </w:pPr>
      <w:r>
        <w:rPr>
          <w:rFonts w:ascii="Century Gothic" w:hAnsi="Century Gothic"/>
        </w:rPr>
        <w:t>Bidders should elaborate on price assumptions associated with language translations.</w:t>
      </w:r>
    </w:p>
    <w:p w14:paraId="6D6760BC" w14:textId="389CFDE7" w:rsidR="00BF5FFC" w:rsidRDefault="00BF5FFC" w:rsidP="00BF5FFC">
      <w:pPr>
        <w:rPr>
          <w:rFonts w:ascii="Century Gothic" w:hAnsi="Century Gothic"/>
        </w:rPr>
      </w:pPr>
      <w:r>
        <w:rPr>
          <w:rFonts w:ascii="Century Gothic" w:hAnsi="Century Gothic"/>
        </w:rPr>
        <w:t xml:space="preserve">Bidders should take care to ensure that minimum threshold hours defined in the RFP are maintained and that the ability to deliver the required scope of work and all requirements </w:t>
      </w:r>
      <w:r w:rsidR="00660140">
        <w:rPr>
          <w:rFonts w:ascii="Century Gothic" w:hAnsi="Century Gothic"/>
        </w:rPr>
        <w:t>are</w:t>
      </w:r>
      <w:r>
        <w:rPr>
          <w:rFonts w:ascii="Century Gothic" w:hAnsi="Century Gothic"/>
        </w:rPr>
        <w:t xml:space="preserve"> not negatively impacted by a</w:t>
      </w:r>
      <w:r w:rsidR="00483333">
        <w:rPr>
          <w:rFonts w:ascii="Century Gothic" w:hAnsi="Century Gothic"/>
        </w:rPr>
        <w:t>ny</w:t>
      </w:r>
      <w:r>
        <w:rPr>
          <w:rFonts w:ascii="Century Gothic" w:hAnsi="Century Gothic"/>
        </w:rPr>
        <w:t xml:space="preserve"> reduction in hours.</w:t>
      </w:r>
    </w:p>
    <w:p w14:paraId="2ACE1B88" w14:textId="7DC39A10" w:rsidR="009F3AC7" w:rsidRPr="00EB123B" w:rsidRDefault="009F3AC7" w:rsidP="0095609F">
      <w:pPr>
        <w:rPr>
          <w:rFonts w:ascii="Century Gothic" w:hAnsi="Century Gothic"/>
        </w:rPr>
      </w:pPr>
      <w:r w:rsidRPr="009F3AC7">
        <w:rPr>
          <w:rFonts w:ascii="Century Gothic" w:hAnsi="Century Gothic"/>
        </w:rPr>
        <w:t>Based on the Agreement revisions resulting from the Agreement Exception Discussions</w:t>
      </w:r>
      <w:r>
        <w:rPr>
          <w:rFonts w:ascii="Century Gothic" w:hAnsi="Century Gothic"/>
        </w:rPr>
        <w:t xml:space="preserve"> on December 16, 2024</w:t>
      </w:r>
      <w:r w:rsidRPr="009F3AC7">
        <w:rPr>
          <w:rFonts w:ascii="Century Gothic" w:hAnsi="Century Gothic"/>
        </w:rPr>
        <w:t xml:space="preserve">, Bidder risk profiles are lower as compared to </w:t>
      </w:r>
      <w:r w:rsidR="00483333">
        <w:rPr>
          <w:rFonts w:ascii="Century Gothic" w:hAnsi="Century Gothic"/>
        </w:rPr>
        <w:t xml:space="preserve">the initial </w:t>
      </w:r>
      <w:r w:rsidRPr="009F3AC7">
        <w:rPr>
          <w:rFonts w:ascii="Century Gothic" w:hAnsi="Century Gothic"/>
        </w:rPr>
        <w:t>proposal submission.  Therefore, the Consortium expects Bidders to reflect that reduced risk in their BAFO Price Proposals.</w:t>
      </w:r>
    </w:p>
    <w:p w14:paraId="5C67364E" w14:textId="2E20D4C1" w:rsidR="00B54B87" w:rsidRPr="003A25D9" w:rsidRDefault="002B0D0B" w:rsidP="003A25D9">
      <w:pPr>
        <w:pStyle w:val="Heading3"/>
        <w:numPr>
          <w:ilvl w:val="0"/>
          <w:numId w:val="0"/>
        </w:numPr>
        <w:pBdr>
          <w:bottom w:val="none" w:sz="0" w:space="0" w:color="auto"/>
        </w:pBdr>
        <w:rPr>
          <w:color w:val="417A84"/>
          <w:szCs w:val="24"/>
        </w:rPr>
      </w:pPr>
      <w:r w:rsidRPr="003A25D9">
        <w:rPr>
          <w:color w:val="417A84"/>
          <w:szCs w:val="24"/>
        </w:rPr>
        <w:t>BAFO Scoring</w:t>
      </w:r>
    </w:p>
    <w:p w14:paraId="23DCD994" w14:textId="307B5F88" w:rsidR="00AA63F4" w:rsidRPr="00EB123B" w:rsidRDefault="008C712B" w:rsidP="002261F1">
      <w:pPr>
        <w:rPr>
          <w:rFonts w:ascii="Century Gothic" w:hAnsi="Century Gothic"/>
        </w:rPr>
      </w:pPr>
      <w:r w:rsidRPr="00EB123B">
        <w:rPr>
          <w:rFonts w:ascii="Century Gothic" w:hAnsi="Century Gothic"/>
        </w:rPr>
        <w:t>RFP Section</w:t>
      </w:r>
      <w:r w:rsidR="000C73CD" w:rsidRPr="00EB123B">
        <w:rPr>
          <w:rFonts w:ascii="Century Gothic" w:hAnsi="Century Gothic"/>
        </w:rPr>
        <w:t>s</w:t>
      </w:r>
      <w:r w:rsidRPr="00EB123B">
        <w:rPr>
          <w:rFonts w:ascii="Century Gothic" w:hAnsi="Century Gothic"/>
        </w:rPr>
        <w:t xml:space="preserve"> 8.3</w:t>
      </w:r>
      <w:r w:rsidR="005E1392" w:rsidRPr="00EB123B">
        <w:rPr>
          <w:rFonts w:ascii="Century Gothic" w:hAnsi="Century Gothic"/>
        </w:rPr>
        <w:t xml:space="preserve"> </w:t>
      </w:r>
      <w:r w:rsidR="00DC68B1" w:rsidRPr="00EB123B">
        <w:rPr>
          <w:rFonts w:ascii="Century Gothic" w:hAnsi="Century Gothic"/>
        </w:rPr>
        <w:t>Proposal</w:t>
      </w:r>
      <w:r w:rsidRPr="00EB123B">
        <w:rPr>
          <w:rFonts w:ascii="Century Gothic" w:hAnsi="Century Gothic"/>
        </w:rPr>
        <w:t xml:space="preserve"> Evaluation Methodology </w:t>
      </w:r>
      <w:r w:rsidR="000C73CD" w:rsidRPr="00EB123B">
        <w:rPr>
          <w:rFonts w:ascii="Century Gothic" w:hAnsi="Century Gothic"/>
        </w:rPr>
        <w:t xml:space="preserve">and 8.7 Evaluation of Final Proposals </w:t>
      </w:r>
      <w:r w:rsidR="00355607" w:rsidRPr="00EB123B">
        <w:rPr>
          <w:rFonts w:ascii="Century Gothic" w:hAnsi="Century Gothic"/>
        </w:rPr>
        <w:t xml:space="preserve">will be applied to the </w:t>
      </w:r>
      <w:r w:rsidR="008C514C" w:rsidRPr="00EB123B">
        <w:rPr>
          <w:rFonts w:ascii="Century Gothic" w:hAnsi="Century Gothic"/>
        </w:rPr>
        <w:t>BAFO</w:t>
      </w:r>
      <w:r w:rsidR="009224E2" w:rsidRPr="00EB123B">
        <w:rPr>
          <w:rFonts w:ascii="Century Gothic" w:hAnsi="Century Gothic"/>
        </w:rPr>
        <w:t xml:space="preserve"> </w:t>
      </w:r>
      <w:r w:rsidR="006640CE" w:rsidRPr="00EB123B">
        <w:rPr>
          <w:rFonts w:ascii="Century Gothic" w:hAnsi="Century Gothic"/>
        </w:rPr>
        <w:t>evaluation and scoring</w:t>
      </w:r>
      <w:r w:rsidR="0095609F" w:rsidRPr="00EB123B">
        <w:rPr>
          <w:rFonts w:ascii="Century Gothic" w:hAnsi="Century Gothic"/>
        </w:rPr>
        <w:t xml:space="preserve"> process.</w:t>
      </w:r>
    </w:p>
    <w:sectPr w:rsidR="00AA63F4" w:rsidRPr="00EB123B" w:rsidSect="00E07CB3">
      <w:footerReference w:type="default" r:id="rId14"/>
      <w:pgSz w:w="12240" w:h="15840"/>
      <w:pgMar w:top="1440" w:right="117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88AC" w14:textId="77777777" w:rsidR="002E56D2" w:rsidRDefault="002E56D2" w:rsidP="00902B75">
      <w:pPr>
        <w:spacing w:after="0" w:line="240" w:lineRule="auto"/>
      </w:pPr>
      <w:r>
        <w:separator/>
      </w:r>
    </w:p>
  </w:endnote>
  <w:endnote w:type="continuationSeparator" w:id="0">
    <w:p w14:paraId="3F14C020" w14:textId="77777777" w:rsidR="002E56D2" w:rsidRDefault="002E56D2" w:rsidP="00902B75">
      <w:pPr>
        <w:spacing w:after="0" w:line="240" w:lineRule="auto"/>
      </w:pPr>
      <w:r>
        <w:continuationSeparator/>
      </w:r>
    </w:p>
  </w:endnote>
  <w:endnote w:type="continuationNotice" w:id="1">
    <w:p w14:paraId="27ABBC6E" w14:textId="77777777" w:rsidR="002E56D2" w:rsidRDefault="002E5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Hiragino Kaku Gothic Std W8">
    <w:charset w:val="80"/>
    <w:family w:val="swiss"/>
    <w:pitch w:val="variable"/>
    <w:sig w:usb0="800002CF"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2F39" w14:textId="5A43FB4F" w:rsidR="003219BC" w:rsidRDefault="0018379B" w:rsidP="003262B6">
    <w:pPr>
      <w:pStyle w:val="Header"/>
    </w:pPr>
    <w:r w:rsidRPr="1AE75740">
      <w:rPr>
        <w:rFonts w:cs="Kalinga"/>
        <w:color w:val="2E74B5" w:themeColor="accent5" w:themeShade="BF"/>
      </w:rPr>
      <w:t>Cal</w:t>
    </w:r>
    <w:r w:rsidRPr="1AE75740">
      <w:rPr>
        <w:rFonts w:cs="Kalinga"/>
        <w:b/>
        <w:color w:val="2E74B5" w:themeColor="accent5" w:themeShade="BF"/>
      </w:rPr>
      <w:t xml:space="preserve">SAWS </w:t>
    </w:r>
    <w:r w:rsidRPr="1AE75740">
      <w:rPr>
        <w:rFonts w:cs="Kalinga"/>
        <w:color w:val="2E74B5" w:themeColor="accent5" w:themeShade="BF"/>
      </w:rPr>
      <w:t xml:space="preserve">| </w:t>
    </w:r>
    <w:r w:rsidR="003219BC" w:rsidRPr="003219BC">
      <w:rPr>
        <w:rFonts w:ascii="Century Gothic" w:hAnsi="Century Gothic"/>
        <w:sz w:val="18"/>
        <w:szCs w:val="18"/>
      </w:rPr>
      <w:t>BenefitsCal Maintenance &amp; Operations</w:t>
    </w:r>
    <w:r w:rsidR="003219BC" w:rsidRPr="003219BC" w:rsidDel="00F01D69">
      <w:rPr>
        <w:rFonts w:ascii="Century Gothic" w:hAnsi="Century Gothic"/>
        <w:sz w:val="18"/>
        <w:szCs w:val="18"/>
      </w:rPr>
      <w:t xml:space="preserve"> </w:t>
    </w:r>
    <w:r w:rsidR="003219BC" w:rsidRPr="003219BC">
      <w:rPr>
        <w:rFonts w:ascii="Century Gothic" w:hAnsi="Century Gothic"/>
        <w:sz w:val="18"/>
        <w:szCs w:val="18"/>
      </w:rPr>
      <w:t xml:space="preserve">RFP 01-2024 Best and Final Offer </w:t>
    </w:r>
    <w:r w:rsidR="003262B6">
      <w:rPr>
        <w:rFonts w:ascii="Century Gothic" w:hAnsi="Century Gothic"/>
        <w:sz w:val="18"/>
        <w:szCs w:val="18"/>
      </w:rPr>
      <w:tab/>
    </w:r>
    <w:sdt>
      <w:sdtPr>
        <w:id w:val="-1389875196"/>
        <w:docPartObj>
          <w:docPartGallery w:val="Page Numbers (Bottom of Page)"/>
          <w:docPartUnique/>
        </w:docPartObj>
      </w:sdtPr>
      <w:sdtEndPr>
        <w:rPr>
          <w:noProof/>
        </w:rPr>
      </w:sdtEndPr>
      <w:sdtContent>
        <w:r w:rsidR="003219BC" w:rsidRPr="00C264A1">
          <w:rPr>
            <w:rFonts w:ascii="Century Gothic" w:eastAsia="Hiragino Kaku Gothic Std W8" w:hAnsi="Century Gothic" w:cs="Times New Roman"/>
            <w:noProof/>
            <w:color w:val="2E74B5" w:themeColor="accent5" w:themeShade="BF"/>
            <w:sz w:val="24"/>
            <w:szCs w:val="24"/>
          </w:rPr>
          <w:fldChar w:fldCharType="begin"/>
        </w:r>
        <w:r w:rsidR="003219BC" w:rsidRPr="00C264A1">
          <w:rPr>
            <w:rFonts w:ascii="Century Gothic" w:eastAsia="Hiragino Kaku Gothic Std W8" w:hAnsi="Century Gothic" w:cs="Times New Roman"/>
            <w:noProof/>
            <w:color w:val="2E74B5" w:themeColor="accent5" w:themeShade="BF"/>
            <w:sz w:val="24"/>
            <w:szCs w:val="24"/>
          </w:rPr>
          <w:instrText xml:space="preserve"> PAGE   \* MERGEFORMAT </w:instrText>
        </w:r>
        <w:r w:rsidR="003219BC" w:rsidRPr="00C264A1">
          <w:rPr>
            <w:rFonts w:ascii="Century Gothic" w:eastAsia="Hiragino Kaku Gothic Std W8" w:hAnsi="Century Gothic" w:cs="Times New Roman"/>
            <w:noProof/>
            <w:color w:val="2E74B5" w:themeColor="accent5" w:themeShade="BF"/>
            <w:sz w:val="24"/>
            <w:szCs w:val="24"/>
          </w:rPr>
          <w:fldChar w:fldCharType="separate"/>
        </w:r>
        <w:r w:rsidR="003219BC" w:rsidRPr="00C264A1">
          <w:rPr>
            <w:rFonts w:ascii="Century Gothic" w:eastAsia="Hiragino Kaku Gothic Std W8" w:hAnsi="Century Gothic" w:cs="Times New Roman"/>
            <w:noProof/>
            <w:color w:val="2E74B5" w:themeColor="accent5" w:themeShade="BF"/>
            <w:sz w:val="24"/>
            <w:szCs w:val="24"/>
          </w:rPr>
          <w:t>2</w:t>
        </w:r>
        <w:r w:rsidR="003219BC" w:rsidRPr="00C264A1">
          <w:rPr>
            <w:rFonts w:ascii="Century Gothic" w:eastAsia="Hiragino Kaku Gothic Std W8" w:hAnsi="Century Gothic" w:cs="Times New Roman"/>
            <w:noProof/>
            <w:color w:val="2E74B5" w:themeColor="accent5" w:themeShade="BF"/>
            <w:sz w:val="24"/>
            <w:szCs w:val="24"/>
          </w:rPr>
          <w:fldChar w:fldCharType="end"/>
        </w:r>
      </w:sdtContent>
    </w:sdt>
  </w:p>
  <w:p w14:paraId="7BD17543" w14:textId="77777777" w:rsidR="00902B75" w:rsidRDefault="00902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0A23" w14:textId="77777777" w:rsidR="002E56D2" w:rsidRDefault="002E56D2" w:rsidP="00902B75">
      <w:pPr>
        <w:spacing w:after="0" w:line="240" w:lineRule="auto"/>
      </w:pPr>
      <w:r>
        <w:separator/>
      </w:r>
    </w:p>
  </w:footnote>
  <w:footnote w:type="continuationSeparator" w:id="0">
    <w:p w14:paraId="60C07001" w14:textId="77777777" w:rsidR="002E56D2" w:rsidRDefault="002E56D2" w:rsidP="00902B75">
      <w:pPr>
        <w:spacing w:after="0" w:line="240" w:lineRule="auto"/>
      </w:pPr>
      <w:r>
        <w:continuationSeparator/>
      </w:r>
    </w:p>
  </w:footnote>
  <w:footnote w:type="continuationNotice" w:id="1">
    <w:p w14:paraId="78223AB6" w14:textId="77777777" w:rsidR="002E56D2" w:rsidRDefault="002E56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2B8E"/>
    <w:multiLevelType w:val="multilevel"/>
    <w:tmpl w:val="7AC8D39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F306F3"/>
    <w:multiLevelType w:val="hybridMultilevel"/>
    <w:tmpl w:val="F03A8414"/>
    <w:lvl w:ilvl="0" w:tplc="990865B4">
      <w:start w:val="1"/>
      <w:numFmt w:val="bullet"/>
      <w:lvlText w:val=""/>
      <w:lvlJc w:val="left"/>
      <w:pPr>
        <w:ind w:left="360" w:hanging="360"/>
      </w:pPr>
      <w:rPr>
        <w:rFonts w:ascii="Wingdings" w:hAnsi="Wingdings" w:hint="default"/>
        <w:color w:val="417A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D72341"/>
    <w:multiLevelType w:val="multilevel"/>
    <w:tmpl w:val="7AC8D39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7438CB"/>
    <w:multiLevelType w:val="multilevel"/>
    <w:tmpl w:val="F5F0ACAC"/>
    <w:lvl w:ilvl="0">
      <w:start w:val="1"/>
      <w:numFmt w:val="decimal"/>
      <w:lvlText w:val="I-U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6A383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10D0D1D"/>
    <w:multiLevelType w:val="multilevel"/>
    <w:tmpl w:val="7AC8D39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BD70B1"/>
    <w:multiLevelType w:val="hybridMultilevel"/>
    <w:tmpl w:val="DE0871F0"/>
    <w:lvl w:ilvl="0" w:tplc="9948044E">
      <w:start w:val="1"/>
      <w:numFmt w:val="decimal"/>
      <w:lvlText w:val="%1."/>
      <w:lvlJc w:val="left"/>
      <w:pPr>
        <w:ind w:left="360" w:hanging="360"/>
      </w:pPr>
      <w:rPr>
        <w:rFonts w:ascii="Century Gothic" w:hAnsi="Century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15E26"/>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52112B87"/>
    <w:multiLevelType w:val="hybridMultilevel"/>
    <w:tmpl w:val="54F0F9DA"/>
    <w:lvl w:ilvl="0" w:tplc="01C2AA04">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6C3371F"/>
    <w:multiLevelType w:val="hybridMultilevel"/>
    <w:tmpl w:val="BAB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97B80"/>
    <w:multiLevelType w:val="multilevel"/>
    <w:tmpl w:val="CD96AFA0"/>
    <w:lvl w:ilvl="0">
      <w:start w:val="1"/>
      <w:numFmt w:val="upperRoman"/>
      <w:lvlText w:val="%1."/>
      <w:lvlJc w:val="left"/>
      <w:pPr>
        <w:ind w:left="0" w:firstLine="0"/>
      </w:pPr>
      <w:rPr>
        <w:rFonts w:hint="default"/>
      </w:rPr>
    </w:lvl>
    <w:lvl w:ilvl="1">
      <w:start w:val="1"/>
      <w:numFmt w:val="upperLetter"/>
      <w:lvlText w:val="%2."/>
      <w:lvlJc w:val="left"/>
      <w:pPr>
        <w:ind w:left="720" w:hanging="720"/>
      </w:pPr>
      <w:rPr>
        <w:rFonts w:hint="default"/>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65E71924"/>
    <w:multiLevelType w:val="hybridMultilevel"/>
    <w:tmpl w:val="99780EA4"/>
    <w:lvl w:ilvl="0" w:tplc="FA203988">
      <w:start w:val="1"/>
      <w:numFmt w:val="bullet"/>
      <w:lvlText w:val=""/>
      <w:lvlJc w:val="left"/>
      <w:pPr>
        <w:ind w:left="360" w:hanging="360"/>
      </w:pPr>
      <w:rPr>
        <w:rFonts w:ascii="Wingdings" w:hAnsi="Wingdings" w:hint="default"/>
        <w:color w:val="417A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3C10CC"/>
    <w:multiLevelType w:val="hybridMultilevel"/>
    <w:tmpl w:val="957C2824"/>
    <w:lvl w:ilvl="0" w:tplc="FFFFFFFF">
      <w:start w:val="1"/>
      <w:numFmt w:val="decimal"/>
      <w:pStyle w:val="TableBullet1"/>
      <w:lvlText w:val="%1."/>
      <w:lvlJc w:val="left"/>
      <w:pPr>
        <w:ind w:left="360" w:hanging="360"/>
      </w:p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13" w15:restartNumberingAfterBreak="0">
    <w:nsid w:val="738D3A3A"/>
    <w:multiLevelType w:val="hybridMultilevel"/>
    <w:tmpl w:val="E14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03FD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294062329">
    <w:abstractNumId w:val="10"/>
  </w:num>
  <w:num w:numId="2" w16cid:durableId="1462187998">
    <w:abstractNumId w:val="13"/>
  </w:num>
  <w:num w:numId="3" w16cid:durableId="1655375212">
    <w:abstractNumId w:val="5"/>
  </w:num>
  <w:num w:numId="4" w16cid:durableId="885873455">
    <w:abstractNumId w:val="2"/>
  </w:num>
  <w:num w:numId="5" w16cid:durableId="347295413">
    <w:abstractNumId w:val="0"/>
  </w:num>
  <w:num w:numId="6" w16cid:durableId="1713463124">
    <w:abstractNumId w:val="3"/>
  </w:num>
  <w:num w:numId="7" w16cid:durableId="1958172350">
    <w:abstractNumId w:val="12"/>
  </w:num>
  <w:num w:numId="8" w16cid:durableId="1732460522">
    <w:abstractNumId w:val="7"/>
  </w:num>
  <w:num w:numId="9" w16cid:durableId="746533022">
    <w:abstractNumId w:val="8"/>
  </w:num>
  <w:num w:numId="10" w16cid:durableId="1254626129">
    <w:abstractNumId w:val="6"/>
  </w:num>
  <w:num w:numId="11" w16cid:durableId="852494915">
    <w:abstractNumId w:val="11"/>
  </w:num>
  <w:num w:numId="12" w16cid:durableId="630212591">
    <w:abstractNumId w:val="9"/>
  </w:num>
  <w:num w:numId="13" w16cid:durableId="1590962861">
    <w:abstractNumId w:val="14"/>
  </w:num>
  <w:num w:numId="14" w16cid:durableId="1480808512">
    <w:abstractNumId w:val="4"/>
  </w:num>
  <w:num w:numId="15" w16cid:durableId="883905912">
    <w:abstractNumId w:val="1"/>
  </w:num>
  <w:num w:numId="16" w16cid:durableId="259804022">
    <w:abstractNumId w:val="10"/>
  </w:num>
  <w:num w:numId="17" w16cid:durableId="288435126">
    <w:abstractNumId w:val="10"/>
  </w:num>
  <w:num w:numId="18" w16cid:durableId="389305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F4"/>
    <w:rsid w:val="00001114"/>
    <w:rsid w:val="0001750E"/>
    <w:rsid w:val="00035903"/>
    <w:rsid w:val="00041C66"/>
    <w:rsid w:val="00041F03"/>
    <w:rsid w:val="00042808"/>
    <w:rsid w:val="000609ED"/>
    <w:rsid w:val="00070634"/>
    <w:rsid w:val="000714B8"/>
    <w:rsid w:val="000725CC"/>
    <w:rsid w:val="000754D6"/>
    <w:rsid w:val="00077DDD"/>
    <w:rsid w:val="00081B67"/>
    <w:rsid w:val="000835F9"/>
    <w:rsid w:val="00083E98"/>
    <w:rsid w:val="000939FA"/>
    <w:rsid w:val="00097FE7"/>
    <w:rsid w:val="000A0BE2"/>
    <w:rsid w:val="000A2960"/>
    <w:rsid w:val="000A6551"/>
    <w:rsid w:val="000B222F"/>
    <w:rsid w:val="000C62B8"/>
    <w:rsid w:val="000C73CD"/>
    <w:rsid w:val="000D7ADF"/>
    <w:rsid w:val="000E4437"/>
    <w:rsid w:val="000F7298"/>
    <w:rsid w:val="000F75FF"/>
    <w:rsid w:val="00114149"/>
    <w:rsid w:val="001225DE"/>
    <w:rsid w:val="00127AE4"/>
    <w:rsid w:val="001338A7"/>
    <w:rsid w:val="00136A4C"/>
    <w:rsid w:val="00143C92"/>
    <w:rsid w:val="00145120"/>
    <w:rsid w:val="001514E1"/>
    <w:rsid w:val="00161BFC"/>
    <w:rsid w:val="0017027B"/>
    <w:rsid w:val="001709F8"/>
    <w:rsid w:val="00181D9E"/>
    <w:rsid w:val="0018379B"/>
    <w:rsid w:val="0019273C"/>
    <w:rsid w:val="00193ECD"/>
    <w:rsid w:val="001A589C"/>
    <w:rsid w:val="001A66F4"/>
    <w:rsid w:val="001A7B0F"/>
    <w:rsid w:val="001B17E4"/>
    <w:rsid w:val="001B1A03"/>
    <w:rsid w:val="001C390C"/>
    <w:rsid w:val="001C3D54"/>
    <w:rsid w:val="001C6281"/>
    <w:rsid w:val="001D0ED4"/>
    <w:rsid w:val="001D1798"/>
    <w:rsid w:val="001D5299"/>
    <w:rsid w:val="001D5607"/>
    <w:rsid w:val="001E0A7C"/>
    <w:rsid w:val="001E1037"/>
    <w:rsid w:val="001E4AA6"/>
    <w:rsid w:val="001E5C23"/>
    <w:rsid w:val="001E6624"/>
    <w:rsid w:val="001F3106"/>
    <w:rsid w:val="001F3290"/>
    <w:rsid w:val="001F4FFB"/>
    <w:rsid w:val="001F5EAD"/>
    <w:rsid w:val="00200198"/>
    <w:rsid w:val="002009D0"/>
    <w:rsid w:val="0020715B"/>
    <w:rsid w:val="00212421"/>
    <w:rsid w:val="00212449"/>
    <w:rsid w:val="002132C7"/>
    <w:rsid w:val="00223538"/>
    <w:rsid w:val="002258B2"/>
    <w:rsid w:val="002261F1"/>
    <w:rsid w:val="00234CB0"/>
    <w:rsid w:val="00235696"/>
    <w:rsid w:val="00237E69"/>
    <w:rsid w:val="00241BEA"/>
    <w:rsid w:val="00242E3E"/>
    <w:rsid w:val="00242F4F"/>
    <w:rsid w:val="00244C8C"/>
    <w:rsid w:val="00253DFC"/>
    <w:rsid w:val="00256AB3"/>
    <w:rsid w:val="00256E10"/>
    <w:rsid w:val="00256E1D"/>
    <w:rsid w:val="00261303"/>
    <w:rsid w:val="00263AC5"/>
    <w:rsid w:val="0026580E"/>
    <w:rsid w:val="00266613"/>
    <w:rsid w:val="00267FEA"/>
    <w:rsid w:val="00270934"/>
    <w:rsid w:val="00271EF7"/>
    <w:rsid w:val="00272E34"/>
    <w:rsid w:val="00277CBD"/>
    <w:rsid w:val="002802FC"/>
    <w:rsid w:val="002809CE"/>
    <w:rsid w:val="00287A7E"/>
    <w:rsid w:val="00293D47"/>
    <w:rsid w:val="002A0875"/>
    <w:rsid w:val="002A3540"/>
    <w:rsid w:val="002A5AF8"/>
    <w:rsid w:val="002A6802"/>
    <w:rsid w:val="002B0D0B"/>
    <w:rsid w:val="002B7684"/>
    <w:rsid w:val="002B7947"/>
    <w:rsid w:val="002C4B29"/>
    <w:rsid w:val="002C5B72"/>
    <w:rsid w:val="002C5E56"/>
    <w:rsid w:val="002C612B"/>
    <w:rsid w:val="002E1681"/>
    <w:rsid w:val="002E56D2"/>
    <w:rsid w:val="002F1B43"/>
    <w:rsid w:val="002F41DA"/>
    <w:rsid w:val="002F79BD"/>
    <w:rsid w:val="00300003"/>
    <w:rsid w:val="003061EB"/>
    <w:rsid w:val="0031163B"/>
    <w:rsid w:val="00312555"/>
    <w:rsid w:val="003219BC"/>
    <w:rsid w:val="003262B6"/>
    <w:rsid w:val="0033013F"/>
    <w:rsid w:val="00330A29"/>
    <w:rsid w:val="00335FEB"/>
    <w:rsid w:val="00341339"/>
    <w:rsid w:val="0034208E"/>
    <w:rsid w:val="003424D3"/>
    <w:rsid w:val="00351951"/>
    <w:rsid w:val="00352F7B"/>
    <w:rsid w:val="00355607"/>
    <w:rsid w:val="003606A7"/>
    <w:rsid w:val="00387607"/>
    <w:rsid w:val="00391EF9"/>
    <w:rsid w:val="003924B0"/>
    <w:rsid w:val="0039254E"/>
    <w:rsid w:val="00395152"/>
    <w:rsid w:val="003951CC"/>
    <w:rsid w:val="003A16A6"/>
    <w:rsid w:val="003A25D9"/>
    <w:rsid w:val="003A2955"/>
    <w:rsid w:val="003A2BA5"/>
    <w:rsid w:val="003A4D54"/>
    <w:rsid w:val="003B0923"/>
    <w:rsid w:val="003B17D2"/>
    <w:rsid w:val="003B7AF7"/>
    <w:rsid w:val="003C0FCE"/>
    <w:rsid w:val="003C13DC"/>
    <w:rsid w:val="003C3914"/>
    <w:rsid w:val="003C632C"/>
    <w:rsid w:val="003C6EA1"/>
    <w:rsid w:val="003D0E68"/>
    <w:rsid w:val="003D2AFD"/>
    <w:rsid w:val="003D5373"/>
    <w:rsid w:val="003D56DD"/>
    <w:rsid w:val="003D6C21"/>
    <w:rsid w:val="003E12BF"/>
    <w:rsid w:val="003F2ACD"/>
    <w:rsid w:val="003F44AA"/>
    <w:rsid w:val="003F59DD"/>
    <w:rsid w:val="00404A42"/>
    <w:rsid w:val="004064A3"/>
    <w:rsid w:val="00411A0E"/>
    <w:rsid w:val="00411F3A"/>
    <w:rsid w:val="00425B11"/>
    <w:rsid w:val="00445B8A"/>
    <w:rsid w:val="00446F47"/>
    <w:rsid w:val="00450B61"/>
    <w:rsid w:val="00451834"/>
    <w:rsid w:val="00451B8B"/>
    <w:rsid w:val="00452BD8"/>
    <w:rsid w:val="0045440B"/>
    <w:rsid w:val="004550AA"/>
    <w:rsid w:val="00464C8D"/>
    <w:rsid w:val="004713BC"/>
    <w:rsid w:val="00471606"/>
    <w:rsid w:val="00471F8E"/>
    <w:rsid w:val="0047540F"/>
    <w:rsid w:val="004760B0"/>
    <w:rsid w:val="00483333"/>
    <w:rsid w:val="00484566"/>
    <w:rsid w:val="00484B78"/>
    <w:rsid w:val="00491A8E"/>
    <w:rsid w:val="004A25C5"/>
    <w:rsid w:val="004A398E"/>
    <w:rsid w:val="004A6905"/>
    <w:rsid w:val="004B35A0"/>
    <w:rsid w:val="004B5EA7"/>
    <w:rsid w:val="004C084C"/>
    <w:rsid w:val="004C3E57"/>
    <w:rsid w:val="004C5381"/>
    <w:rsid w:val="004D7F6D"/>
    <w:rsid w:val="004E165E"/>
    <w:rsid w:val="004E7FD3"/>
    <w:rsid w:val="004F243A"/>
    <w:rsid w:val="004F6671"/>
    <w:rsid w:val="005019BA"/>
    <w:rsid w:val="00505984"/>
    <w:rsid w:val="005204F5"/>
    <w:rsid w:val="00535995"/>
    <w:rsid w:val="00542088"/>
    <w:rsid w:val="00560DCF"/>
    <w:rsid w:val="00562C07"/>
    <w:rsid w:val="005676E2"/>
    <w:rsid w:val="00573E46"/>
    <w:rsid w:val="00584DFE"/>
    <w:rsid w:val="00585774"/>
    <w:rsid w:val="00592F97"/>
    <w:rsid w:val="005932EE"/>
    <w:rsid w:val="00593427"/>
    <w:rsid w:val="00596E37"/>
    <w:rsid w:val="005A2E85"/>
    <w:rsid w:val="005C66BA"/>
    <w:rsid w:val="005E0A5B"/>
    <w:rsid w:val="005E1392"/>
    <w:rsid w:val="005F054A"/>
    <w:rsid w:val="005F1C26"/>
    <w:rsid w:val="00612120"/>
    <w:rsid w:val="006138D4"/>
    <w:rsid w:val="00615497"/>
    <w:rsid w:val="0061689A"/>
    <w:rsid w:val="006177BA"/>
    <w:rsid w:val="00623FDB"/>
    <w:rsid w:val="00626557"/>
    <w:rsid w:val="00632F30"/>
    <w:rsid w:val="00641BE5"/>
    <w:rsid w:val="006476A8"/>
    <w:rsid w:val="00650331"/>
    <w:rsid w:val="006523B5"/>
    <w:rsid w:val="00660140"/>
    <w:rsid w:val="006640CE"/>
    <w:rsid w:val="00665991"/>
    <w:rsid w:val="00671065"/>
    <w:rsid w:val="00673BE9"/>
    <w:rsid w:val="006803D8"/>
    <w:rsid w:val="0068568E"/>
    <w:rsid w:val="0069211B"/>
    <w:rsid w:val="00692695"/>
    <w:rsid w:val="00693649"/>
    <w:rsid w:val="00694AF7"/>
    <w:rsid w:val="0069595A"/>
    <w:rsid w:val="00696C34"/>
    <w:rsid w:val="006A375B"/>
    <w:rsid w:val="006A4063"/>
    <w:rsid w:val="006A5F9C"/>
    <w:rsid w:val="006A6B0C"/>
    <w:rsid w:val="006C21A8"/>
    <w:rsid w:val="006C3EFE"/>
    <w:rsid w:val="006C43EC"/>
    <w:rsid w:val="006C75ED"/>
    <w:rsid w:val="006D7149"/>
    <w:rsid w:val="006E2750"/>
    <w:rsid w:val="006F17F6"/>
    <w:rsid w:val="006F2408"/>
    <w:rsid w:val="006F3F83"/>
    <w:rsid w:val="006F430E"/>
    <w:rsid w:val="007008E8"/>
    <w:rsid w:val="00705AEB"/>
    <w:rsid w:val="00713490"/>
    <w:rsid w:val="00717612"/>
    <w:rsid w:val="007201FA"/>
    <w:rsid w:val="00724B06"/>
    <w:rsid w:val="00730933"/>
    <w:rsid w:val="00731B59"/>
    <w:rsid w:val="00731D4C"/>
    <w:rsid w:val="00737E27"/>
    <w:rsid w:val="00741628"/>
    <w:rsid w:val="0074332B"/>
    <w:rsid w:val="00745E68"/>
    <w:rsid w:val="00754B2B"/>
    <w:rsid w:val="00755FD7"/>
    <w:rsid w:val="007575E1"/>
    <w:rsid w:val="00761659"/>
    <w:rsid w:val="00764049"/>
    <w:rsid w:val="00764C1C"/>
    <w:rsid w:val="0076750A"/>
    <w:rsid w:val="00767B20"/>
    <w:rsid w:val="00767D18"/>
    <w:rsid w:val="00773467"/>
    <w:rsid w:val="00775BF5"/>
    <w:rsid w:val="0077624E"/>
    <w:rsid w:val="00777129"/>
    <w:rsid w:val="00781021"/>
    <w:rsid w:val="007834EB"/>
    <w:rsid w:val="0078425B"/>
    <w:rsid w:val="00785413"/>
    <w:rsid w:val="00787A75"/>
    <w:rsid w:val="007901AC"/>
    <w:rsid w:val="00792598"/>
    <w:rsid w:val="00793FF0"/>
    <w:rsid w:val="007977E8"/>
    <w:rsid w:val="007A0CFB"/>
    <w:rsid w:val="007A1204"/>
    <w:rsid w:val="007A15C9"/>
    <w:rsid w:val="007A3047"/>
    <w:rsid w:val="007A3081"/>
    <w:rsid w:val="007B4F06"/>
    <w:rsid w:val="007B5500"/>
    <w:rsid w:val="007B5F21"/>
    <w:rsid w:val="007C05E7"/>
    <w:rsid w:val="007C2868"/>
    <w:rsid w:val="007D1AF3"/>
    <w:rsid w:val="007D65C2"/>
    <w:rsid w:val="007E1C62"/>
    <w:rsid w:val="007E1CCC"/>
    <w:rsid w:val="007E4099"/>
    <w:rsid w:val="007E532B"/>
    <w:rsid w:val="007F3AD2"/>
    <w:rsid w:val="00803065"/>
    <w:rsid w:val="00807FAD"/>
    <w:rsid w:val="00810EC0"/>
    <w:rsid w:val="008115C8"/>
    <w:rsid w:val="0081417E"/>
    <w:rsid w:val="008147CA"/>
    <w:rsid w:val="00822C27"/>
    <w:rsid w:val="0082456E"/>
    <w:rsid w:val="00824799"/>
    <w:rsid w:val="00833AE5"/>
    <w:rsid w:val="008340D0"/>
    <w:rsid w:val="00835848"/>
    <w:rsid w:val="00843AAC"/>
    <w:rsid w:val="00852EF2"/>
    <w:rsid w:val="00854EF2"/>
    <w:rsid w:val="008563D0"/>
    <w:rsid w:val="00857FF2"/>
    <w:rsid w:val="008627A9"/>
    <w:rsid w:val="008636EE"/>
    <w:rsid w:val="00875353"/>
    <w:rsid w:val="008757AE"/>
    <w:rsid w:val="00885293"/>
    <w:rsid w:val="00885CBD"/>
    <w:rsid w:val="008867DE"/>
    <w:rsid w:val="008A37AF"/>
    <w:rsid w:val="008C514C"/>
    <w:rsid w:val="008C712B"/>
    <w:rsid w:val="008D555C"/>
    <w:rsid w:val="008D6B51"/>
    <w:rsid w:val="008D6C39"/>
    <w:rsid w:val="008E3FDC"/>
    <w:rsid w:val="008E594E"/>
    <w:rsid w:val="008F1190"/>
    <w:rsid w:val="00900F0D"/>
    <w:rsid w:val="00902B75"/>
    <w:rsid w:val="009224E2"/>
    <w:rsid w:val="00926CBF"/>
    <w:rsid w:val="0093026E"/>
    <w:rsid w:val="00930B14"/>
    <w:rsid w:val="00930BB3"/>
    <w:rsid w:val="00932856"/>
    <w:rsid w:val="00935AE6"/>
    <w:rsid w:val="009379F9"/>
    <w:rsid w:val="00941FB6"/>
    <w:rsid w:val="00943A21"/>
    <w:rsid w:val="0094634C"/>
    <w:rsid w:val="0095469D"/>
    <w:rsid w:val="0095609F"/>
    <w:rsid w:val="009818C5"/>
    <w:rsid w:val="009820E7"/>
    <w:rsid w:val="0098719E"/>
    <w:rsid w:val="00990D67"/>
    <w:rsid w:val="009A41CC"/>
    <w:rsid w:val="009C334B"/>
    <w:rsid w:val="009D0DB7"/>
    <w:rsid w:val="009D6BD0"/>
    <w:rsid w:val="009F0826"/>
    <w:rsid w:val="009F3AC7"/>
    <w:rsid w:val="009F4437"/>
    <w:rsid w:val="009F6A53"/>
    <w:rsid w:val="00A02AE0"/>
    <w:rsid w:val="00A0322A"/>
    <w:rsid w:val="00A05131"/>
    <w:rsid w:val="00A13EB1"/>
    <w:rsid w:val="00A14443"/>
    <w:rsid w:val="00A21F28"/>
    <w:rsid w:val="00A22417"/>
    <w:rsid w:val="00A23BF3"/>
    <w:rsid w:val="00A24BA5"/>
    <w:rsid w:val="00A310AB"/>
    <w:rsid w:val="00A3401B"/>
    <w:rsid w:val="00A362B8"/>
    <w:rsid w:val="00A4355D"/>
    <w:rsid w:val="00A44DB8"/>
    <w:rsid w:val="00A47C67"/>
    <w:rsid w:val="00A5249C"/>
    <w:rsid w:val="00A53BE6"/>
    <w:rsid w:val="00A60D56"/>
    <w:rsid w:val="00A62FB0"/>
    <w:rsid w:val="00A80164"/>
    <w:rsid w:val="00A819F2"/>
    <w:rsid w:val="00A82FC4"/>
    <w:rsid w:val="00A87468"/>
    <w:rsid w:val="00A876BD"/>
    <w:rsid w:val="00A938F4"/>
    <w:rsid w:val="00A96BDE"/>
    <w:rsid w:val="00AA3DCC"/>
    <w:rsid w:val="00AA63F4"/>
    <w:rsid w:val="00AA7A8A"/>
    <w:rsid w:val="00AB29F8"/>
    <w:rsid w:val="00AB78A2"/>
    <w:rsid w:val="00AC0DF6"/>
    <w:rsid w:val="00AC58FA"/>
    <w:rsid w:val="00AD6B10"/>
    <w:rsid w:val="00AE41E4"/>
    <w:rsid w:val="00AF0DA8"/>
    <w:rsid w:val="00AF25CC"/>
    <w:rsid w:val="00AF300D"/>
    <w:rsid w:val="00AF4BC1"/>
    <w:rsid w:val="00B00BB4"/>
    <w:rsid w:val="00B04C4C"/>
    <w:rsid w:val="00B055F0"/>
    <w:rsid w:val="00B11059"/>
    <w:rsid w:val="00B113FB"/>
    <w:rsid w:val="00B12733"/>
    <w:rsid w:val="00B1599D"/>
    <w:rsid w:val="00B30C31"/>
    <w:rsid w:val="00B45152"/>
    <w:rsid w:val="00B463BC"/>
    <w:rsid w:val="00B5356A"/>
    <w:rsid w:val="00B542D7"/>
    <w:rsid w:val="00B54B87"/>
    <w:rsid w:val="00B56C2A"/>
    <w:rsid w:val="00B61AAC"/>
    <w:rsid w:val="00B61ED3"/>
    <w:rsid w:val="00B62F47"/>
    <w:rsid w:val="00B65096"/>
    <w:rsid w:val="00B66902"/>
    <w:rsid w:val="00B67166"/>
    <w:rsid w:val="00B730C2"/>
    <w:rsid w:val="00B74094"/>
    <w:rsid w:val="00B7699B"/>
    <w:rsid w:val="00B80ADF"/>
    <w:rsid w:val="00B81D75"/>
    <w:rsid w:val="00B83F5B"/>
    <w:rsid w:val="00B90F96"/>
    <w:rsid w:val="00BA0C1B"/>
    <w:rsid w:val="00BA1F65"/>
    <w:rsid w:val="00BA3E46"/>
    <w:rsid w:val="00BA7307"/>
    <w:rsid w:val="00BB0D4E"/>
    <w:rsid w:val="00BB3664"/>
    <w:rsid w:val="00BB6C66"/>
    <w:rsid w:val="00BB7B39"/>
    <w:rsid w:val="00BC0310"/>
    <w:rsid w:val="00BC1375"/>
    <w:rsid w:val="00BC6BD7"/>
    <w:rsid w:val="00BD0744"/>
    <w:rsid w:val="00BD15C3"/>
    <w:rsid w:val="00BE6A89"/>
    <w:rsid w:val="00BF47C8"/>
    <w:rsid w:val="00BF5FFC"/>
    <w:rsid w:val="00BF64D1"/>
    <w:rsid w:val="00C0020F"/>
    <w:rsid w:val="00C0159D"/>
    <w:rsid w:val="00C04A37"/>
    <w:rsid w:val="00C144DA"/>
    <w:rsid w:val="00C15795"/>
    <w:rsid w:val="00C2074D"/>
    <w:rsid w:val="00C23198"/>
    <w:rsid w:val="00C24FE5"/>
    <w:rsid w:val="00C256AE"/>
    <w:rsid w:val="00C264A1"/>
    <w:rsid w:val="00C26638"/>
    <w:rsid w:val="00C26F13"/>
    <w:rsid w:val="00C30C49"/>
    <w:rsid w:val="00C521E9"/>
    <w:rsid w:val="00C6096F"/>
    <w:rsid w:val="00C66516"/>
    <w:rsid w:val="00C845AC"/>
    <w:rsid w:val="00C879BA"/>
    <w:rsid w:val="00C91ACC"/>
    <w:rsid w:val="00C97338"/>
    <w:rsid w:val="00C9774E"/>
    <w:rsid w:val="00C97A70"/>
    <w:rsid w:val="00CA01A0"/>
    <w:rsid w:val="00CA5BFF"/>
    <w:rsid w:val="00CA76DF"/>
    <w:rsid w:val="00CB7B7C"/>
    <w:rsid w:val="00CC7DF9"/>
    <w:rsid w:val="00CD0A7B"/>
    <w:rsid w:val="00CD6094"/>
    <w:rsid w:val="00CD684A"/>
    <w:rsid w:val="00CE3AC1"/>
    <w:rsid w:val="00CE56E1"/>
    <w:rsid w:val="00CF32EE"/>
    <w:rsid w:val="00CF4946"/>
    <w:rsid w:val="00CF522E"/>
    <w:rsid w:val="00D15613"/>
    <w:rsid w:val="00D16237"/>
    <w:rsid w:val="00D2028B"/>
    <w:rsid w:val="00D23255"/>
    <w:rsid w:val="00D240FF"/>
    <w:rsid w:val="00D35F8B"/>
    <w:rsid w:val="00D3727C"/>
    <w:rsid w:val="00D374DC"/>
    <w:rsid w:val="00D42265"/>
    <w:rsid w:val="00D46C14"/>
    <w:rsid w:val="00D644E8"/>
    <w:rsid w:val="00D677E3"/>
    <w:rsid w:val="00D7343B"/>
    <w:rsid w:val="00D74E51"/>
    <w:rsid w:val="00D74F75"/>
    <w:rsid w:val="00D75B24"/>
    <w:rsid w:val="00D82E64"/>
    <w:rsid w:val="00D84F2E"/>
    <w:rsid w:val="00D92212"/>
    <w:rsid w:val="00D96F36"/>
    <w:rsid w:val="00DA6F7E"/>
    <w:rsid w:val="00DC0698"/>
    <w:rsid w:val="00DC68B1"/>
    <w:rsid w:val="00DF01AB"/>
    <w:rsid w:val="00DF7151"/>
    <w:rsid w:val="00DF7DFC"/>
    <w:rsid w:val="00E045DB"/>
    <w:rsid w:val="00E05FC0"/>
    <w:rsid w:val="00E07CB3"/>
    <w:rsid w:val="00E13684"/>
    <w:rsid w:val="00E139B2"/>
    <w:rsid w:val="00E141DD"/>
    <w:rsid w:val="00E23102"/>
    <w:rsid w:val="00E24D54"/>
    <w:rsid w:val="00E3091B"/>
    <w:rsid w:val="00E30FE4"/>
    <w:rsid w:val="00E31039"/>
    <w:rsid w:val="00E346CD"/>
    <w:rsid w:val="00E36ABF"/>
    <w:rsid w:val="00E40ED9"/>
    <w:rsid w:val="00E41EF5"/>
    <w:rsid w:val="00E42044"/>
    <w:rsid w:val="00E57463"/>
    <w:rsid w:val="00E61FE4"/>
    <w:rsid w:val="00E676B1"/>
    <w:rsid w:val="00E70DD2"/>
    <w:rsid w:val="00E8068B"/>
    <w:rsid w:val="00E82D01"/>
    <w:rsid w:val="00E8334E"/>
    <w:rsid w:val="00E85141"/>
    <w:rsid w:val="00E85CC2"/>
    <w:rsid w:val="00E87C45"/>
    <w:rsid w:val="00E9348D"/>
    <w:rsid w:val="00EA18A2"/>
    <w:rsid w:val="00EA32C9"/>
    <w:rsid w:val="00EB123B"/>
    <w:rsid w:val="00EB5253"/>
    <w:rsid w:val="00EB69AE"/>
    <w:rsid w:val="00EC4A8C"/>
    <w:rsid w:val="00EC5998"/>
    <w:rsid w:val="00ED15F7"/>
    <w:rsid w:val="00EE53F1"/>
    <w:rsid w:val="00EE58A0"/>
    <w:rsid w:val="00EE78A2"/>
    <w:rsid w:val="00EF18AC"/>
    <w:rsid w:val="00EF5117"/>
    <w:rsid w:val="00EF5D4E"/>
    <w:rsid w:val="00F000A0"/>
    <w:rsid w:val="00F01D69"/>
    <w:rsid w:val="00F05B7B"/>
    <w:rsid w:val="00F06788"/>
    <w:rsid w:val="00F10E06"/>
    <w:rsid w:val="00F10EFC"/>
    <w:rsid w:val="00F22C7D"/>
    <w:rsid w:val="00F23AEB"/>
    <w:rsid w:val="00F248DC"/>
    <w:rsid w:val="00F251BE"/>
    <w:rsid w:val="00F26F61"/>
    <w:rsid w:val="00F275A9"/>
    <w:rsid w:val="00F3067A"/>
    <w:rsid w:val="00F42D65"/>
    <w:rsid w:val="00F52173"/>
    <w:rsid w:val="00F65071"/>
    <w:rsid w:val="00F73604"/>
    <w:rsid w:val="00F7368C"/>
    <w:rsid w:val="00F76357"/>
    <w:rsid w:val="00F76EFE"/>
    <w:rsid w:val="00F77331"/>
    <w:rsid w:val="00F816AA"/>
    <w:rsid w:val="00F82D4F"/>
    <w:rsid w:val="00F83B38"/>
    <w:rsid w:val="00F853FC"/>
    <w:rsid w:val="00F97C8D"/>
    <w:rsid w:val="00FA050F"/>
    <w:rsid w:val="00FA356A"/>
    <w:rsid w:val="00FB00C3"/>
    <w:rsid w:val="00FB0966"/>
    <w:rsid w:val="00FC64A8"/>
    <w:rsid w:val="00FD18FC"/>
    <w:rsid w:val="00FD6A46"/>
    <w:rsid w:val="00FF1368"/>
    <w:rsid w:val="00FF18D6"/>
    <w:rsid w:val="00FF1C86"/>
    <w:rsid w:val="00FF1F1C"/>
    <w:rsid w:val="00FF41E4"/>
    <w:rsid w:val="1254D031"/>
    <w:rsid w:val="19155C22"/>
    <w:rsid w:val="3A0F2F8B"/>
    <w:rsid w:val="461AFA19"/>
    <w:rsid w:val="482AC462"/>
    <w:rsid w:val="5682DEA1"/>
    <w:rsid w:val="6170AC36"/>
    <w:rsid w:val="63B1A0EE"/>
    <w:rsid w:val="6A51B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69E4"/>
  <w15:chartTrackingRefBased/>
  <w15:docId w15:val="{2599558C-0E3A-4E92-87EC-65C31420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16237"/>
    <w:pPr>
      <w:keepNext/>
      <w:numPr>
        <w:ilvl w:val="2"/>
        <w:numId w:val="1"/>
      </w:numPr>
      <w:pBdr>
        <w:bottom w:val="single" w:sz="4" w:space="1" w:color="auto"/>
      </w:pBdr>
      <w:spacing w:before="360" w:after="60" w:line="240" w:lineRule="auto"/>
      <w:outlineLvl w:val="2"/>
    </w:pPr>
    <w:rPr>
      <w:rFonts w:ascii="Century Gothic" w:eastAsia="Times New Roman" w:hAnsi="Century Gothic"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6237"/>
    <w:rPr>
      <w:rFonts w:ascii="Century Gothic" w:eastAsia="Times New Roman" w:hAnsi="Century Gothic" w:cs="Arial"/>
      <w:b/>
      <w:bCs/>
      <w:sz w:val="24"/>
      <w:szCs w:val="26"/>
    </w:rPr>
  </w:style>
  <w:style w:type="paragraph" w:styleId="ListParagraph">
    <w:name w:val="List Paragraph"/>
    <w:aliases w:val="Use Case List Paragraph,b1,Bullet for no #'s,B1,List Paragraph1,Scope of Services,Bull2,Numbering,Figure_name,Bullet- First level,numbered,FooterText,Alpha List Paragraph,Appendix Bullets,Style 2,Bullet List,Number List 2,Bullet Level 1"/>
    <w:basedOn w:val="Normal"/>
    <w:link w:val="ListParagraphChar"/>
    <w:uiPriority w:val="34"/>
    <w:qFormat/>
    <w:rsid w:val="00AA63F4"/>
    <w:pPr>
      <w:ind w:left="720"/>
      <w:contextualSpacing/>
    </w:pPr>
  </w:style>
  <w:style w:type="table" w:styleId="TableGrid">
    <w:name w:val="Table Grid"/>
    <w:basedOn w:val="TableNormal"/>
    <w:uiPriority w:val="39"/>
    <w:rsid w:val="0047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B54B87"/>
    <w:pPr>
      <w:spacing w:before="60" w:after="60" w:line="240" w:lineRule="auto"/>
      <w:jc w:val="center"/>
    </w:pPr>
    <w:rPr>
      <w:rFonts w:ascii="Century Gothic" w:eastAsia="Times New Roman" w:hAnsi="Century Gothic" w:cs="Times New Roman"/>
      <w:b/>
      <w:smallCaps/>
      <w:color w:val="FFFFFF"/>
      <w:szCs w:val="24"/>
    </w:rPr>
  </w:style>
  <w:style w:type="paragraph" w:customStyle="1" w:styleId="TableText">
    <w:name w:val="Table Text"/>
    <w:basedOn w:val="Normal"/>
    <w:link w:val="TableTextChar"/>
    <w:uiPriority w:val="99"/>
    <w:qFormat/>
    <w:rsid w:val="00B54B87"/>
    <w:pPr>
      <w:spacing w:before="60" w:after="60" w:line="240" w:lineRule="auto"/>
    </w:pPr>
    <w:rPr>
      <w:rFonts w:ascii="Century Gothic" w:eastAsia="Times New Roman" w:hAnsi="Century Gothic" w:cs="Times New Roman"/>
      <w:sz w:val="20"/>
      <w:szCs w:val="24"/>
    </w:rPr>
  </w:style>
  <w:style w:type="character" w:customStyle="1" w:styleId="TableTextChar">
    <w:name w:val="Table Text Char"/>
    <w:link w:val="TableText"/>
    <w:uiPriority w:val="99"/>
    <w:locked/>
    <w:rsid w:val="00B54B87"/>
    <w:rPr>
      <w:rFonts w:ascii="Century Gothic" w:eastAsia="Times New Roman" w:hAnsi="Century Gothic" w:cs="Times New Roman"/>
      <w:sz w:val="20"/>
      <w:szCs w:val="24"/>
    </w:rPr>
  </w:style>
  <w:style w:type="paragraph" w:customStyle="1" w:styleId="TableBullet1">
    <w:name w:val="Table Bullet 1"/>
    <w:basedOn w:val="TableText"/>
    <w:qFormat/>
    <w:rsid w:val="00B54B87"/>
    <w:pPr>
      <w:numPr>
        <w:numId w:val="7"/>
      </w:numPr>
      <w:tabs>
        <w:tab w:val="num" w:pos="360"/>
      </w:tabs>
      <w:ind w:left="0" w:firstLine="0"/>
    </w:pPr>
  </w:style>
  <w:style w:type="character" w:customStyle="1" w:styleId="TableHeadingChar">
    <w:name w:val="Table Heading Char"/>
    <w:basedOn w:val="DefaultParagraphFont"/>
    <w:link w:val="TableHeading"/>
    <w:rsid w:val="00B54B87"/>
    <w:rPr>
      <w:rFonts w:ascii="Century Gothic" w:eastAsia="Times New Roman" w:hAnsi="Century Gothic" w:cs="Times New Roman"/>
      <w:b/>
      <w:smallCaps/>
      <w:color w:val="FFFFFF"/>
      <w:szCs w:val="24"/>
    </w:rPr>
  </w:style>
  <w:style w:type="character" w:customStyle="1" w:styleId="Heading1Char">
    <w:name w:val="Heading 1 Char"/>
    <w:basedOn w:val="DefaultParagraphFont"/>
    <w:link w:val="Heading1"/>
    <w:uiPriority w:val="9"/>
    <w:rsid w:val="00E139B2"/>
    <w:rPr>
      <w:rFonts w:asciiTheme="majorHAnsi" w:eastAsiaTheme="majorEastAsia" w:hAnsiTheme="majorHAnsi" w:cstheme="majorBidi"/>
      <w:color w:val="2F5496" w:themeColor="accent1" w:themeShade="BF"/>
      <w:sz w:val="32"/>
      <w:szCs w:val="32"/>
    </w:rPr>
  </w:style>
  <w:style w:type="character" w:styleId="Hyperlink">
    <w:name w:val="Hyperlink"/>
    <w:aliases w:val="RFP Hyperlink"/>
    <w:basedOn w:val="DefaultParagraphFont"/>
    <w:uiPriority w:val="99"/>
    <w:qFormat/>
    <w:rsid w:val="00AA3DCC"/>
    <w:rPr>
      <w:color w:val="0000FF"/>
      <w:u w:val="single"/>
    </w:rPr>
  </w:style>
  <w:style w:type="paragraph" w:customStyle="1" w:styleId="RFPBody">
    <w:name w:val="RFP Body"/>
    <w:basedOn w:val="Normal"/>
    <w:link w:val="RFPBodyChar"/>
    <w:qFormat/>
    <w:rsid w:val="00AA3DCC"/>
    <w:pPr>
      <w:spacing w:after="240" w:line="240" w:lineRule="auto"/>
      <w:jc w:val="both"/>
    </w:pPr>
    <w:rPr>
      <w:rFonts w:ascii="Century Gothic" w:eastAsia="Times New Roman" w:hAnsi="Century Gothic" w:cs="Times New Roman"/>
      <w:szCs w:val="24"/>
    </w:rPr>
  </w:style>
  <w:style w:type="character" w:customStyle="1" w:styleId="RFPBodyChar">
    <w:name w:val="RFP Body Char"/>
    <w:basedOn w:val="DefaultParagraphFont"/>
    <w:link w:val="RFPBody"/>
    <w:rsid w:val="00AA3DCC"/>
    <w:rPr>
      <w:rFonts w:ascii="Century Gothic" w:eastAsia="Times New Roman" w:hAnsi="Century Gothic" w:cs="Times New Roman"/>
      <w:szCs w:val="24"/>
    </w:rPr>
  </w:style>
  <w:style w:type="character" w:customStyle="1" w:styleId="Heading2Char">
    <w:name w:val="Heading 2 Char"/>
    <w:basedOn w:val="DefaultParagraphFont"/>
    <w:link w:val="Heading2"/>
    <w:uiPriority w:val="9"/>
    <w:rsid w:val="00CC7DF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Use Case List Paragraph Char,b1 Char,Bullet for no #'s Char,B1 Char,List Paragraph1 Char,Scope of Services Char,Bull2 Char,Numbering Char,Figure_name Char,Bullet- First level Char,numbered Char,FooterText Char,Appendix Bullets Char"/>
    <w:basedOn w:val="DefaultParagraphFont"/>
    <w:link w:val="ListParagraph"/>
    <w:uiPriority w:val="34"/>
    <w:qFormat/>
    <w:locked/>
    <w:rsid w:val="00C0020F"/>
  </w:style>
  <w:style w:type="character" w:styleId="CommentReference">
    <w:name w:val="annotation reference"/>
    <w:basedOn w:val="DefaultParagraphFont"/>
    <w:uiPriority w:val="99"/>
    <w:semiHidden/>
    <w:unhideWhenUsed/>
    <w:rsid w:val="00885CBD"/>
    <w:rPr>
      <w:sz w:val="16"/>
      <w:szCs w:val="16"/>
    </w:rPr>
  </w:style>
  <w:style w:type="paragraph" w:styleId="CommentText">
    <w:name w:val="annotation text"/>
    <w:basedOn w:val="Normal"/>
    <w:link w:val="CommentTextChar"/>
    <w:uiPriority w:val="99"/>
    <w:unhideWhenUsed/>
    <w:rsid w:val="00885CBD"/>
    <w:pPr>
      <w:spacing w:line="240" w:lineRule="auto"/>
    </w:pPr>
    <w:rPr>
      <w:sz w:val="20"/>
      <w:szCs w:val="20"/>
    </w:rPr>
  </w:style>
  <w:style w:type="character" w:customStyle="1" w:styleId="CommentTextChar">
    <w:name w:val="Comment Text Char"/>
    <w:basedOn w:val="DefaultParagraphFont"/>
    <w:link w:val="CommentText"/>
    <w:uiPriority w:val="99"/>
    <w:rsid w:val="00885CBD"/>
    <w:rPr>
      <w:sz w:val="20"/>
      <w:szCs w:val="20"/>
    </w:rPr>
  </w:style>
  <w:style w:type="paragraph" w:styleId="CommentSubject">
    <w:name w:val="annotation subject"/>
    <w:basedOn w:val="CommentText"/>
    <w:next w:val="CommentText"/>
    <w:link w:val="CommentSubjectChar"/>
    <w:uiPriority w:val="99"/>
    <w:semiHidden/>
    <w:unhideWhenUsed/>
    <w:rsid w:val="00885CBD"/>
    <w:rPr>
      <w:b/>
      <w:bCs/>
    </w:rPr>
  </w:style>
  <w:style w:type="character" w:customStyle="1" w:styleId="CommentSubjectChar">
    <w:name w:val="Comment Subject Char"/>
    <w:basedOn w:val="CommentTextChar"/>
    <w:link w:val="CommentSubject"/>
    <w:uiPriority w:val="99"/>
    <w:semiHidden/>
    <w:rsid w:val="00885CBD"/>
    <w:rPr>
      <w:b/>
      <w:bCs/>
      <w:sz w:val="20"/>
      <w:szCs w:val="20"/>
    </w:rPr>
  </w:style>
  <w:style w:type="paragraph" w:styleId="Revision">
    <w:name w:val="Revision"/>
    <w:hidden/>
    <w:uiPriority w:val="99"/>
    <w:semiHidden/>
    <w:rsid w:val="009C334B"/>
    <w:pPr>
      <w:spacing w:after="0" w:line="240" w:lineRule="auto"/>
    </w:pPr>
  </w:style>
  <w:style w:type="paragraph" w:styleId="BodyText">
    <w:name w:val="Body Text"/>
    <w:aliases w:val="bt,Body Text Char3,bt Char1,Body Text Char2 Char1,heading3 Char Char1,heading31 Char Char1,heading32 Char Char1,bt1 Char Char1,heading33 Char Char1,bt2 Char Char1,heading34 Char Char1,bt3 Char Char1,heading35 Char Char1,bt4 Char Char1,bt1 Char"/>
    <w:basedOn w:val="Normal"/>
    <w:link w:val="BodyTextChar"/>
    <w:qFormat/>
    <w:rsid w:val="00584DFE"/>
    <w:pPr>
      <w:spacing w:before="120" w:after="120" w:line="240" w:lineRule="auto"/>
    </w:pPr>
    <w:rPr>
      <w:rFonts w:ascii="Century Gothic" w:eastAsia="Times New Roman" w:hAnsi="Century Gothic" w:cs="Times New Roman"/>
      <w:szCs w:val="24"/>
    </w:rPr>
  </w:style>
  <w:style w:type="character" w:customStyle="1" w:styleId="BodyTextChar">
    <w:name w:val="Body Text Char"/>
    <w:aliases w:val="bt Char,Body Text Char3 Char,bt Char1 Char,Body Text Char2 Char1 Char,heading3 Char Char1 Char,heading31 Char Char1 Char,heading32 Char Char1 Char,bt1 Char Char1 Char,heading33 Char Char1 Char,bt2 Char Char1 Char,heading34 Char Char1 Char"/>
    <w:basedOn w:val="DefaultParagraphFont"/>
    <w:link w:val="BodyText"/>
    <w:rsid w:val="00584DFE"/>
    <w:rPr>
      <w:rFonts w:ascii="Century Gothic" w:eastAsia="Times New Roman" w:hAnsi="Century Gothic" w:cs="Times New Roman"/>
      <w:szCs w:val="24"/>
    </w:rPr>
  </w:style>
  <w:style w:type="paragraph" w:styleId="Header">
    <w:name w:val="header"/>
    <w:basedOn w:val="Normal"/>
    <w:link w:val="HeaderChar"/>
    <w:uiPriority w:val="99"/>
    <w:unhideWhenUsed/>
    <w:rsid w:val="00902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B75"/>
  </w:style>
  <w:style w:type="paragraph" w:styleId="Footer">
    <w:name w:val="footer"/>
    <w:basedOn w:val="Normal"/>
    <w:link w:val="FooterChar"/>
    <w:uiPriority w:val="99"/>
    <w:unhideWhenUsed/>
    <w:rsid w:val="00902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B75"/>
  </w:style>
  <w:style w:type="character" w:styleId="FollowedHyperlink">
    <w:name w:val="FollowedHyperlink"/>
    <w:basedOn w:val="DefaultParagraphFont"/>
    <w:uiPriority w:val="99"/>
    <w:semiHidden/>
    <w:unhideWhenUsed/>
    <w:rsid w:val="00671065"/>
    <w:rPr>
      <w:color w:val="954F72" w:themeColor="followedHyperlink"/>
      <w:u w:val="single"/>
    </w:rPr>
  </w:style>
  <w:style w:type="character" w:styleId="UnresolvedMention">
    <w:name w:val="Unresolved Mention"/>
    <w:basedOn w:val="DefaultParagraphFont"/>
    <w:uiPriority w:val="99"/>
    <w:semiHidden/>
    <w:unhideWhenUsed/>
    <w:rsid w:val="009A41CC"/>
    <w:rPr>
      <w:color w:val="605E5C"/>
      <w:shd w:val="clear" w:color="auto" w:fill="E1DFDD"/>
    </w:rPr>
  </w:style>
  <w:style w:type="paragraph" w:customStyle="1" w:styleId="SectionHeading">
    <w:name w:val="Section Heading"/>
    <w:basedOn w:val="Normal"/>
    <w:rsid w:val="00535995"/>
    <w:pPr>
      <w:pageBreakBefore/>
      <w:spacing w:before="720" w:after="480" w:line="240" w:lineRule="auto"/>
    </w:pPr>
    <w:rPr>
      <w:rFonts w:ascii="Century Gothic" w:eastAsia="Times New Roman" w:hAnsi="Century Gothic" w:cs="Times New Roman"/>
      <w:bCs/>
      <w:color w:val="2E74B5" w:themeColor="accent5" w:themeShade="BF"/>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sicagov.sharepoint.com/sites/Procurement/CalSAWS/BenefitsCal%20Procurement%20Library/Forms/AllItems.aspx?RootFolder=%2Fsites%2FProcurement%2FCalSAWS%2FBenefitsCal%20Procurement%20Library%2FBenefitsCal%20Procurement%20Library%20Documentation&amp;FolderCTID=0x0120009E8E28A96D3193498BBB47165B6FDB8C&amp;View=%7BD85BE5C1%2D0080%2D45AB%2D81C0%2DDD03EC7BFAFF%7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urementTeam@CalSAW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309E3E8F610E40AB2FDB520A8B41AE" ma:contentTypeVersion="11" ma:contentTypeDescription="Create a new document." ma:contentTypeScope="" ma:versionID="51628f0bf82ea86056afc716e4808086">
  <xsd:schema xmlns:xsd="http://www.w3.org/2001/XMLSchema" xmlns:xs="http://www.w3.org/2001/XMLSchema" xmlns:p="http://schemas.microsoft.com/office/2006/metadata/properties" xmlns:ns2="500343c0-af67-4d55-b6f3-a7838e163d14" xmlns:ns3="74f9af32-db27-48af-8cfe-64abf22b881d" targetNamespace="http://schemas.microsoft.com/office/2006/metadata/properties" ma:root="true" ma:fieldsID="b8dcb623993bbd6936a6e5c6220a4164" ns2:_="" ns3:_="">
    <xsd:import namespace="500343c0-af67-4d55-b6f3-a7838e163d14"/>
    <xsd:import namespace="74f9af32-db27-48af-8cfe-64abf22b881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01343e8-0c87-4555-a8ae-610eb149ee94}" ma:internalName="TaxCatchAll" ma:showField="CatchAllData" ma:web="ded99a83-cbae-481a-8e33-dc69c50d9d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9af32-db27-48af-8cfe-64abf22b88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bce90d6-5a2c-47e0-8337-aac7acda0e97" ContentTypeId="0x0101" PreviousValue="false" LastSyncTimeStamp="2017-02-08T00:21:31.923Z"/>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PROCURE-1828212619-1200</_dlc_DocId>
    <_dlc_DocIdUrl xmlns="500343c0-af67-4d55-b6f3-a7838e163d14">
      <Url>https://osicagov.sharepoint.com/sites/Procurement/CalSAWS/_layouts/15/DocIdRedir.aspx?ID=PROCURE-1828212619-1200</Url>
      <Description>PROCURE-1828212619-1200</Description>
    </_dlc_DocIdUrl>
    <TaxCatchAll xmlns="500343c0-af67-4d55-b6f3-a7838e163d14" xsi:nil="true"/>
    <lcf76f155ced4ddcb4097134ff3c332f xmlns="74f9af32-db27-48af-8cfe-64abf22b88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DD483-30CB-4DAC-A8BB-BB42C49EA1F5}">
  <ds:schemaRefs>
    <ds:schemaRef ds:uri="http://schemas.microsoft.com/sharepoint/v3/contenttype/forms"/>
  </ds:schemaRefs>
</ds:datastoreItem>
</file>

<file path=customXml/itemProps2.xml><?xml version="1.0" encoding="utf-8"?>
<ds:datastoreItem xmlns:ds="http://schemas.openxmlformats.org/officeDocument/2006/customXml" ds:itemID="{2439D3FA-3293-4B8E-B443-1843B556475D}">
  <ds:schemaRefs>
    <ds:schemaRef ds:uri="http://schemas.microsoft.com/sharepoint/events"/>
  </ds:schemaRefs>
</ds:datastoreItem>
</file>

<file path=customXml/itemProps3.xml><?xml version="1.0" encoding="utf-8"?>
<ds:datastoreItem xmlns:ds="http://schemas.openxmlformats.org/officeDocument/2006/customXml" ds:itemID="{8C56973C-314B-4DFC-9D23-BA231D0D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343c0-af67-4d55-b6f3-a7838e163d14"/>
    <ds:schemaRef ds:uri="74f9af32-db27-48af-8cfe-64abf22b8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9E35A-0A54-400A-B8FB-FD949BFFAF41}">
  <ds:schemaRefs>
    <ds:schemaRef ds:uri="Microsoft.SharePoint.Taxonomy.ContentTypeSync"/>
  </ds:schemaRefs>
</ds:datastoreItem>
</file>

<file path=customXml/itemProps5.xml><?xml version="1.0" encoding="utf-8"?>
<ds:datastoreItem xmlns:ds="http://schemas.openxmlformats.org/officeDocument/2006/customXml" ds:itemID="{7535707F-1F38-4306-9853-401B8664282B}">
  <ds:schemaRefs>
    <ds:schemaRef ds:uri="http://schemas.microsoft.com/office/2006/metadata/properties"/>
    <ds:schemaRef ds:uri="http://schemas.microsoft.com/office/infopath/2007/PartnerControls"/>
    <ds:schemaRef ds:uri="500343c0-af67-4d55-b6f3-a7838e163d14"/>
    <ds:schemaRef ds:uri="74f9af32-db27-48af-8cfe-64abf22b881d"/>
  </ds:schemaRefs>
</ds:datastoreItem>
</file>

<file path=docMetadata/LabelInfo.xml><?xml version="1.0" encoding="utf-8"?>
<clbl:labelList xmlns:clbl="http://schemas.microsoft.com/office/2020/mipLabelMetadata">
  <clbl:label id="{18ccb024-1285-4f62-85fe-84f37911c5d6}" enabled="0" method="" siteId="{18ccb024-1285-4f62-85fe-84f37911c5d6}"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Uzupis</dc:creator>
  <cp:keywords/>
  <dc:description/>
  <cp:lastModifiedBy>Betty Uzupis</cp:lastModifiedBy>
  <cp:revision>5</cp:revision>
  <cp:lastPrinted>2023-08-12T02:31:00Z</cp:lastPrinted>
  <dcterms:created xsi:type="dcterms:W3CDTF">2025-01-10T14:21:00Z</dcterms:created>
  <dcterms:modified xsi:type="dcterms:W3CDTF">2025-01-10T15:37:00Z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0x010100EA309E3E8F610E40AB2FDB520A8B41AE</vt:lpwstr>
  </property>
  <property fmtid="{D5CDD505-2E9C-101B-9397-08002B2CF9AE}" pid="3" name="_dlc_DocIdItemGuid">
    <vt:lpwstr>5d5261b0-13cc-42ae-ad6c-a28f1807203d</vt:lpwstr>
  </property>
  <property fmtid="{D5CDD505-2E9C-101B-9397-08002B2CF9AE}" pid="4" name="MediaServiceImageTags">
    <vt:lpwstr/>
  </property>
</Properties>
</file>