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B889B" w14:textId="1A98267E" w:rsidR="00403D32" w:rsidRDefault="001237A7" w:rsidP="004A0BAF">
      <w:pPr>
        <w:pStyle w:val="VolumeHeading"/>
      </w:pPr>
      <w:bookmarkStart w:id="0" w:name="_Toc172704155"/>
      <w:r>
        <w:t>6.</w:t>
      </w:r>
      <w:r w:rsidR="007D34FF">
        <w:t xml:space="preserve">Vol 1 </w:t>
      </w:r>
      <w:r>
        <w:t xml:space="preserve">Sect 4 Understanding </w:t>
      </w:r>
      <w:r w:rsidR="002908B2">
        <w:t>&amp;</w:t>
      </w:r>
      <w:r>
        <w:t xml:space="preserve"> Approach</w:t>
      </w:r>
      <w:r w:rsidR="007D34FF">
        <w:t xml:space="preserve"> </w:t>
      </w:r>
      <w:r w:rsidRPr="009C2800">
        <w:t>–</w:t>
      </w:r>
      <w:r w:rsidR="007D34FF">
        <w:t xml:space="preserve"> Gainwell</w:t>
      </w:r>
      <w:bookmarkEnd w:id="0"/>
    </w:p>
    <w:p w14:paraId="458BB59E" w14:textId="77777777" w:rsidR="001547F2" w:rsidRDefault="001547F2" w:rsidP="00166AE8">
      <w:pPr>
        <w:pStyle w:val="TOCHeading"/>
      </w:pPr>
      <w:r>
        <w:t>Table of Contents</w:t>
      </w:r>
    </w:p>
    <w:p w14:paraId="4C23D499" w14:textId="035A6485" w:rsidR="0067718C" w:rsidRDefault="0067718C">
      <w:pPr>
        <w:pStyle w:val="TOC1"/>
        <w:rPr>
          <w:rFonts w:asciiTheme="minorHAnsi" w:eastAsiaTheme="minorEastAsia" w:hAnsiTheme="minorHAnsi" w:cstheme="minorBidi"/>
          <w:b w:val="0"/>
          <w:color w:val="auto"/>
          <w:kern w:val="2"/>
          <w:sz w:val="24"/>
          <w:szCs w:val="24"/>
          <w:lang w:eastAsia="en-US" w:bidi="ar-SA"/>
          <w14:ligatures w14:val="standardContextual"/>
        </w:rPr>
      </w:pPr>
      <w:r w:rsidRPr="000F7470">
        <w:rPr>
          <w:szCs w:val="18"/>
        </w:rPr>
        <w:t>6.</w:t>
      </w:r>
      <w:r>
        <w:rPr>
          <w:rFonts w:asciiTheme="minorHAnsi" w:eastAsiaTheme="minorEastAsia" w:hAnsiTheme="minorHAnsi" w:cstheme="minorBidi"/>
          <w:b w:val="0"/>
          <w:color w:val="auto"/>
          <w:kern w:val="2"/>
          <w:sz w:val="24"/>
          <w:szCs w:val="24"/>
          <w:lang w:eastAsia="en-US" w:bidi="ar-SA"/>
          <w14:ligatures w14:val="standardContextual"/>
        </w:rPr>
        <w:tab/>
      </w:r>
      <w:r w:rsidRPr="000F7470">
        <w:rPr>
          <w:szCs w:val="18"/>
        </w:rPr>
        <w:t>Vol 1 Sect 4 Understanding &amp; Approach – Gainwell</w:t>
      </w:r>
      <w:r>
        <w:rPr>
          <w:webHidden/>
        </w:rPr>
        <w:tab/>
        <w:t>4</w:t>
      </w:r>
    </w:p>
    <w:p w14:paraId="159FCB33" w14:textId="6850A3E7" w:rsidR="0067718C" w:rsidRDefault="0067718C">
      <w:pPr>
        <w:pStyle w:val="TOC2"/>
        <w:rPr>
          <w:rFonts w:asciiTheme="minorHAnsi" w:eastAsiaTheme="minorEastAsia" w:hAnsiTheme="minorHAnsi" w:cstheme="minorBidi"/>
          <w:noProof/>
          <w:color w:val="auto"/>
          <w:kern w:val="2"/>
          <w:sz w:val="24"/>
          <w:szCs w:val="24"/>
          <w:lang w:bidi="ar-SA"/>
          <w14:ligatures w14:val="standardContextual"/>
        </w:rPr>
      </w:pPr>
      <w:r w:rsidRPr="000F7470">
        <w:rPr>
          <w:noProof/>
        </w:rPr>
        <w:t>4.1</w:t>
      </w:r>
      <w:r>
        <w:rPr>
          <w:rFonts w:asciiTheme="minorHAnsi" w:eastAsiaTheme="minorEastAsia" w:hAnsiTheme="minorHAnsi" w:cstheme="minorBidi"/>
          <w:noProof/>
          <w:color w:val="auto"/>
          <w:kern w:val="2"/>
          <w:sz w:val="24"/>
          <w:szCs w:val="24"/>
          <w:lang w:bidi="ar-SA"/>
          <w14:ligatures w14:val="standardContextual"/>
        </w:rPr>
        <w:tab/>
      </w:r>
      <w:r w:rsidRPr="000F7470">
        <w:rPr>
          <w:noProof/>
        </w:rPr>
        <w:t>Integrated Multi-Contractor Environment (5.2.3.1)</w:t>
      </w:r>
      <w:r>
        <w:rPr>
          <w:noProof/>
          <w:webHidden/>
        </w:rPr>
        <w:tab/>
        <w:t>5</w:t>
      </w:r>
    </w:p>
    <w:p w14:paraId="2E43204C" w14:textId="48118FBF"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4.1.1</w:t>
      </w:r>
      <w:r>
        <w:rPr>
          <w:rFonts w:asciiTheme="minorHAnsi" w:eastAsiaTheme="minorEastAsia" w:hAnsiTheme="minorHAnsi" w:cstheme="minorBidi"/>
          <w:color w:val="auto"/>
          <w:kern w:val="2"/>
          <w:sz w:val="24"/>
          <w:szCs w:val="24"/>
          <w:lang w:eastAsia="en-US" w:bidi="ar-SA"/>
          <w14:ligatures w14:val="standardContextual"/>
        </w:rPr>
        <w:tab/>
      </w:r>
      <w:r w:rsidRPr="000F7470">
        <w:t>Approach to Managing the Gainwell Scope of Work</w:t>
      </w:r>
      <w:r>
        <w:rPr>
          <w:webHidden/>
        </w:rPr>
        <w:tab/>
        <w:t>6</w:t>
      </w:r>
    </w:p>
    <w:p w14:paraId="603AC2FF" w14:textId="67B042EB"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4.1.2</w:t>
      </w:r>
      <w:r>
        <w:rPr>
          <w:rFonts w:asciiTheme="minorHAnsi" w:eastAsiaTheme="minorEastAsia" w:hAnsiTheme="minorHAnsi" w:cstheme="minorBidi"/>
          <w:color w:val="auto"/>
          <w:kern w:val="2"/>
          <w:sz w:val="24"/>
          <w:szCs w:val="24"/>
          <w:lang w:eastAsia="en-US" w:bidi="ar-SA"/>
          <w14:ligatures w14:val="standardContextual"/>
        </w:rPr>
        <w:tab/>
      </w:r>
      <w:r w:rsidRPr="000F7470">
        <w:t>Coordinating with Other CalSAWS Contractors and the CalSAWS Delivery Integration Team</w:t>
      </w:r>
      <w:r>
        <w:rPr>
          <w:webHidden/>
        </w:rPr>
        <w:tab/>
        <w:t>14</w:t>
      </w:r>
    </w:p>
    <w:p w14:paraId="4957A41A" w14:textId="1F7B9628" w:rsidR="0067718C" w:rsidRDefault="0067718C">
      <w:pPr>
        <w:pStyle w:val="TOC2"/>
        <w:rPr>
          <w:rFonts w:asciiTheme="minorHAnsi" w:eastAsiaTheme="minorEastAsia" w:hAnsiTheme="minorHAnsi" w:cstheme="minorBidi"/>
          <w:noProof/>
          <w:color w:val="auto"/>
          <w:kern w:val="2"/>
          <w:sz w:val="24"/>
          <w:szCs w:val="24"/>
          <w:lang w:bidi="ar-SA"/>
          <w14:ligatures w14:val="standardContextual"/>
        </w:rPr>
      </w:pPr>
      <w:r w:rsidRPr="000F7470">
        <w:rPr>
          <w:noProof/>
        </w:rPr>
        <w:t>4.2</w:t>
      </w:r>
      <w:r>
        <w:rPr>
          <w:rFonts w:asciiTheme="minorHAnsi" w:eastAsiaTheme="minorEastAsia" w:hAnsiTheme="minorHAnsi" w:cstheme="minorBidi"/>
          <w:noProof/>
          <w:color w:val="auto"/>
          <w:kern w:val="2"/>
          <w:sz w:val="24"/>
          <w:szCs w:val="24"/>
          <w:lang w:bidi="ar-SA"/>
          <w14:ligatures w14:val="standardContextual"/>
        </w:rPr>
        <w:tab/>
      </w:r>
      <w:r w:rsidRPr="000F7470">
        <w:rPr>
          <w:noProof/>
        </w:rPr>
        <w:t>Software Development (5.2.3.2)</w:t>
      </w:r>
      <w:r>
        <w:rPr>
          <w:noProof/>
          <w:webHidden/>
        </w:rPr>
        <w:tab/>
        <w:t>33</w:t>
      </w:r>
    </w:p>
    <w:p w14:paraId="423F4FC3" w14:textId="3FD62BD6"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4.2.1</w:t>
      </w:r>
      <w:r>
        <w:rPr>
          <w:rFonts w:asciiTheme="minorHAnsi" w:eastAsiaTheme="minorEastAsia" w:hAnsiTheme="minorHAnsi" w:cstheme="minorBidi"/>
          <w:color w:val="auto"/>
          <w:kern w:val="2"/>
          <w:sz w:val="24"/>
          <w:szCs w:val="24"/>
          <w:lang w:eastAsia="en-US" w:bidi="ar-SA"/>
          <w14:ligatures w14:val="standardContextual"/>
        </w:rPr>
        <w:tab/>
      </w:r>
      <w:r w:rsidRPr="000F7470">
        <w:t>Software Development Approach</w:t>
      </w:r>
      <w:r>
        <w:rPr>
          <w:webHidden/>
        </w:rPr>
        <w:tab/>
        <w:t>33</w:t>
      </w:r>
    </w:p>
    <w:p w14:paraId="11E3CF46" w14:textId="3F9383F9"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4.2.2</w:t>
      </w:r>
      <w:r>
        <w:rPr>
          <w:rFonts w:asciiTheme="minorHAnsi" w:eastAsiaTheme="minorEastAsia" w:hAnsiTheme="minorHAnsi" w:cstheme="minorBidi"/>
          <w:color w:val="auto"/>
          <w:kern w:val="2"/>
          <w:sz w:val="24"/>
          <w:szCs w:val="24"/>
          <w:lang w:eastAsia="en-US" w:bidi="ar-SA"/>
          <w14:ligatures w14:val="standardContextual"/>
        </w:rPr>
        <w:tab/>
      </w:r>
      <w:r w:rsidRPr="000F7470">
        <w:t>Gainwell Product Solutions</w:t>
      </w:r>
      <w:r>
        <w:rPr>
          <w:webHidden/>
        </w:rPr>
        <w:tab/>
        <w:t>37</w:t>
      </w:r>
    </w:p>
    <w:p w14:paraId="6B936554" w14:textId="1D645DE0"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4.2.3</w:t>
      </w:r>
      <w:r>
        <w:rPr>
          <w:rFonts w:asciiTheme="minorHAnsi" w:eastAsiaTheme="minorEastAsia" w:hAnsiTheme="minorHAnsi" w:cstheme="minorBidi"/>
          <w:color w:val="auto"/>
          <w:kern w:val="2"/>
          <w:sz w:val="24"/>
          <w:szCs w:val="24"/>
          <w:lang w:eastAsia="en-US" w:bidi="ar-SA"/>
          <w14:ligatures w14:val="standardContextual"/>
        </w:rPr>
        <w:tab/>
      </w:r>
      <w:r w:rsidRPr="000F7470">
        <w:t>User Centered Design Approach and Improvements</w:t>
      </w:r>
      <w:r>
        <w:rPr>
          <w:webHidden/>
        </w:rPr>
        <w:tab/>
        <w:t>41</w:t>
      </w:r>
    </w:p>
    <w:p w14:paraId="10A32A80" w14:textId="11692B40"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4.2.3.1</w:t>
      </w:r>
      <w:r>
        <w:rPr>
          <w:rFonts w:asciiTheme="minorHAnsi" w:eastAsiaTheme="minorEastAsia" w:hAnsiTheme="minorHAnsi" w:cstheme="minorBidi"/>
          <w:color w:val="auto"/>
          <w:kern w:val="2"/>
          <w:sz w:val="24"/>
          <w:szCs w:val="24"/>
          <w:lang w:bidi="ar-SA"/>
          <w14:ligatures w14:val="standardContextual"/>
        </w:rPr>
        <w:tab/>
      </w:r>
      <w:r w:rsidRPr="000F7470">
        <w:rPr>
          <w:szCs w:val="18"/>
        </w:rPr>
        <w:t>Identify</w:t>
      </w:r>
      <w:r>
        <w:rPr>
          <w:webHidden/>
        </w:rPr>
        <w:tab/>
        <w:t>44</w:t>
      </w:r>
    </w:p>
    <w:p w14:paraId="5EA22207" w14:textId="28F445EE"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4.2.3.2</w:t>
      </w:r>
      <w:r>
        <w:rPr>
          <w:rFonts w:asciiTheme="minorHAnsi" w:eastAsiaTheme="minorEastAsia" w:hAnsiTheme="minorHAnsi" w:cstheme="minorBidi"/>
          <w:color w:val="auto"/>
          <w:kern w:val="2"/>
          <w:sz w:val="24"/>
          <w:szCs w:val="24"/>
          <w:lang w:bidi="ar-SA"/>
          <w14:ligatures w14:val="standardContextual"/>
        </w:rPr>
        <w:tab/>
      </w:r>
      <w:r w:rsidRPr="000F7470">
        <w:rPr>
          <w:szCs w:val="18"/>
        </w:rPr>
        <w:t>Design</w:t>
      </w:r>
      <w:r>
        <w:rPr>
          <w:webHidden/>
        </w:rPr>
        <w:tab/>
        <w:t>47</w:t>
      </w:r>
    </w:p>
    <w:p w14:paraId="0D0042DC" w14:textId="62B795E1"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4.2.3.3</w:t>
      </w:r>
      <w:r>
        <w:rPr>
          <w:rFonts w:asciiTheme="minorHAnsi" w:eastAsiaTheme="minorEastAsia" w:hAnsiTheme="minorHAnsi" w:cstheme="minorBidi"/>
          <w:color w:val="auto"/>
          <w:kern w:val="2"/>
          <w:sz w:val="24"/>
          <w:szCs w:val="24"/>
          <w:lang w:bidi="ar-SA"/>
          <w14:ligatures w14:val="standardContextual"/>
        </w:rPr>
        <w:tab/>
      </w:r>
      <w:r w:rsidRPr="000F7470">
        <w:rPr>
          <w:szCs w:val="18"/>
        </w:rPr>
        <w:t>Build and Deploy</w:t>
      </w:r>
      <w:r>
        <w:rPr>
          <w:webHidden/>
        </w:rPr>
        <w:tab/>
        <w:t>50</w:t>
      </w:r>
    </w:p>
    <w:p w14:paraId="5E119D01" w14:textId="7B2B156B"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4.2.3.4</w:t>
      </w:r>
      <w:r>
        <w:rPr>
          <w:rFonts w:asciiTheme="minorHAnsi" w:eastAsiaTheme="minorEastAsia" w:hAnsiTheme="minorHAnsi" w:cstheme="minorBidi"/>
          <w:color w:val="auto"/>
          <w:kern w:val="2"/>
          <w:sz w:val="24"/>
          <w:szCs w:val="24"/>
          <w:lang w:bidi="ar-SA"/>
          <w14:ligatures w14:val="standardContextual"/>
        </w:rPr>
        <w:tab/>
      </w:r>
      <w:r w:rsidRPr="000F7470">
        <w:rPr>
          <w:szCs w:val="18"/>
        </w:rPr>
        <w:t>Feedback</w:t>
      </w:r>
      <w:r>
        <w:rPr>
          <w:webHidden/>
        </w:rPr>
        <w:tab/>
        <w:t>51</w:t>
      </w:r>
    </w:p>
    <w:p w14:paraId="64C11A36" w14:textId="6A34BD88"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4.2.4</w:t>
      </w:r>
      <w:r>
        <w:rPr>
          <w:rFonts w:asciiTheme="minorHAnsi" w:eastAsiaTheme="minorEastAsia" w:hAnsiTheme="minorHAnsi" w:cstheme="minorBidi"/>
          <w:color w:val="auto"/>
          <w:kern w:val="2"/>
          <w:sz w:val="24"/>
          <w:szCs w:val="24"/>
          <w:lang w:eastAsia="en-US" w:bidi="ar-SA"/>
          <w14:ligatures w14:val="standardContextual"/>
        </w:rPr>
        <w:tab/>
      </w:r>
      <w:r w:rsidRPr="000F7470">
        <w:t>DevSecOps</w:t>
      </w:r>
      <w:r>
        <w:rPr>
          <w:webHidden/>
        </w:rPr>
        <w:tab/>
        <w:t>56</w:t>
      </w:r>
    </w:p>
    <w:p w14:paraId="5F176434" w14:textId="742AB876"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4.2.4</w:t>
      </w:r>
      <w:r>
        <w:rPr>
          <w:rFonts w:asciiTheme="minorHAnsi" w:eastAsiaTheme="minorEastAsia" w:hAnsiTheme="minorHAnsi" w:cstheme="minorBidi"/>
          <w:color w:val="auto"/>
          <w:kern w:val="2"/>
          <w:sz w:val="24"/>
          <w:szCs w:val="24"/>
          <w:lang w:eastAsia="en-US" w:bidi="ar-SA"/>
          <w14:ligatures w14:val="standardContextual"/>
        </w:rPr>
        <w:tab/>
      </w:r>
      <w:r w:rsidRPr="000F7470">
        <w:t>Continuous Integration/Continuous Delivery (CI/CD)</w:t>
      </w:r>
      <w:r>
        <w:rPr>
          <w:webHidden/>
        </w:rPr>
        <w:tab/>
        <w:t>57</w:t>
      </w:r>
    </w:p>
    <w:p w14:paraId="1F6C0FE3" w14:textId="562769BE"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4.2.5</w:t>
      </w:r>
      <w:r>
        <w:rPr>
          <w:rFonts w:asciiTheme="minorHAnsi" w:eastAsiaTheme="minorEastAsia" w:hAnsiTheme="minorHAnsi" w:cstheme="minorBidi"/>
          <w:color w:val="auto"/>
          <w:kern w:val="2"/>
          <w:sz w:val="24"/>
          <w:szCs w:val="24"/>
          <w:lang w:eastAsia="en-US" w:bidi="ar-SA"/>
          <w14:ligatures w14:val="standardContextual"/>
        </w:rPr>
        <w:tab/>
      </w:r>
      <w:r w:rsidRPr="000F7470">
        <w:t>Secure Development</w:t>
      </w:r>
      <w:r>
        <w:rPr>
          <w:webHidden/>
        </w:rPr>
        <w:tab/>
        <w:t>58</w:t>
      </w:r>
    </w:p>
    <w:p w14:paraId="0FAA27A6" w14:textId="4C474403" w:rsidR="0067718C" w:rsidRDefault="0067718C">
      <w:pPr>
        <w:pStyle w:val="TOC2"/>
        <w:rPr>
          <w:rFonts w:asciiTheme="minorHAnsi" w:eastAsiaTheme="minorEastAsia" w:hAnsiTheme="minorHAnsi" w:cstheme="minorBidi"/>
          <w:noProof/>
          <w:color w:val="auto"/>
          <w:kern w:val="2"/>
          <w:sz w:val="24"/>
          <w:szCs w:val="24"/>
          <w:lang w:bidi="ar-SA"/>
          <w14:ligatures w14:val="standardContextual"/>
        </w:rPr>
      </w:pPr>
      <w:r w:rsidRPr="000F7470">
        <w:rPr>
          <w:noProof/>
        </w:rPr>
        <w:t>4.3</w:t>
      </w:r>
      <w:r>
        <w:rPr>
          <w:rFonts w:asciiTheme="minorHAnsi" w:eastAsiaTheme="minorEastAsia" w:hAnsiTheme="minorHAnsi" w:cstheme="minorBidi"/>
          <w:noProof/>
          <w:color w:val="auto"/>
          <w:kern w:val="2"/>
          <w:sz w:val="24"/>
          <w:szCs w:val="24"/>
          <w:lang w:bidi="ar-SA"/>
          <w14:ligatures w14:val="standardContextual"/>
        </w:rPr>
        <w:tab/>
      </w:r>
      <w:r w:rsidRPr="000F7470">
        <w:rPr>
          <w:noProof/>
        </w:rPr>
        <w:t>Application Evolution and Innovation (5.2.3.3)</w:t>
      </w:r>
      <w:r>
        <w:rPr>
          <w:noProof/>
          <w:webHidden/>
        </w:rPr>
        <w:tab/>
        <w:t>62</w:t>
      </w:r>
    </w:p>
    <w:p w14:paraId="0DBFB6EB" w14:textId="5634BF0C"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4.3.1</w:t>
      </w:r>
      <w:r>
        <w:rPr>
          <w:rFonts w:asciiTheme="minorHAnsi" w:eastAsiaTheme="minorEastAsia" w:hAnsiTheme="minorHAnsi" w:cstheme="minorBidi"/>
          <w:color w:val="auto"/>
          <w:kern w:val="2"/>
          <w:sz w:val="24"/>
          <w:szCs w:val="24"/>
          <w:lang w:eastAsia="en-US" w:bidi="ar-SA"/>
          <w14:ligatures w14:val="standardContextual"/>
        </w:rPr>
        <w:tab/>
      </w:r>
      <w:r w:rsidRPr="000F7470">
        <w:t>Enterprise Architecture Framework</w:t>
      </w:r>
      <w:r>
        <w:rPr>
          <w:webHidden/>
        </w:rPr>
        <w:tab/>
        <w:t>63</w:t>
      </w:r>
    </w:p>
    <w:p w14:paraId="0ED8FDE9" w14:textId="128B2BC1"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4.3.2</w:t>
      </w:r>
      <w:r>
        <w:rPr>
          <w:rFonts w:asciiTheme="minorHAnsi" w:eastAsiaTheme="minorEastAsia" w:hAnsiTheme="minorHAnsi" w:cstheme="minorBidi"/>
          <w:color w:val="auto"/>
          <w:kern w:val="2"/>
          <w:sz w:val="24"/>
          <w:szCs w:val="24"/>
          <w:lang w:eastAsia="en-US" w:bidi="ar-SA"/>
          <w14:ligatures w14:val="standardContextual"/>
        </w:rPr>
        <w:tab/>
      </w:r>
      <w:r w:rsidRPr="000F7470">
        <w:t>Security Considerations</w:t>
      </w:r>
      <w:r>
        <w:rPr>
          <w:webHidden/>
        </w:rPr>
        <w:tab/>
        <w:t>65</w:t>
      </w:r>
    </w:p>
    <w:p w14:paraId="35919163" w14:textId="2E204C9C"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4.3.3</w:t>
      </w:r>
      <w:r>
        <w:rPr>
          <w:rFonts w:asciiTheme="minorHAnsi" w:eastAsiaTheme="minorEastAsia" w:hAnsiTheme="minorHAnsi" w:cstheme="minorBidi"/>
          <w:color w:val="auto"/>
          <w:kern w:val="2"/>
          <w:sz w:val="24"/>
          <w:szCs w:val="24"/>
          <w:lang w:eastAsia="en-US" w:bidi="ar-SA"/>
          <w14:ligatures w14:val="standardContextual"/>
        </w:rPr>
        <w:tab/>
      </w:r>
      <w:r w:rsidRPr="000F7470">
        <w:t>Reducing Costs and Improving Optimization, Scalability and Flexibility</w:t>
      </w:r>
      <w:r>
        <w:rPr>
          <w:webHidden/>
        </w:rPr>
        <w:tab/>
        <w:t>68</w:t>
      </w:r>
    </w:p>
    <w:p w14:paraId="2C835038" w14:textId="7490B3E5"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4.3.4</w:t>
      </w:r>
      <w:r>
        <w:rPr>
          <w:rFonts w:asciiTheme="minorHAnsi" w:eastAsiaTheme="minorEastAsia" w:hAnsiTheme="minorHAnsi" w:cstheme="minorBidi"/>
          <w:color w:val="auto"/>
          <w:kern w:val="2"/>
          <w:sz w:val="24"/>
          <w:szCs w:val="24"/>
          <w:lang w:eastAsia="en-US" w:bidi="ar-SA"/>
          <w14:ligatures w14:val="standardContextual"/>
        </w:rPr>
        <w:tab/>
      </w:r>
      <w:r w:rsidRPr="000F7470">
        <w:t>Product Lifecycle Management</w:t>
      </w:r>
      <w:r>
        <w:rPr>
          <w:webHidden/>
        </w:rPr>
        <w:tab/>
        <w:t>74</w:t>
      </w:r>
    </w:p>
    <w:p w14:paraId="44A9323C" w14:textId="0C185FB9"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4.3.5</w:t>
      </w:r>
      <w:r>
        <w:rPr>
          <w:rFonts w:asciiTheme="minorHAnsi" w:eastAsiaTheme="minorEastAsia" w:hAnsiTheme="minorHAnsi" w:cstheme="minorBidi"/>
          <w:color w:val="auto"/>
          <w:kern w:val="2"/>
          <w:sz w:val="24"/>
          <w:szCs w:val="24"/>
          <w:lang w:eastAsia="en-US" w:bidi="ar-SA"/>
          <w14:ligatures w14:val="standardContextual"/>
        </w:rPr>
        <w:tab/>
      </w:r>
      <w:r w:rsidRPr="000F7470">
        <w:t>Coordinate with the Consortium to Evaluate Emerging Technologies</w:t>
      </w:r>
      <w:r>
        <w:rPr>
          <w:webHidden/>
        </w:rPr>
        <w:tab/>
        <w:t>80</w:t>
      </w:r>
    </w:p>
    <w:p w14:paraId="29F902FC" w14:textId="0E5321CE"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4.3.6</w:t>
      </w:r>
      <w:r>
        <w:rPr>
          <w:rFonts w:asciiTheme="minorHAnsi" w:eastAsiaTheme="minorEastAsia" w:hAnsiTheme="minorHAnsi" w:cstheme="minorBidi"/>
          <w:color w:val="auto"/>
          <w:kern w:val="2"/>
          <w:sz w:val="24"/>
          <w:szCs w:val="24"/>
          <w:lang w:eastAsia="en-US" w:bidi="ar-SA"/>
          <w14:ligatures w14:val="standardContextual"/>
        </w:rPr>
        <w:tab/>
      </w:r>
      <w:r w:rsidRPr="000F7470">
        <w:t>Propose Integration of the Selected Innovation</w:t>
      </w:r>
      <w:r>
        <w:rPr>
          <w:webHidden/>
        </w:rPr>
        <w:tab/>
        <w:t>81</w:t>
      </w:r>
    </w:p>
    <w:p w14:paraId="50F4598F" w14:textId="4C481B43"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4.3.7</w:t>
      </w:r>
      <w:r>
        <w:rPr>
          <w:rFonts w:asciiTheme="minorHAnsi" w:eastAsiaTheme="minorEastAsia" w:hAnsiTheme="minorHAnsi" w:cstheme="minorBidi"/>
          <w:color w:val="auto"/>
          <w:kern w:val="2"/>
          <w:sz w:val="24"/>
          <w:szCs w:val="24"/>
          <w:lang w:eastAsia="en-US" w:bidi="ar-SA"/>
          <w14:ligatures w14:val="standardContextual"/>
        </w:rPr>
        <w:tab/>
      </w:r>
      <w:r w:rsidRPr="000F7470">
        <w:t>Evaluate Value and Impact to Business Operations and Develop Strategies for Implementation</w:t>
      </w:r>
      <w:r>
        <w:rPr>
          <w:webHidden/>
        </w:rPr>
        <w:tab/>
        <w:t>84</w:t>
      </w:r>
    </w:p>
    <w:p w14:paraId="491C9EE3" w14:textId="0B2920D8"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4.3.8</w:t>
      </w:r>
      <w:r>
        <w:rPr>
          <w:rFonts w:asciiTheme="minorHAnsi" w:eastAsiaTheme="minorEastAsia" w:hAnsiTheme="minorHAnsi" w:cstheme="minorBidi"/>
          <w:color w:val="auto"/>
          <w:kern w:val="2"/>
          <w:sz w:val="24"/>
          <w:szCs w:val="24"/>
          <w:lang w:eastAsia="en-US" w:bidi="ar-SA"/>
          <w14:ligatures w14:val="standardContextual"/>
        </w:rPr>
        <w:tab/>
      </w:r>
      <w:r w:rsidRPr="000F7470">
        <w:t>The Product Lifecycle Management Framework and Innovation Approach in Action</w:t>
      </w:r>
      <w:r>
        <w:rPr>
          <w:webHidden/>
        </w:rPr>
        <w:tab/>
        <w:t>86</w:t>
      </w:r>
    </w:p>
    <w:p w14:paraId="6A083F6E" w14:textId="1D898740" w:rsidR="0067718C" w:rsidRDefault="0067718C">
      <w:pPr>
        <w:pStyle w:val="TOC2"/>
        <w:rPr>
          <w:rFonts w:asciiTheme="minorHAnsi" w:eastAsiaTheme="minorEastAsia" w:hAnsiTheme="minorHAnsi" w:cstheme="minorBidi"/>
          <w:noProof/>
          <w:color w:val="auto"/>
          <w:kern w:val="2"/>
          <w:sz w:val="24"/>
          <w:szCs w:val="24"/>
          <w:lang w:bidi="ar-SA"/>
          <w14:ligatures w14:val="standardContextual"/>
        </w:rPr>
      </w:pPr>
      <w:r w:rsidRPr="000F7470">
        <w:rPr>
          <w:noProof/>
        </w:rPr>
        <w:t>4.4</w:t>
      </w:r>
      <w:r>
        <w:rPr>
          <w:rFonts w:asciiTheme="minorHAnsi" w:eastAsiaTheme="minorEastAsia" w:hAnsiTheme="minorHAnsi" w:cstheme="minorBidi"/>
          <w:noProof/>
          <w:color w:val="auto"/>
          <w:kern w:val="2"/>
          <w:sz w:val="24"/>
          <w:szCs w:val="24"/>
          <w:lang w:bidi="ar-SA"/>
          <w14:ligatures w14:val="standardContextual"/>
        </w:rPr>
        <w:tab/>
      </w:r>
      <w:r w:rsidRPr="000F7470">
        <w:rPr>
          <w:noProof/>
        </w:rPr>
        <w:t>User Experience, Marketing, and Public Communications (5.2.3.4)</w:t>
      </w:r>
      <w:r>
        <w:rPr>
          <w:noProof/>
          <w:webHidden/>
        </w:rPr>
        <w:tab/>
        <w:t>92</w:t>
      </w:r>
    </w:p>
    <w:p w14:paraId="59765E6A" w14:textId="1F61B6EE"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4.4.1</w:t>
      </w:r>
      <w:r>
        <w:rPr>
          <w:rFonts w:asciiTheme="minorHAnsi" w:eastAsiaTheme="minorEastAsia" w:hAnsiTheme="minorHAnsi" w:cstheme="minorBidi"/>
          <w:color w:val="auto"/>
          <w:kern w:val="2"/>
          <w:sz w:val="24"/>
          <w:szCs w:val="24"/>
          <w:lang w:eastAsia="en-US" w:bidi="ar-SA"/>
          <w14:ligatures w14:val="standardContextual"/>
        </w:rPr>
        <w:tab/>
      </w:r>
      <w:r w:rsidRPr="000F7470">
        <w:t>Increase Brand Exposure and Image</w:t>
      </w:r>
      <w:r>
        <w:rPr>
          <w:webHidden/>
        </w:rPr>
        <w:tab/>
        <w:t>98</w:t>
      </w:r>
    </w:p>
    <w:p w14:paraId="2D10E139" w14:textId="1BFCCD50"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4.4.1.1</w:t>
      </w:r>
      <w:r>
        <w:rPr>
          <w:rFonts w:asciiTheme="minorHAnsi" w:eastAsiaTheme="minorEastAsia" w:hAnsiTheme="minorHAnsi" w:cstheme="minorBidi"/>
          <w:color w:val="auto"/>
          <w:kern w:val="2"/>
          <w:sz w:val="24"/>
          <w:szCs w:val="24"/>
          <w:lang w:bidi="ar-SA"/>
          <w14:ligatures w14:val="standardContextual"/>
        </w:rPr>
        <w:tab/>
      </w:r>
      <w:r w:rsidRPr="000F7470">
        <w:rPr>
          <w:szCs w:val="18"/>
        </w:rPr>
        <w:t>Improving the BenefitsCal Image</w:t>
      </w:r>
      <w:r>
        <w:rPr>
          <w:webHidden/>
        </w:rPr>
        <w:tab/>
        <w:t>103</w:t>
      </w:r>
    </w:p>
    <w:p w14:paraId="7B9D23F1" w14:textId="133E3559" w:rsidR="0067718C" w:rsidRDefault="0067718C">
      <w:pPr>
        <w:pStyle w:val="TOC3"/>
        <w:rPr>
          <w:rFonts w:asciiTheme="minorHAnsi" w:eastAsiaTheme="minorEastAsia" w:hAnsiTheme="minorHAnsi" w:cstheme="minorBidi"/>
          <w:color w:val="auto"/>
          <w:kern w:val="2"/>
          <w:sz w:val="24"/>
          <w:szCs w:val="24"/>
          <w:lang w:eastAsia="en-US" w:bidi="ar-SA"/>
          <w14:ligatures w14:val="standardContextual"/>
        </w:rPr>
      </w:pPr>
      <w:r w:rsidRPr="000F7470">
        <w:t>4.4.2</w:t>
      </w:r>
      <w:r>
        <w:rPr>
          <w:rFonts w:asciiTheme="minorHAnsi" w:eastAsiaTheme="minorEastAsia" w:hAnsiTheme="minorHAnsi" w:cstheme="minorBidi"/>
          <w:color w:val="auto"/>
          <w:kern w:val="2"/>
          <w:sz w:val="24"/>
          <w:szCs w:val="24"/>
          <w:lang w:eastAsia="en-US" w:bidi="ar-SA"/>
          <w14:ligatures w14:val="standardContextual"/>
        </w:rPr>
        <w:tab/>
      </w:r>
      <w:r w:rsidRPr="000F7470">
        <w:t>Enhance and Expand Public Education and Coaching</w:t>
      </w:r>
      <w:r>
        <w:rPr>
          <w:webHidden/>
        </w:rPr>
        <w:tab/>
        <w:t>106</w:t>
      </w:r>
    </w:p>
    <w:p w14:paraId="5678C564" w14:textId="5F3D2E4C"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4.4.2.1</w:t>
      </w:r>
      <w:r>
        <w:rPr>
          <w:rFonts w:asciiTheme="minorHAnsi" w:eastAsiaTheme="minorEastAsia" w:hAnsiTheme="minorHAnsi" w:cstheme="minorBidi"/>
          <w:color w:val="auto"/>
          <w:kern w:val="2"/>
          <w:sz w:val="24"/>
          <w:szCs w:val="24"/>
          <w:lang w:bidi="ar-SA"/>
          <w14:ligatures w14:val="standardContextual"/>
        </w:rPr>
        <w:tab/>
      </w:r>
      <w:r w:rsidRPr="000F7470">
        <w:rPr>
          <w:szCs w:val="18"/>
        </w:rPr>
        <w:t>BenefitsCal Public Communication in Action: Public Education in LA County</w:t>
      </w:r>
      <w:r>
        <w:rPr>
          <w:webHidden/>
        </w:rPr>
        <w:tab/>
        <w:t>107</w:t>
      </w:r>
    </w:p>
    <w:p w14:paraId="72397C72" w14:textId="1D43FA94"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4.4.2.2</w:t>
      </w:r>
      <w:r>
        <w:rPr>
          <w:rFonts w:asciiTheme="minorHAnsi" w:eastAsiaTheme="minorEastAsia" w:hAnsiTheme="minorHAnsi" w:cstheme="minorBidi"/>
          <w:color w:val="auto"/>
          <w:kern w:val="2"/>
          <w:sz w:val="24"/>
          <w:szCs w:val="24"/>
          <w:lang w:bidi="ar-SA"/>
          <w14:ligatures w14:val="standardContextual"/>
        </w:rPr>
        <w:tab/>
      </w:r>
      <w:r w:rsidRPr="000F7470">
        <w:rPr>
          <w:szCs w:val="18"/>
        </w:rPr>
        <w:t>BenefitsCal Public Communication in Action: Coaching through Outreach in Placer County</w:t>
      </w:r>
      <w:r>
        <w:rPr>
          <w:webHidden/>
        </w:rPr>
        <w:tab/>
        <w:t>109</w:t>
      </w:r>
    </w:p>
    <w:p w14:paraId="22680991" w14:textId="14BD95B3"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4.4.2.3</w:t>
      </w:r>
      <w:r>
        <w:rPr>
          <w:rFonts w:asciiTheme="minorHAnsi" w:eastAsiaTheme="minorEastAsia" w:hAnsiTheme="minorHAnsi" w:cstheme="minorBidi"/>
          <w:color w:val="auto"/>
          <w:kern w:val="2"/>
          <w:sz w:val="24"/>
          <w:szCs w:val="24"/>
          <w:lang w:bidi="ar-SA"/>
          <w14:ligatures w14:val="standardContextual"/>
        </w:rPr>
        <w:tab/>
      </w:r>
      <w:r w:rsidRPr="000F7470">
        <w:rPr>
          <w:szCs w:val="18"/>
        </w:rPr>
        <w:t>Understanding: Advocates</w:t>
      </w:r>
      <w:r>
        <w:rPr>
          <w:webHidden/>
        </w:rPr>
        <w:tab/>
        <w:t>111</w:t>
      </w:r>
    </w:p>
    <w:p w14:paraId="0C43C5BD" w14:textId="7CF7A870"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4.4.2.4</w:t>
      </w:r>
      <w:r>
        <w:rPr>
          <w:rFonts w:asciiTheme="minorHAnsi" w:eastAsiaTheme="minorEastAsia" w:hAnsiTheme="minorHAnsi" w:cstheme="minorBidi"/>
          <w:color w:val="auto"/>
          <w:kern w:val="2"/>
          <w:sz w:val="24"/>
          <w:szCs w:val="24"/>
          <w:lang w:bidi="ar-SA"/>
          <w14:ligatures w14:val="standardContextual"/>
        </w:rPr>
        <w:tab/>
      </w:r>
      <w:r w:rsidRPr="000F7470">
        <w:rPr>
          <w:szCs w:val="18"/>
        </w:rPr>
        <w:t>Leadership and Communication: Advocates</w:t>
      </w:r>
      <w:r>
        <w:rPr>
          <w:webHidden/>
        </w:rPr>
        <w:tab/>
        <w:t>112</w:t>
      </w:r>
    </w:p>
    <w:p w14:paraId="1F0590C5" w14:textId="6695932F"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4.4.2.5</w:t>
      </w:r>
      <w:r>
        <w:rPr>
          <w:rFonts w:asciiTheme="minorHAnsi" w:eastAsiaTheme="minorEastAsia" w:hAnsiTheme="minorHAnsi" w:cstheme="minorBidi"/>
          <w:color w:val="auto"/>
          <w:kern w:val="2"/>
          <w:sz w:val="24"/>
          <w:szCs w:val="24"/>
          <w:lang w:bidi="ar-SA"/>
          <w14:ligatures w14:val="standardContextual"/>
        </w:rPr>
        <w:tab/>
      </w:r>
      <w:r w:rsidRPr="000F7470">
        <w:rPr>
          <w:szCs w:val="18"/>
        </w:rPr>
        <w:t>State and Federal Partners</w:t>
      </w:r>
      <w:r>
        <w:rPr>
          <w:webHidden/>
        </w:rPr>
        <w:tab/>
        <w:t>113</w:t>
      </w:r>
    </w:p>
    <w:p w14:paraId="338F9661" w14:textId="49761D9B" w:rsidR="0067718C" w:rsidRDefault="0067718C">
      <w:pPr>
        <w:pStyle w:val="TOC4"/>
        <w:rPr>
          <w:rFonts w:asciiTheme="minorHAnsi" w:eastAsiaTheme="minorEastAsia" w:hAnsiTheme="minorHAnsi" w:cstheme="minorBidi"/>
          <w:color w:val="auto"/>
          <w:kern w:val="2"/>
          <w:sz w:val="24"/>
          <w:szCs w:val="24"/>
          <w:lang w:bidi="ar-SA"/>
          <w14:ligatures w14:val="standardContextual"/>
        </w:rPr>
      </w:pPr>
      <w:r w:rsidRPr="000F7470">
        <w:rPr>
          <w:szCs w:val="18"/>
        </w:rPr>
        <w:t>4.4.2.6</w:t>
      </w:r>
      <w:r>
        <w:rPr>
          <w:rFonts w:asciiTheme="minorHAnsi" w:eastAsiaTheme="minorEastAsia" w:hAnsiTheme="minorHAnsi" w:cstheme="minorBidi"/>
          <w:color w:val="auto"/>
          <w:kern w:val="2"/>
          <w:sz w:val="24"/>
          <w:szCs w:val="24"/>
          <w:lang w:bidi="ar-SA"/>
          <w14:ligatures w14:val="standardContextual"/>
        </w:rPr>
        <w:tab/>
      </w:r>
      <w:r w:rsidRPr="000F7470">
        <w:rPr>
          <w:szCs w:val="18"/>
        </w:rPr>
        <w:t>Additional Public and Private Organizations</w:t>
      </w:r>
      <w:r>
        <w:rPr>
          <w:webHidden/>
        </w:rPr>
        <w:tab/>
        <w:t>114</w:t>
      </w:r>
    </w:p>
    <w:p w14:paraId="227224F1" w14:textId="6FAE0DF5" w:rsidR="001547F2" w:rsidRDefault="001547F2" w:rsidP="001547F2">
      <w:pPr>
        <w:pStyle w:val="BlindParagraph"/>
      </w:pPr>
    </w:p>
    <w:p w14:paraId="100008FF" w14:textId="77777777" w:rsidR="001547F2" w:rsidRDefault="001547F2" w:rsidP="001547F2">
      <w:pPr>
        <w:pStyle w:val="TableofContents"/>
        <w:spacing w:before="240"/>
      </w:pPr>
      <w:r>
        <w:lastRenderedPageBreak/>
        <w:t>List of Figures</w:t>
      </w:r>
    </w:p>
    <w:p w14:paraId="4A862193" w14:textId="7F9A6E59" w:rsidR="0067718C" w:rsidRPr="003057C6" w:rsidRDefault="0067718C" w:rsidP="003057C6">
      <w:pPr>
        <w:pStyle w:val="TableofFigures"/>
      </w:pPr>
      <w:r w:rsidRPr="000F7470">
        <w:rPr>
          <w:szCs w:val="18"/>
        </w:rPr>
        <w:t>Figure 1.</w:t>
      </w:r>
      <w:r>
        <w:rPr>
          <w:rFonts w:asciiTheme="minorHAnsi" w:eastAsiaTheme="minorEastAsia" w:hAnsiTheme="minorHAnsi" w:cstheme="minorBidi"/>
          <w:color w:val="auto"/>
          <w:kern w:val="2"/>
          <w:sz w:val="24"/>
          <w:szCs w:val="24"/>
          <w:lang w:bidi="ar-SA"/>
          <w14:ligatures w14:val="standardContextual"/>
        </w:rPr>
        <w:tab/>
      </w:r>
      <w:r w:rsidRPr="000F7470">
        <w:rPr>
          <w:szCs w:val="18"/>
        </w:rPr>
        <w:t>Gainwell CalSAWS Account Values</w:t>
      </w:r>
      <w:r>
        <w:rPr>
          <w:webHidden/>
        </w:rPr>
        <w:tab/>
        <w:t>6</w:t>
      </w:r>
    </w:p>
    <w:p w14:paraId="16C2D328" w14:textId="45EEE5D7"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w:t>
      </w:r>
      <w:r>
        <w:rPr>
          <w:rFonts w:asciiTheme="minorHAnsi" w:eastAsiaTheme="minorEastAsia" w:hAnsiTheme="minorHAnsi" w:cstheme="minorBidi"/>
          <w:color w:val="auto"/>
          <w:kern w:val="2"/>
          <w:sz w:val="24"/>
          <w:szCs w:val="24"/>
          <w:lang w:bidi="ar-SA"/>
          <w14:ligatures w14:val="standardContextual"/>
        </w:rPr>
        <w:tab/>
      </w:r>
      <w:r w:rsidRPr="000F7470">
        <w:rPr>
          <w:szCs w:val="18"/>
        </w:rPr>
        <w:t>Requirements Traceability Matrix</w:t>
      </w:r>
      <w:r>
        <w:rPr>
          <w:webHidden/>
        </w:rPr>
        <w:tab/>
        <w:t>10</w:t>
      </w:r>
    </w:p>
    <w:p w14:paraId="4B2B5556" w14:textId="2464CC56"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w:t>
      </w:r>
      <w:r>
        <w:rPr>
          <w:rFonts w:asciiTheme="minorHAnsi" w:eastAsiaTheme="minorEastAsia" w:hAnsiTheme="minorHAnsi" w:cstheme="minorBidi"/>
          <w:color w:val="auto"/>
          <w:kern w:val="2"/>
          <w:sz w:val="24"/>
          <w:szCs w:val="24"/>
          <w:lang w:bidi="ar-SA"/>
          <w14:ligatures w14:val="standardContextual"/>
        </w:rPr>
        <w:tab/>
      </w:r>
      <w:r w:rsidRPr="000F7470">
        <w:rPr>
          <w:szCs w:val="18"/>
        </w:rPr>
        <w:t>Strategic Planning Session Output for CalWIN</w:t>
      </w:r>
      <w:r>
        <w:rPr>
          <w:webHidden/>
        </w:rPr>
        <w:tab/>
        <w:t>12</w:t>
      </w:r>
    </w:p>
    <w:p w14:paraId="587599BC" w14:textId="49CB67AD"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4.</w:t>
      </w:r>
      <w:r>
        <w:rPr>
          <w:rFonts w:asciiTheme="minorHAnsi" w:eastAsiaTheme="minorEastAsia" w:hAnsiTheme="minorHAnsi" w:cstheme="minorBidi"/>
          <w:color w:val="auto"/>
          <w:kern w:val="2"/>
          <w:sz w:val="24"/>
          <w:szCs w:val="24"/>
          <w:lang w:bidi="ar-SA"/>
          <w14:ligatures w14:val="standardContextual"/>
        </w:rPr>
        <w:tab/>
      </w:r>
      <w:r w:rsidRPr="000F7470">
        <w:rPr>
          <w:szCs w:val="18"/>
        </w:rPr>
        <w:t>Gainwell Industry Experience</w:t>
      </w:r>
      <w:r>
        <w:rPr>
          <w:webHidden/>
        </w:rPr>
        <w:tab/>
        <w:t>13</w:t>
      </w:r>
    </w:p>
    <w:p w14:paraId="3297A4CE" w14:textId="316B55AA"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5.</w:t>
      </w:r>
      <w:r>
        <w:rPr>
          <w:rFonts w:asciiTheme="minorHAnsi" w:eastAsiaTheme="minorEastAsia" w:hAnsiTheme="minorHAnsi" w:cstheme="minorBidi"/>
          <w:color w:val="auto"/>
          <w:kern w:val="2"/>
          <w:sz w:val="24"/>
          <w:szCs w:val="24"/>
          <w:lang w:bidi="ar-SA"/>
          <w14:ligatures w14:val="standardContextual"/>
        </w:rPr>
        <w:tab/>
      </w:r>
      <w:r w:rsidRPr="000F7470">
        <w:rPr>
          <w:szCs w:val="18"/>
        </w:rPr>
        <w:t>Project Manager Role in Cross-Contractor Coordination</w:t>
      </w:r>
      <w:r>
        <w:rPr>
          <w:webHidden/>
        </w:rPr>
        <w:tab/>
        <w:t>18</w:t>
      </w:r>
    </w:p>
    <w:p w14:paraId="7E9A2EB3" w14:textId="0D547E53"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6.</w:t>
      </w:r>
      <w:r>
        <w:rPr>
          <w:rFonts w:asciiTheme="minorHAnsi" w:eastAsiaTheme="minorEastAsia" w:hAnsiTheme="minorHAnsi" w:cstheme="minorBidi"/>
          <w:color w:val="auto"/>
          <w:kern w:val="2"/>
          <w:sz w:val="24"/>
          <w:szCs w:val="24"/>
          <w:lang w:bidi="ar-SA"/>
          <w14:ligatures w14:val="standardContextual"/>
        </w:rPr>
        <w:tab/>
      </w:r>
      <w:r w:rsidRPr="000F7470">
        <w:rPr>
          <w:szCs w:val="18"/>
        </w:rPr>
        <w:t>Delivery Integration Team Goals and Actions Related to SCRs</w:t>
      </w:r>
      <w:r>
        <w:rPr>
          <w:webHidden/>
        </w:rPr>
        <w:tab/>
        <w:t>19</w:t>
      </w:r>
    </w:p>
    <w:p w14:paraId="7BFE8E3F" w14:textId="3B8232E2"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7.</w:t>
      </w:r>
      <w:r>
        <w:rPr>
          <w:rFonts w:asciiTheme="minorHAnsi" w:eastAsiaTheme="minorEastAsia" w:hAnsiTheme="minorHAnsi" w:cstheme="minorBidi"/>
          <w:color w:val="auto"/>
          <w:kern w:val="2"/>
          <w:sz w:val="24"/>
          <w:szCs w:val="24"/>
          <w:lang w:bidi="ar-SA"/>
          <w14:ligatures w14:val="standardContextual"/>
        </w:rPr>
        <w:tab/>
      </w:r>
      <w:r w:rsidRPr="000F7470">
        <w:rPr>
          <w:szCs w:val="18"/>
        </w:rPr>
        <w:t>Collaboration Techniques</w:t>
      </w:r>
      <w:r>
        <w:rPr>
          <w:webHidden/>
        </w:rPr>
        <w:tab/>
        <w:t>22</w:t>
      </w:r>
    </w:p>
    <w:p w14:paraId="6FA40596" w14:textId="1BE8C721"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8.</w:t>
      </w:r>
      <w:r>
        <w:rPr>
          <w:rFonts w:asciiTheme="minorHAnsi" w:eastAsiaTheme="minorEastAsia" w:hAnsiTheme="minorHAnsi" w:cstheme="minorBidi"/>
          <w:color w:val="auto"/>
          <w:kern w:val="2"/>
          <w:sz w:val="24"/>
          <w:szCs w:val="24"/>
          <w:lang w:bidi="ar-SA"/>
          <w14:ligatures w14:val="standardContextual"/>
        </w:rPr>
        <w:tab/>
      </w:r>
      <w:r w:rsidRPr="000F7470">
        <w:rPr>
          <w:szCs w:val="18"/>
        </w:rPr>
        <w:t>Delivery Integration Team Goals and Collaboration Actions</w:t>
      </w:r>
      <w:r>
        <w:rPr>
          <w:webHidden/>
        </w:rPr>
        <w:tab/>
        <w:t>26</w:t>
      </w:r>
    </w:p>
    <w:p w14:paraId="027751B1" w14:textId="0522A3D3"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9.</w:t>
      </w:r>
      <w:r>
        <w:rPr>
          <w:rFonts w:asciiTheme="minorHAnsi" w:eastAsiaTheme="minorEastAsia" w:hAnsiTheme="minorHAnsi" w:cstheme="minorBidi"/>
          <w:color w:val="auto"/>
          <w:kern w:val="2"/>
          <w:sz w:val="24"/>
          <w:szCs w:val="24"/>
          <w:lang w:bidi="ar-SA"/>
          <w14:ligatures w14:val="standardContextual"/>
        </w:rPr>
        <w:tab/>
      </w:r>
      <w:r w:rsidRPr="000F7470">
        <w:rPr>
          <w:szCs w:val="18"/>
        </w:rPr>
        <w:t>Closing Service Gaps to Prevent Problems in Service Delivery</w:t>
      </w:r>
      <w:r>
        <w:rPr>
          <w:webHidden/>
        </w:rPr>
        <w:tab/>
        <w:t>28</w:t>
      </w:r>
    </w:p>
    <w:p w14:paraId="3685B311" w14:textId="66367CDE"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10.</w:t>
      </w:r>
      <w:r>
        <w:rPr>
          <w:rFonts w:asciiTheme="minorHAnsi" w:eastAsiaTheme="minorEastAsia" w:hAnsiTheme="minorHAnsi" w:cstheme="minorBidi"/>
          <w:color w:val="auto"/>
          <w:kern w:val="2"/>
          <w:sz w:val="24"/>
          <w:szCs w:val="24"/>
          <w:lang w:bidi="ar-SA"/>
          <w14:ligatures w14:val="standardContextual"/>
        </w:rPr>
        <w:tab/>
      </w:r>
      <w:r w:rsidRPr="000F7470">
        <w:rPr>
          <w:szCs w:val="18"/>
        </w:rPr>
        <w:t>Delivery Integration Team Goals/Actions on Conflict Resolution</w:t>
      </w:r>
      <w:r>
        <w:rPr>
          <w:webHidden/>
        </w:rPr>
        <w:tab/>
        <w:t>29</w:t>
      </w:r>
    </w:p>
    <w:p w14:paraId="42335CC2" w14:textId="7CE0965B"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11.</w:t>
      </w:r>
      <w:r>
        <w:rPr>
          <w:rFonts w:asciiTheme="minorHAnsi" w:eastAsiaTheme="minorEastAsia" w:hAnsiTheme="minorHAnsi" w:cstheme="minorBidi"/>
          <w:color w:val="auto"/>
          <w:kern w:val="2"/>
          <w:sz w:val="24"/>
          <w:szCs w:val="24"/>
          <w:lang w:bidi="ar-SA"/>
          <w14:ligatures w14:val="standardContextual"/>
        </w:rPr>
        <w:tab/>
      </w:r>
      <w:r w:rsidRPr="000F7470">
        <w:rPr>
          <w:szCs w:val="18"/>
        </w:rPr>
        <w:t>Conflict Escalation</w:t>
      </w:r>
      <w:r>
        <w:rPr>
          <w:webHidden/>
        </w:rPr>
        <w:tab/>
        <w:t>29</w:t>
      </w:r>
    </w:p>
    <w:p w14:paraId="477A5731" w14:textId="21FDA4BD"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12.</w:t>
      </w:r>
      <w:r>
        <w:rPr>
          <w:rFonts w:asciiTheme="minorHAnsi" w:eastAsiaTheme="minorEastAsia" w:hAnsiTheme="minorHAnsi" w:cstheme="minorBidi"/>
          <w:color w:val="auto"/>
          <w:kern w:val="2"/>
          <w:sz w:val="24"/>
          <w:szCs w:val="24"/>
          <w:lang w:bidi="ar-SA"/>
          <w14:ligatures w14:val="standardContextual"/>
        </w:rPr>
        <w:tab/>
      </w:r>
      <w:r w:rsidRPr="000F7470">
        <w:rPr>
          <w:szCs w:val="18"/>
        </w:rPr>
        <w:t>Approach to Resolving Conflict</w:t>
      </w:r>
      <w:r>
        <w:rPr>
          <w:webHidden/>
        </w:rPr>
        <w:tab/>
        <w:t>30</w:t>
      </w:r>
    </w:p>
    <w:p w14:paraId="3B6FCF0A" w14:textId="483B0FAB"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13.</w:t>
      </w:r>
      <w:r>
        <w:rPr>
          <w:rFonts w:asciiTheme="minorHAnsi" w:eastAsiaTheme="minorEastAsia" w:hAnsiTheme="minorHAnsi" w:cstheme="minorBidi"/>
          <w:color w:val="auto"/>
          <w:kern w:val="2"/>
          <w:sz w:val="24"/>
          <w:szCs w:val="24"/>
          <w:lang w:bidi="ar-SA"/>
          <w14:ligatures w14:val="standardContextual"/>
        </w:rPr>
        <w:tab/>
      </w:r>
      <w:r w:rsidRPr="000F7470">
        <w:rPr>
          <w:szCs w:val="18"/>
        </w:rPr>
        <w:t>Agile Framework</w:t>
      </w:r>
      <w:r>
        <w:rPr>
          <w:webHidden/>
        </w:rPr>
        <w:tab/>
        <w:t>35</w:t>
      </w:r>
    </w:p>
    <w:p w14:paraId="4B667D1C" w14:textId="39BB5FAD"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14.</w:t>
      </w:r>
      <w:r>
        <w:rPr>
          <w:rFonts w:asciiTheme="minorHAnsi" w:eastAsiaTheme="minorEastAsia" w:hAnsiTheme="minorHAnsi" w:cstheme="minorBidi"/>
          <w:color w:val="auto"/>
          <w:kern w:val="2"/>
          <w:sz w:val="24"/>
          <w:szCs w:val="24"/>
          <w:lang w:bidi="ar-SA"/>
          <w14:ligatures w14:val="standardContextual"/>
        </w:rPr>
        <w:tab/>
      </w:r>
      <w:r w:rsidRPr="000F7470">
        <w:rPr>
          <w:szCs w:val="18"/>
        </w:rPr>
        <w:t>BenefitsCal Automated Testing</w:t>
      </w:r>
      <w:r>
        <w:rPr>
          <w:webHidden/>
        </w:rPr>
        <w:tab/>
        <w:t>36</w:t>
      </w:r>
    </w:p>
    <w:p w14:paraId="35DA8A24" w14:textId="721603E0"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15.</w:t>
      </w:r>
      <w:r>
        <w:rPr>
          <w:rFonts w:asciiTheme="minorHAnsi" w:eastAsiaTheme="minorEastAsia" w:hAnsiTheme="minorHAnsi" w:cstheme="minorBidi"/>
          <w:color w:val="auto"/>
          <w:kern w:val="2"/>
          <w:sz w:val="24"/>
          <w:szCs w:val="24"/>
          <w:lang w:bidi="ar-SA"/>
          <w14:ligatures w14:val="standardContextual"/>
        </w:rPr>
        <w:tab/>
      </w:r>
      <w:r w:rsidRPr="000F7470">
        <w:rPr>
          <w:szCs w:val="18"/>
        </w:rPr>
        <w:t>Gainwell Provider+</w:t>
      </w:r>
      <w:r w:rsidRPr="000F7470">
        <w:rPr>
          <w:szCs w:val="18"/>
          <w:vertAlign w:val="superscript"/>
        </w:rPr>
        <w:t xml:space="preserve">TM </w:t>
      </w:r>
      <w:r w:rsidRPr="000F7470">
        <w:rPr>
          <w:szCs w:val="18"/>
        </w:rPr>
        <w:t>Solutions</w:t>
      </w:r>
      <w:r>
        <w:rPr>
          <w:webHidden/>
        </w:rPr>
        <w:tab/>
        <w:t>38</w:t>
      </w:r>
    </w:p>
    <w:p w14:paraId="1BF2614B" w14:textId="303416BD"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16.</w:t>
      </w:r>
      <w:r>
        <w:rPr>
          <w:rFonts w:asciiTheme="minorHAnsi" w:eastAsiaTheme="minorEastAsia" w:hAnsiTheme="minorHAnsi" w:cstheme="minorBidi"/>
          <w:color w:val="auto"/>
          <w:kern w:val="2"/>
          <w:sz w:val="24"/>
          <w:szCs w:val="24"/>
          <w:lang w:bidi="ar-SA"/>
          <w14:ligatures w14:val="standardContextual"/>
        </w:rPr>
        <w:tab/>
      </w:r>
      <w:r w:rsidRPr="000F7470">
        <w:rPr>
          <w:szCs w:val="18"/>
        </w:rPr>
        <w:t>Gainwell Maintained Government Health and Human Services Portals</w:t>
      </w:r>
      <w:r>
        <w:rPr>
          <w:webHidden/>
        </w:rPr>
        <w:tab/>
        <w:t>42</w:t>
      </w:r>
    </w:p>
    <w:p w14:paraId="3C8B4866" w14:textId="02A3155E"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17.</w:t>
      </w:r>
      <w:r>
        <w:rPr>
          <w:rFonts w:asciiTheme="minorHAnsi" w:eastAsiaTheme="minorEastAsia" w:hAnsiTheme="minorHAnsi" w:cstheme="minorBidi"/>
          <w:color w:val="auto"/>
          <w:kern w:val="2"/>
          <w:sz w:val="24"/>
          <w:szCs w:val="24"/>
          <w:lang w:bidi="ar-SA"/>
          <w14:ligatures w14:val="standardContextual"/>
        </w:rPr>
        <w:tab/>
      </w:r>
      <w:r w:rsidRPr="000F7470">
        <w:rPr>
          <w:szCs w:val="18"/>
        </w:rPr>
        <w:t>UCD Integration in the SDLC</w:t>
      </w:r>
      <w:r>
        <w:rPr>
          <w:webHidden/>
        </w:rPr>
        <w:tab/>
        <w:t>43</w:t>
      </w:r>
    </w:p>
    <w:p w14:paraId="466535D7" w14:textId="084DE80D"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18.</w:t>
      </w:r>
      <w:r>
        <w:rPr>
          <w:rFonts w:asciiTheme="minorHAnsi" w:eastAsiaTheme="minorEastAsia" w:hAnsiTheme="minorHAnsi" w:cstheme="minorBidi"/>
          <w:color w:val="auto"/>
          <w:kern w:val="2"/>
          <w:sz w:val="24"/>
          <w:szCs w:val="24"/>
          <w:lang w:bidi="ar-SA"/>
          <w14:ligatures w14:val="standardContextual"/>
        </w:rPr>
        <w:tab/>
      </w:r>
      <w:r w:rsidRPr="000F7470">
        <w:rPr>
          <w:szCs w:val="18"/>
        </w:rPr>
        <w:t>Sample Beneficiary Persona</w:t>
      </w:r>
      <w:r>
        <w:rPr>
          <w:webHidden/>
        </w:rPr>
        <w:tab/>
        <w:t>49</w:t>
      </w:r>
    </w:p>
    <w:p w14:paraId="33CF4934" w14:textId="607710CD"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19.</w:t>
      </w:r>
      <w:r>
        <w:rPr>
          <w:rFonts w:asciiTheme="minorHAnsi" w:eastAsiaTheme="minorEastAsia" w:hAnsiTheme="minorHAnsi" w:cstheme="minorBidi"/>
          <w:color w:val="auto"/>
          <w:kern w:val="2"/>
          <w:sz w:val="24"/>
          <w:szCs w:val="24"/>
          <w:lang w:bidi="ar-SA"/>
          <w14:ligatures w14:val="standardContextual"/>
        </w:rPr>
        <w:tab/>
      </w:r>
      <w:r w:rsidRPr="000F7470">
        <w:rPr>
          <w:szCs w:val="18"/>
        </w:rPr>
        <w:t>UCD Feedback to the Identify Phase</w:t>
      </w:r>
      <w:r>
        <w:rPr>
          <w:webHidden/>
        </w:rPr>
        <w:tab/>
        <w:t>52</w:t>
      </w:r>
    </w:p>
    <w:p w14:paraId="32383066" w14:textId="45708404"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20.</w:t>
      </w:r>
      <w:r>
        <w:rPr>
          <w:rFonts w:asciiTheme="minorHAnsi" w:eastAsiaTheme="minorEastAsia" w:hAnsiTheme="minorHAnsi" w:cstheme="minorBidi"/>
          <w:color w:val="auto"/>
          <w:kern w:val="2"/>
          <w:sz w:val="24"/>
          <w:szCs w:val="24"/>
          <w:lang w:bidi="ar-SA"/>
          <w14:ligatures w14:val="standardContextual"/>
        </w:rPr>
        <w:tab/>
      </w:r>
      <w:r w:rsidRPr="000F7470">
        <w:rPr>
          <w:szCs w:val="18"/>
        </w:rPr>
        <w:t>Interaction of Agile with Configuration Management and DevSecOps</w:t>
      </w:r>
      <w:r>
        <w:rPr>
          <w:webHidden/>
        </w:rPr>
        <w:tab/>
        <w:t>57</w:t>
      </w:r>
    </w:p>
    <w:p w14:paraId="30A59119" w14:textId="27B34694"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21.</w:t>
      </w:r>
      <w:r>
        <w:rPr>
          <w:rFonts w:asciiTheme="minorHAnsi" w:eastAsiaTheme="minorEastAsia" w:hAnsiTheme="minorHAnsi" w:cstheme="minorBidi"/>
          <w:color w:val="auto"/>
          <w:kern w:val="2"/>
          <w:sz w:val="24"/>
          <w:szCs w:val="24"/>
          <w:lang w:bidi="ar-SA"/>
          <w14:ligatures w14:val="standardContextual"/>
        </w:rPr>
        <w:tab/>
      </w:r>
      <w:r w:rsidRPr="000F7470">
        <w:rPr>
          <w:szCs w:val="18"/>
        </w:rPr>
        <w:t>TOGAF Enterprise Architecture Framework</w:t>
      </w:r>
      <w:r>
        <w:rPr>
          <w:webHidden/>
        </w:rPr>
        <w:tab/>
        <w:t>64</w:t>
      </w:r>
    </w:p>
    <w:p w14:paraId="5ABC2FF7" w14:textId="0B876E49"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22.</w:t>
      </w:r>
      <w:r>
        <w:rPr>
          <w:rFonts w:asciiTheme="minorHAnsi" w:eastAsiaTheme="minorEastAsia" w:hAnsiTheme="minorHAnsi" w:cstheme="minorBidi"/>
          <w:color w:val="auto"/>
          <w:kern w:val="2"/>
          <w:sz w:val="24"/>
          <w:szCs w:val="24"/>
          <w:lang w:bidi="ar-SA"/>
          <w14:ligatures w14:val="standardContextual"/>
        </w:rPr>
        <w:tab/>
      </w:r>
      <w:r w:rsidRPr="000F7470">
        <w:rPr>
          <w:szCs w:val="18"/>
        </w:rPr>
        <w:t>Example Software Roadmap</w:t>
      </w:r>
      <w:r>
        <w:rPr>
          <w:webHidden/>
        </w:rPr>
        <w:tab/>
        <w:t>71</w:t>
      </w:r>
    </w:p>
    <w:p w14:paraId="0089064E" w14:textId="2CACF91E"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23.</w:t>
      </w:r>
      <w:r>
        <w:rPr>
          <w:rFonts w:asciiTheme="minorHAnsi" w:eastAsiaTheme="minorEastAsia" w:hAnsiTheme="minorHAnsi" w:cstheme="minorBidi"/>
          <w:color w:val="auto"/>
          <w:kern w:val="2"/>
          <w:sz w:val="24"/>
          <w:szCs w:val="24"/>
          <w:lang w:bidi="ar-SA"/>
          <w14:ligatures w14:val="standardContextual"/>
        </w:rPr>
        <w:tab/>
      </w:r>
      <w:r w:rsidRPr="000F7470">
        <w:rPr>
          <w:szCs w:val="18"/>
        </w:rPr>
        <w:t>Continual Process to Upgrade and Maintain the BenefitsCal Software</w:t>
      </w:r>
      <w:r>
        <w:rPr>
          <w:webHidden/>
        </w:rPr>
        <w:tab/>
        <w:t>71</w:t>
      </w:r>
    </w:p>
    <w:p w14:paraId="23C37D35" w14:textId="1F80A407"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24.</w:t>
      </w:r>
      <w:r>
        <w:rPr>
          <w:rFonts w:asciiTheme="minorHAnsi" w:eastAsiaTheme="minorEastAsia" w:hAnsiTheme="minorHAnsi" w:cstheme="minorBidi"/>
          <w:color w:val="auto"/>
          <w:kern w:val="2"/>
          <w:sz w:val="24"/>
          <w:szCs w:val="24"/>
          <w:lang w:bidi="ar-SA"/>
          <w14:ligatures w14:val="standardContextual"/>
        </w:rPr>
        <w:tab/>
      </w:r>
      <w:r w:rsidRPr="000F7470">
        <w:rPr>
          <w:szCs w:val="18"/>
        </w:rPr>
        <w:t>Product Lifecycle Management Phases</w:t>
      </w:r>
      <w:r>
        <w:rPr>
          <w:webHidden/>
        </w:rPr>
        <w:tab/>
        <w:t>75</w:t>
      </w:r>
    </w:p>
    <w:p w14:paraId="1DA72DCD" w14:textId="11D5D656"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25.</w:t>
      </w:r>
      <w:r>
        <w:rPr>
          <w:rFonts w:asciiTheme="minorHAnsi" w:eastAsiaTheme="minorEastAsia" w:hAnsiTheme="minorHAnsi" w:cstheme="minorBidi"/>
          <w:color w:val="auto"/>
          <w:kern w:val="2"/>
          <w:sz w:val="24"/>
          <w:szCs w:val="24"/>
          <w:lang w:bidi="ar-SA"/>
          <w14:ligatures w14:val="standardContextual"/>
        </w:rPr>
        <w:tab/>
      </w:r>
      <w:r w:rsidRPr="000F7470">
        <w:rPr>
          <w:szCs w:val="18"/>
        </w:rPr>
        <w:t>Overview of Our Approach to Innovation</w:t>
      </w:r>
      <w:r>
        <w:rPr>
          <w:webHidden/>
        </w:rPr>
        <w:tab/>
        <w:t>77</w:t>
      </w:r>
    </w:p>
    <w:p w14:paraId="3194E4C2" w14:textId="0522F482"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26.</w:t>
      </w:r>
      <w:r>
        <w:rPr>
          <w:rFonts w:asciiTheme="minorHAnsi" w:eastAsiaTheme="minorEastAsia" w:hAnsiTheme="minorHAnsi" w:cstheme="minorBidi"/>
          <w:color w:val="auto"/>
          <w:kern w:val="2"/>
          <w:sz w:val="24"/>
          <w:szCs w:val="24"/>
          <w:lang w:bidi="ar-SA"/>
          <w14:ligatures w14:val="standardContextual"/>
        </w:rPr>
        <w:tab/>
      </w:r>
      <w:r w:rsidRPr="000F7470">
        <w:rPr>
          <w:szCs w:val="18"/>
        </w:rPr>
        <w:t>Current Collaboration Model (from the BenefitsCal RFP)</w:t>
      </w:r>
      <w:r>
        <w:rPr>
          <w:webHidden/>
        </w:rPr>
        <w:tab/>
        <w:t>78</w:t>
      </w:r>
    </w:p>
    <w:p w14:paraId="3818A90D" w14:textId="5A3C8F21"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27.</w:t>
      </w:r>
      <w:r>
        <w:rPr>
          <w:rFonts w:asciiTheme="minorHAnsi" w:eastAsiaTheme="minorEastAsia" w:hAnsiTheme="minorHAnsi" w:cstheme="minorBidi"/>
          <w:color w:val="auto"/>
          <w:kern w:val="2"/>
          <w:sz w:val="24"/>
          <w:szCs w:val="24"/>
          <w:lang w:bidi="ar-SA"/>
          <w14:ligatures w14:val="standardContextual"/>
        </w:rPr>
        <w:tab/>
      </w:r>
      <w:r w:rsidRPr="000F7470">
        <w:rPr>
          <w:szCs w:val="18"/>
        </w:rPr>
        <w:t>Innovation Approach – Evaluate and Integrate Ideas</w:t>
      </w:r>
      <w:r>
        <w:rPr>
          <w:webHidden/>
        </w:rPr>
        <w:tab/>
        <w:t>80</w:t>
      </w:r>
    </w:p>
    <w:p w14:paraId="251A2D41" w14:textId="2353C8EA"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28.</w:t>
      </w:r>
      <w:r>
        <w:rPr>
          <w:rFonts w:asciiTheme="minorHAnsi" w:eastAsiaTheme="minorEastAsia" w:hAnsiTheme="minorHAnsi" w:cstheme="minorBidi"/>
          <w:color w:val="auto"/>
          <w:kern w:val="2"/>
          <w:sz w:val="24"/>
          <w:szCs w:val="24"/>
          <w:lang w:bidi="ar-SA"/>
          <w14:ligatures w14:val="standardContextual"/>
        </w:rPr>
        <w:tab/>
      </w:r>
      <w:r w:rsidRPr="000F7470">
        <w:rPr>
          <w:szCs w:val="18"/>
        </w:rPr>
        <w:t>Results Accelerator Team Composition</w:t>
      </w:r>
      <w:r>
        <w:rPr>
          <w:webHidden/>
        </w:rPr>
        <w:tab/>
        <w:t>82</w:t>
      </w:r>
    </w:p>
    <w:p w14:paraId="7846EA61" w14:textId="05EDDCB2"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29.</w:t>
      </w:r>
      <w:r>
        <w:rPr>
          <w:rFonts w:asciiTheme="minorHAnsi" w:eastAsiaTheme="minorEastAsia" w:hAnsiTheme="minorHAnsi" w:cstheme="minorBidi"/>
          <w:color w:val="auto"/>
          <w:kern w:val="2"/>
          <w:sz w:val="24"/>
          <w:szCs w:val="24"/>
          <w:lang w:bidi="ar-SA"/>
          <w14:ligatures w14:val="standardContextual"/>
        </w:rPr>
        <w:tab/>
      </w:r>
      <w:r w:rsidRPr="000F7470">
        <w:rPr>
          <w:szCs w:val="18"/>
        </w:rPr>
        <w:t>Results Accelerator Process</w:t>
      </w:r>
      <w:r>
        <w:rPr>
          <w:webHidden/>
        </w:rPr>
        <w:tab/>
        <w:t>83</w:t>
      </w:r>
    </w:p>
    <w:p w14:paraId="539A8E49" w14:textId="5EAAC36D"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30.</w:t>
      </w:r>
      <w:r>
        <w:rPr>
          <w:rFonts w:asciiTheme="minorHAnsi" w:eastAsiaTheme="minorEastAsia" w:hAnsiTheme="minorHAnsi" w:cstheme="minorBidi"/>
          <w:color w:val="auto"/>
          <w:kern w:val="2"/>
          <w:sz w:val="24"/>
          <w:szCs w:val="24"/>
          <w:lang w:bidi="ar-SA"/>
          <w14:ligatures w14:val="standardContextual"/>
        </w:rPr>
        <w:tab/>
      </w:r>
      <w:r w:rsidRPr="000F7470">
        <w:rPr>
          <w:szCs w:val="18"/>
        </w:rPr>
        <w:t>Innovation Approach – Evaluate Value and Idea Implementation</w:t>
      </w:r>
      <w:r>
        <w:rPr>
          <w:webHidden/>
        </w:rPr>
        <w:tab/>
        <w:t>85</w:t>
      </w:r>
    </w:p>
    <w:p w14:paraId="6B517AE1" w14:textId="0E037C73"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31.</w:t>
      </w:r>
      <w:r>
        <w:rPr>
          <w:rFonts w:asciiTheme="minorHAnsi" w:eastAsiaTheme="minorEastAsia" w:hAnsiTheme="minorHAnsi" w:cstheme="minorBidi"/>
          <w:color w:val="auto"/>
          <w:kern w:val="2"/>
          <w:sz w:val="24"/>
          <w:szCs w:val="24"/>
          <w:lang w:bidi="ar-SA"/>
          <w14:ligatures w14:val="standardContextual"/>
        </w:rPr>
        <w:tab/>
      </w:r>
      <w:r w:rsidRPr="000F7470">
        <w:rPr>
          <w:szCs w:val="18"/>
        </w:rPr>
        <w:t>CalSAWS Innovation Team Support and Recommendations</w:t>
      </w:r>
      <w:r>
        <w:rPr>
          <w:webHidden/>
        </w:rPr>
        <w:tab/>
        <w:t>91</w:t>
      </w:r>
    </w:p>
    <w:p w14:paraId="2FE40D50" w14:textId="3EA6A9D8"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32.</w:t>
      </w:r>
      <w:r>
        <w:rPr>
          <w:rFonts w:asciiTheme="minorHAnsi" w:eastAsiaTheme="minorEastAsia" w:hAnsiTheme="minorHAnsi" w:cstheme="minorBidi"/>
          <w:color w:val="auto"/>
          <w:kern w:val="2"/>
          <w:sz w:val="24"/>
          <w:szCs w:val="24"/>
          <w:lang w:bidi="ar-SA"/>
          <w14:ligatures w14:val="standardContextual"/>
        </w:rPr>
        <w:tab/>
      </w:r>
      <w:r w:rsidRPr="000F7470">
        <w:rPr>
          <w:szCs w:val="18"/>
        </w:rPr>
        <w:t>Sample County Process Integration with BenefitsCal Technical Service Desk</w:t>
      </w:r>
      <w:r>
        <w:rPr>
          <w:webHidden/>
        </w:rPr>
        <w:tab/>
        <w:t>95</w:t>
      </w:r>
    </w:p>
    <w:p w14:paraId="5ADF8E67" w14:textId="30AFEDD2"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33.</w:t>
      </w:r>
      <w:r>
        <w:rPr>
          <w:rFonts w:asciiTheme="minorHAnsi" w:eastAsiaTheme="minorEastAsia" w:hAnsiTheme="minorHAnsi" w:cstheme="minorBidi"/>
          <w:color w:val="auto"/>
          <w:kern w:val="2"/>
          <w:sz w:val="24"/>
          <w:szCs w:val="24"/>
          <w:lang w:bidi="ar-SA"/>
          <w14:ligatures w14:val="standardContextual"/>
        </w:rPr>
        <w:tab/>
      </w:r>
      <w:r w:rsidRPr="000F7470">
        <w:rPr>
          <w:szCs w:val="18"/>
        </w:rPr>
        <w:t>Marketing and Communications Functional Areas</w:t>
      </w:r>
      <w:r>
        <w:rPr>
          <w:webHidden/>
        </w:rPr>
        <w:tab/>
        <w:t>98</w:t>
      </w:r>
    </w:p>
    <w:p w14:paraId="4D66E52D" w14:textId="19A16214"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34.</w:t>
      </w:r>
      <w:r>
        <w:rPr>
          <w:rFonts w:asciiTheme="minorHAnsi" w:eastAsiaTheme="minorEastAsia" w:hAnsiTheme="minorHAnsi" w:cstheme="minorBidi"/>
          <w:color w:val="auto"/>
          <w:kern w:val="2"/>
          <w:sz w:val="24"/>
          <w:szCs w:val="24"/>
          <w:lang w:bidi="ar-SA"/>
          <w14:ligatures w14:val="standardContextual"/>
        </w:rPr>
        <w:tab/>
      </w:r>
      <w:r w:rsidRPr="000F7470">
        <w:rPr>
          <w:szCs w:val="18"/>
        </w:rPr>
        <w:t>Sample Social Media Copy from a Gainwell Digital Marketing Campaign</w:t>
      </w:r>
      <w:r>
        <w:rPr>
          <w:webHidden/>
        </w:rPr>
        <w:tab/>
        <w:t>99</w:t>
      </w:r>
    </w:p>
    <w:p w14:paraId="7F72CE6E" w14:textId="36056691"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35.</w:t>
      </w:r>
      <w:r>
        <w:rPr>
          <w:rFonts w:asciiTheme="minorHAnsi" w:eastAsiaTheme="minorEastAsia" w:hAnsiTheme="minorHAnsi" w:cstheme="minorBidi"/>
          <w:color w:val="auto"/>
          <w:kern w:val="2"/>
          <w:sz w:val="24"/>
          <w:szCs w:val="24"/>
          <w:lang w:bidi="ar-SA"/>
          <w14:ligatures w14:val="standardContextual"/>
        </w:rPr>
        <w:tab/>
      </w:r>
      <w:r w:rsidRPr="000F7470">
        <w:rPr>
          <w:szCs w:val="18"/>
        </w:rPr>
        <w:t>Sample Digital Advertising from Gainwell Digital Marketing Campaign</w:t>
      </w:r>
      <w:r>
        <w:rPr>
          <w:webHidden/>
        </w:rPr>
        <w:tab/>
        <w:t>99</w:t>
      </w:r>
    </w:p>
    <w:p w14:paraId="72663F0E" w14:textId="0D452CAA"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36.</w:t>
      </w:r>
      <w:r>
        <w:rPr>
          <w:rFonts w:asciiTheme="minorHAnsi" w:eastAsiaTheme="minorEastAsia" w:hAnsiTheme="minorHAnsi" w:cstheme="minorBidi"/>
          <w:color w:val="auto"/>
          <w:kern w:val="2"/>
          <w:sz w:val="24"/>
          <w:szCs w:val="24"/>
          <w:lang w:bidi="ar-SA"/>
          <w14:ligatures w14:val="standardContextual"/>
        </w:rPr>
        <w:tab/>
      </w:r>
      <w:r w:rsidRPr="000F7470">
        <w:rPr>
          <w:szCs w:val="18"/>
        </w:rPr>
        <w:t>Sample Engagement Results Metrics</w:t>
      </w:r>
      <w:r>
        <w:rPr>
          <w:webHidden/>
        </w:rPr>
        <w:tab/>
        <w:t>100</w:t>
      </w:r>
    </w:p>
    <w:p w14:paraId="578DE7E8" w14:textId="49BCE454"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37.</w:t>
      </w:r>
      <w:r>
        <w:rPr>
          <w:rFonts w:asciiTheme="minorHAnsi" w:eastAsiaTheme="minorEastAsia" w:hAnsiTheme="minorHAnsi" w:cstheme="minorBidi"/>
          <w:color w:val="auto"/>
          <w:kern w:val="2"/>
          <w:sz w:val="24"/>
          <w:szCs w:val="24"/>
          <w:lang w:bidi="ar-SA"/>
          <w14:ligatures w14:val="standardContextual"/>
        </w:rPr>
        <w:tab/>
      </w:r>
      <w:r w:rsidRPr="000F7470">
        <w:rPr>
          <w:szCs w:val="18"/>
        </w:rPr>
        <w:t>UCD Techniques Integrated into Our Methodology</w:t>
      </w:r>
      <w:r>
        <w:rPr>
          <w:webHidden/>
        </w:rPr>
        <w:tab/>
        <w:t>103</w:t>
      </w:r>
    </w:p>
    <w:p w14:paraId="7A0697CE" w14:textId="0E756840"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38.</w:t>
      </w:r>
      <w:r>
        <w:rPr>
          <w:rFonts w:asciiTheme="minorHAnsi" w:eastAsiaTheme="minorEastAsia" w:hAnsiTheme="minorHAnsi" w:cstheme="minorBidi"/>
          <w:color w:val="auto"/>
          <w:kern w:val="2"/>
          <w:sz w:val="24"/>
          <w:szCs w:val="24"/>
          <w:lang w:bidi="ar-SA"/>
          <w14:ligatures w14:val="standardContextual"/>
        </w:rPr>
        <w:tab/>
      </w:r>
      <w:r w:rsidRPr="000F7470">
        <w:rPr>
          <w:szCs w:val="18"/>
        </w:rPr>
        <w:t>Registration Form Excerpts in Both Computer and Mobile Formats</w:t>
      </w:r>
      <w:r>
        <w:rPr>
          <w:webHidden/>
        </w:rPr>
        <w:tab/>
        <w:t>108</w:t>
      </w:r>
    </w:p>
    <w:p w14:paraId="69FAA295" w14:textId="2B90B4C6"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39.</w:t>
      </w:r>
      <w:r>
        <w:rPr>
          <w:rFonts w:asciiTheme="minorHAnsi" w:eastAsiaTheme="minorEastAsia" w:hAnsiTheme="minorHAnsi" w:cstheme="minorBidi"/>
          <w:color w:val="auto"/>
          <w:kern w:val="2"/>
          <w:sz w:val="24"/>
          <w:szCs w:val="24"/>
          <w:lang w:bidi="ar-SA"/>
          <w14:ligatures w14:val="standardContextual"/>
        </w:rPr>
        <w:tab/>
      </w:r>
      <w:r w:rsidRPr="000F7470">
        <w:rPr>
          <w:szCs w:val="18"/>
        </w:rPr>
        <w:t>Opening and Agenda Slides from a Public Facing Webinar</w:t>
      </w:r>
      <w:r>
        <w:rPr>
          <w:webHidden/>
        </w:rPr>
        <w:tab/>
        <w:t>108</w:t>
      </w:r>
    </w:p>
    <w:p w14:paraId="4F3C2BEF" w14:textId="0B83D5E8"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40.</w:t>
      </w:r>
      <w:r>
        <w:rPr>
          <w:rFonts w:asciiTheme="minorHAnsi" w:eastAsiaTheme="minorEastAsia" w:hAnsiTheme="minorHAnsi" w:cstheme="minorBidi"/>
          <w:color w:val="auto"/>
          <w:kern w:val="2"/>
          <w:sz w:val="24"/>
          <w:szCs w:val="24"/>
          <w:lang w:bidi="ar-SA"/>
          <w14:ligatures w14:val="standardContextual"/>
        </w:rPr>
        <w:tab/>
      </w:r>
      <w:r w:rsidRPr="000F7470">
        <w:rPr>
          <w:szCs w:val="18"/>
        </w:rPr>
        <w:t>Sample of Chat Questions from the Public During a Live Webinar</w:t>
      </w:r>
      <w:r>
        <w:rPr>
          <w:webHidden/>
        </w:rPr>
        <w:tab/>
        <w:t>109</w:t>
      </w:r>
    </w:p>
    <w:p w14:paraId="526E48B0" w14:textId="397B7541"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Figure 41.</w:t>
      </w:r>
      <w:r>
        <w:rPr>
          <w:rFonts w:asciiTheme="minorHAnsi" w:eastAsiaTheme="minorEastAsia" w:hAnsiTheme="minorHAnsi" w:cstheme="minorBidi"/>
          <w:color w:val="auto"/>
          <w:kern w:val="2"/>
          <w:sz w:val="24"/>
          <w:szCs w:val="24"/>
          <w:lang w:bidi="ar-SA"/>
          <w14:ligatures w14:val="standardContextual"/>
        </w:rPr>
        <w:tab/>
      </w:r>
      <w:r w:rsidRPr="000F7470">
        <w:rPr>
          <w:szCs w:val="18"/>
        </w:rPr>
        <w:t>Joint Success Plan Concept</w:t>
      </w:r>
      <w:r>
        <w:rPr>
          <w:webHidden/>
        </w:rPr>
        <w:tab/>
        <w:t>113</w:t>
      </w:r>
    </w:p>
    <w:p w14:paraId="191515E4" w14:textId="3DC9BE68" w:rsidR="001547F2" w:rsidRPr="006719F9" w:rsidRDefault="001547F2" w:rsidP="001547F2">
      <w:pPr>
        <w:pStyle w:val="BlindParagraph"/>
      </w:pPr>
    </w:p>
    <w:p w14:paraId="1A1484DB" w14:textId="77777777" w:rsidR="00E5501D" w:rsidRDefault="00E5501D">
      <w:pPr>
        <w:spacing w:after="160" w:line="259" w:lineRule="auto"/>
        <w:rPr>
          <w:rFonts w:eastAsia="Times New Roman" w:cs="Arial"/>
          <w:b/>
          <w:color w:val="2B3A44"/>
          <w:sz w:val="36"/>
          <w:szCs w:val="36"/>
          <w:lang w:bidi="ar-SA"/>
        </w:rPr>
      </w:pPr>
      <w:r>
        <w:br w:type="page"/>
      </w:r>
    </w:p>
    <w:p w14:paraId="58F58E23" w14:textId="78C78A60" w:rsidR="001547F2" w:rsidRDefault="001547F2" w:rsidP="002E535E">
      <w:pPr>
        <w:pStyle w:val="TableofContents"/>
        <w:keepNext/>
        <w:spacing w:before="240"/>
      </w:pPr>
      <w:r>
        <w:lastRenderedPageBreak/>
        <w:t>List of Tables</w:t>
      </w:r>
    </w:p>
    <w:p w14:paraId="05E1E6C9" w14:textId="15890813"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Table 1.</w:t>
      </w:r>
      <w:r>
        <w:rPr>
          <w:rFonts w:asciiTheme="minorHAnsi" w:eastAsiaTheme="minorEastAsia" w:hAnsiTheme="minorHAnsi" w:cstheme="minorBidi"/>
          <w:color w:val="auto"/>
          <w:kern w:val="2"/>
          <w:sz w:val="24"/>
          <w:szCs w:val="24"/>
          <w:lang w:bidi="ar-SA"/>
          <w14:ligatures w14:val="standardContextual"/>
        </w:rPr>
        <w:tab/>
      </w:r>
      <w:r w:rsidRPr="000F7470">
        <w:rPr>
          <w:szCs w:val="18"/>
        </w:rPr>
        <w:t>Delivering Business Value</w:t>
      </w:r>
      <w:r>
        <w:rPr>
          <w:webHidden/>
        </w:rPr>
        <w:tab/>
        <w:t>7</w:t>
      </w:r>
    </w:p>
    <w:p w14:paraId="465F564E" w14:textId="2D763E11"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Table 2.</w:t>
      </w:r>
      <w:r>
        <w:rPr>
          <w:rFonts w:asciiTheme="minorHAnsi" w:eastAsiaTheme="minorEastAsia" w:hAnsiTheme="minorHAnsi" w:cstheme="minorBidi"/>
          <w:color w:val="auto"/>
          <w:kern w:val="2"/>
          <w:sz w:val="24"/>
          <w:szCs w:val="24"/>
          <w:lang w:bidi="ar-SA"/>
          <w14:ligatures w14:val="standardContextual"/>
        </w:rPr>
        <w:tab/>
      </w:r>
      <w:r w:rsidRPr="000F7470">
        <w:rPr>
          <w:szCs w:val="18"/>
        </w:rPr>
        <w:t>Project Management Benefits</w:t>
      </w:r>
      <w:r>
        <w:rPr>
          <w:webHidden/>
        </w:rPr>
        <w:tab/>
        <w:t>9</w:t>
      </w:r>
    </w:p>
    <w:p w14:paraId="527ECB65" w14:textId="1CED3954"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Table 3.</w:t>
      </w:r>
      <w:r>
        <w:rPr>
          <w:rFonts w:asciiTheme="minorHAnsi" w:eastAsiaTheme="minorEastAsia" w:hAnsiTheme="minorHAnsi" w:cstheme="minorBidi"/>
          <w:color w:val="auto"/>
          <w:kern w:val="2"/>
          <w:sz w:val="24"/>
          <w:szCs w:val="24"/>
          <w:lang w:bidi="ar-SA"/>
          <w14:ligatures w14:val="standardContextual"/>
        </w:rPr>
        <w:tab/>
      </w:r>
      <w:r w:rsidRPr="000F7470">
        <w:rPr>
          <w:szCs w:val="18"/>
        </w:rPr>
        <w:t>Program Dividends</w:t>
      </w:r>
      <w:r>
        <w:rPr>
          <w:webHidden/>
        </w:rPr>
        <w:tab/>
        <w:t>12</w:t>
      </w:r>
    </w:p>
    <w:p w14:paraId="654DD275" w14:textId="6C7E16F5"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Table 4.</w:t>
      </w:r>
      <w:r>
        <w:rPr>
          <w:rFonts w:asciiTheme="minorHAnsi" w:eastAsiaTheme="minorEastAsia" w:hAnsiTheme="minorHAnsi" w:cstheme="minorBidi"/>
          <w:color w:val="auto"/>
          <w:kern w:val="2"/>
          <w:sz w:val="24"/>
          <w:szCs w:val="24"/>
          <w:lang w:bidi="ar-SA"/>
          <w14:ligatures w14:val="standardContextual"/>
        </w:rPr>
        <w:tab/>
      </w:r>
      <w:r w:rsidRPr="000F7470">
        <w:rPr>
          <w:szCs w:val="18"/>
        </w:rPr>
        <w:t>Shared Services Activities</w:t>
      </w:r>
      <w:r>
        <w:rPr>
          <w:webHidden/>
        </w:rPr>
        <w:tab/>
        <w:t>27</w:t>
      </w:r>
    </w:p>
    <w:p w14:paraId="758FBA80" w14:textId="2F5CEBE0"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Table 5.</w:t>
      </w:r>
      <w:r>
        <w:rPr>
          <w:rFonts w:asciiTheme="minorHAnsi" w:eastAsiaTheme="minorEastAsia" w:hAnsiTheme="minorHAnsi" w:cstheme="minorBidi"/>
          <w:color w:val="auto"/>
          <w:kern w:val="2"/>
          <w:sz w:val="24"/>
          <w:szCs w:val="24"/>
          <w:lang w:bidi="ar-SA"/>
          <w14:ligatures w14:val="standardContextual"/>
        </w:rPr>
        <w:tab/>
      </w:r>
      <w:r w:rsidRPr="000F7470">
        <w:rPr>
          <w:szCs w:val="18"/>
        </w:rPr>
        <w:t>Improving Security Through Our Approach</w:t>
      </w:r>
      <w:r>
        <w:rPr>
          <w:webHidden/>
        </w:rPr>
        <w:tab/>
        <w:t>55</w:t>
      </w:r>
    </w:p>
    <w:p w14:paraId="25F2C533" w14:textId="26AF98DB"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Table 6.</w:t>
      </w:r>
      <w:r>
        <w:rPr>
          <w:rFonts w:asciiTheme="minorHAnsi" w:eastAsiaTheme="minorEastAsia" w:hAnsiTheme="minorHAnsi" w:cstheme="minorBidi"/>
          <w:color w:val="auto"/>
          <w:kern w:val="2"/>
          <w:sz w:val="24"/>
          <w:szCs w:val="24"/>
          <w:lang w:bidi="ar-SA"/>
          <w14:ligatures w14:val="standardContextual"/>
        </w:rPr>
        <w:tab/>
      </w:r>
      <w:r w:rsidRPr="000F7470">
        <w:rPr>
          <w:szCs w:val="18"/>
        </w:rPr>
        <w:t>BenefitsCal Evolution Activities</w:t>
      </w:r>
      <w:r>
        <w:rPr>
          <w:webHidden/>
        </w:rPr>
        <w:tab/>
        <w:t>69</w:t>
      </w:r>
    </w:p>
    <w:p w14:paraId="6D840360" w14:textId="5DD3F559" w:rsidR="0067718C" w:rsidRDefault="0067718C" w:rsidP="003057C6">
      <w:pPr>
        <w:pStyle w:val="TableofFigures"/>
        <w:rPr>
          <w:rFonts w:asciiTheme="minorHAnsi" w:eastAsiaTheme="minorEastAsia" w:hAnsiTheme="minorHAnsi" w:cstheme="minorBidi"/>
          <w:color w:val="auto"/>
          <w:kern w:val="2"/>
          <w:sz w:val="24"/>
          <w:szCs w:val="24"/>
          <w:lang w:bidi="ar-SA"/>
          <w14:ligatures w14:val="standardContextual"/>
        </w:rPr>
      </w:pPr>
      <w:r w:rsidRPr="000F7470">
        <w:rPr>
          <w:szCs w:val="18"/>
        </w:rPr>
        <w:t>Table 7.</w:t>
      </w:r>
      <w:r>
        <w:rPr>
          <w:rFonts w:asciiTheme="minorHAnsi" w:eastAsiaTheme="minorEastAsia" w:hAnsiTheme="minorHAnsi" w:cstheme="minorBidi"/>
          <w:color w:val="auto"/>
          <w:kern w:val="2"/>
          <w:sz w:val="24"/>
          <w:szCs w:val="24"/>
          <w:lang w:bidi="ar-SA"/>
          <w14:ligatures w14:val="standardContextual"/>
        </w:rPr>
        <w:tab/>
      </w:r>
      <w:r w:rsidRPr="000F7470">
        <w:rPr>
          <w:szCs w:val="18"/>
        </w:rPr>
        <w:t>Innovation Integration Processes</w:t>
      </w:r>
      <w:r>
        <w:rPr>
          <w:webHidden/>
        </w:rPr>
        <w:tab/>
        <w:t>81</w:t>
      </w:r>
    </w:p>
    <w:p w14:paraId="4CBA47A0" w14:textId="7CCE686D" w:rsidR="00366E02" w:rsidRDefault="00366E02" w:rsidP="002E535E">
      <w:pPr>
        <w:keepNext/>
        <w:spacing w:after="240"/>
        <w:rPr>
          <w:b/>
        </w:rPr>
      </w:pPr>
    </w:p>
    <w:p w14:paraId="590B38E4" w14:textId="18B2441B" w:rsidR="004A0BAF" w:rsidRDefault="004A0BAF" w:rsidP="0004145C">
      <w:pPr>
        <w:pStyle w:val="HeadingManual1"/>
      </w:pPr>
      <w:bookmarkStart w:id="1" w:name="_Toc173187474"/>
      <w:r>
        <w:lastRenderedPageBreak/>
        <w:t>6.</w:t>
      </w:r>
      <w:r w:rsidR="00B316D0">
        <w:tab/>
      </w:r>
      <w:r>
        <w:t xml:space="preserve">Vol 1 Sect 4 Understanding &amp; Approach </w:t>
      </w:r>
      <w:r w:rsidRPr="009C2800">
        <w:t>–</w:t>
      </w:r>
      <w:r>
        <w:t xml:space="preserve"> Gainwell</w:t>
      </w:r>
      <w:bookmarkEnd w:id="1"/>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366E02" w14:paraId="08ACE50B" w14:textId="77777777">
        <w:tc>
          <w:tcPr>
            <w:tcW w:w="9350" w:type="dxa"/>
            <w:shd w:val="clear" w:color="auto" w:fill="EBEDF5"/>
          </w:tcPr>
          <w:p w14:paraId="1EE629C1" w14:textId="77777777" w:rsidR="00366E02" w:rsidRPr="001237A7" w:rsidRDefault="00366E02">
            <w:pPr>
              <w:pStyle w:val="BodyText0"/>
              <w:framePr w:hSpace="0" w:wrap="auto" w:vAnchor="margin" w:yAlign="inline"/>
              <w:suppressOverlap w:val="0"/>
            </w:pPr>
            <w:r w:rsidRPr="001237A7">
              <w:t>The Bidder shall provide a detailed narrative response to the Understanding and Approach topics outlined in Section 5.2.3. Bidders will respond to the following areas to satisfy or exceed the RFP requirements as described in Section 5 – BenefitsCal Requirements addressing the following topics:</w:t>
            </w:r>
          </w:p>
          <w:p w14:paraId="7EDC9452" w14:textId="77777777" w:rsidR="00366E02" w:rsidRPr="001237A7" w:rsidRDefault="00366E02" w:rsidP="00FA51BD">
            <w:pPr>
              <w:pStyle w:val="BodyText0"/>
              <w:framePr w:hSpace="0" w:wrap="auto" w:vAnchor="margin" w:yAlign="inline"/>
              <w:numPr>
                <w:ilvl w:val="0"/>
                <w:numId w:val="45"/>
              </w:numPr>
              <w:spacing w:after="0"/>
              <w:suppressOverlap w:val="0"/>
            </w:pPr>
            <w:bookmarkStart w:id="2" w:name="_Hlk153349366"/>
            <w:r w:rsidRPr="001237A7">
              <w:t xml:space="preserve">Sub-Section 5.2.3.1 – Integrated Multi-Contractor Environment </w:t>
            </w:r>
          </w:p>
          <w:p w14:paraId="6F330B5E" w14:textId="77777777" w:rsidR="00366E02" w:rsidRPr="001237A7" w:rsidRDefault="00366E02" w:rsidP="00FA51BD">
            <w:pPr>
              <w:pStyle w:val="BodyText0"/>
              <w:framePr w:hSpace="0" w:wrap="auto" w:vAnchor="margin" w:yAlign="inline"/>
              <w:numPr>
                <w:ilvl w:val="0"/>
                <w:numId w:val="45"/>
              </w:numPr>
              <w:spacing w:after="0"/>
              <w:suppressOverlap w:val="0"/>
            </w:pPr>
            <w:r w:rsidRPr="001237A7">
              <w:t>Sub-Section 5.2.3.2 – Software Development</w:t>
            </w:r>
          </w:p>
          <w:p w14:paraId="1447FF7A" w14:textId="77777777" w:rsidR="00366E02" w:rsidRPr="001237A7" w:rsidRDefault="00366E02" w:rsidP="00FA51BD">
            <w:pPr>
              <w:pStyle w:val="BodyText0"/>
              <w:framePr w:hSpace="0" w:wrap="auto" w:vAnchor="margin" w:yAlign="inline"/>
              <w:numPr>
                <w:ilvl w:val="0"/>
                <w:numId w:val="45"/>
              </w:numPr>
              <w:spacing w:after="0"/>
              <w:suppressOverlap w:val="0"/>
            </w:pPr>
            <w:r w:rsidRPr="001237A7">
              <w:t>Sub-Section 5.2.3.3 – Application Evolution and Innovation</w:t>
            </w:r>
          </w:p>
          <w:p w14:paraId="29209535" w14:textId="77777777" w:rsidR="00366E02" w:rsidRPr="001237A7" w:rsidRDefault="00366E02" w:rsidP="00FA51BD">
            <w:pPr>
              <w:pStyle w:val="BodyText0"/>
              <w:framePr w:hSpace="0" w:wrap="auto" w:vAnchor="margin" w:yAlign="inline"/>
              <w:numPr>
                <w:ilvl w:val="0"/>
                <w:numId w:val="45"/>
              </w:numPr>
              <w:suppressOverlap w:val="0"/>
            </w:pPr>
            <w:r w:rsidRPr="001237A7">
              <w:t>Sub-Section 5.2.3.4 – User Experience, Marketing and Public Communications</w:t>
            </w:r>
          </w:p>
          <w:bookmarkEnd w:id="2"/>
          <w:p w14:paraId="6208DA55" w14:textId="77777777" w:rsidR="00366E02" w:rsidRDefault="00366E02">
            <w:pPr>
              <w:pStyle w:val="BodyText0"/>
              <w:framePr w:hSpace="0" w:wrap="auto" w:vAnchor="margin" w:yAlign="inline"/>
              <w:suppressOverlap w:val="0"/>
            </w:pPr>
            <w:r w:rsidRPr="001237A7">
              <w:t xml:space="preserve">Each sub-section response to Proposal Section 4 – Understanding and Approach may not exceed 30 pages. </w:t>
            </w:r>
          </w:p>
        </w:tc>
      </w:tr>
    </w:tbl>
    <w:p w14:paraId="3EF2396C" w14:textId="7DD5FBDB" w:rsidR="00366E02" w:rsidRDefault="00E84A70" w:rsidP="0004145C">
      <w:pPr>
        <w:pStyle w:val="BodyText"/>
      </w:pPr>
      <w:r>
        <w:t>In this section, we present our detailed narrative response to the four Understanding and Approach topics</w:t>
      </w:r>
      <w:r w:rsidR="00C1725D">
        <w:t xml:space="preserve">. </w:t>
      </w:r>
      <w:r>
        <w:t>We have included elements of</w:t>
      </w:r>
      <w:r w:rsidR="000A65DE">
        <w:t xml:space="preserve"> each of</w:t>
      </w:r>
      <w:r>
        <w:t xml:space="preserve"> the key tenets of the Consortium vision </w:t>
      </w:r>
      <w:r w:rsidR="000A65DE">
        <w:t>as outlined in the RFP</w:t>
      </w:r>
      <w:r>
        <w:t>:</w:t>
      </w:r>
    </w:p>
    <w:p w14:paraId="5EACF6D5" w14:textId="07C70A7C" w:rsidR="00366E02" w:rsidRDefault="009E5D39" w:rsidP="002F2D08">
      <w:pPr>
        <w:pStyle w:val="Bullet1SubtextDouble"/>
      </w:pPr>
      <w:r w:rsidRPr="009E5D39">
        <w:rPr>
          <w:noProof/>
        </w:rPr>
        <w:drawing>
          <wp:anchor distT="0" distB="0" distL="114300" distR="114300" simplePos="0" relativeHeight="251658285" behindDoc="0" locked="0" layoutInCell="1" allowOverlap="1" wp14:anchorId="509D4C28" wp14:editId="448F8C56">
            <wp:simplePos x="0" y="0"/>
            <wp:positionH relativeFrom="margin">
              <wp:align>left</wp:align>
            </wp:positionH>
            <wp:positionV relativeFrom="paragraph">
              <wp:posOffset>-635</wp:posOffset>
            </wp:positionV>
            <wp:extent cx="302895" cy="302895"/>
            <wp:effectExtent l="0" t="0" r="1905" b="1905"/>
            <wp:wrapSquare wrapText="bothSides"/>
            <wp:docPr id="204" name="Graphic 203">
              <a:extLst xmlns:a="http://schemas.openxmlformats.org/drawingml/2006/main">
                <a:ext uri="{FF2B5EF4-FFF2-40B4-BE49-F238E27FC236}">
                  <a16:creationId xmlns:a16="http://schemas.microsoft.com/office/drawing/2014/main" id="{3EAF1F6A-CF85-49C6-9808-0307715896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phic 203">
                      <a:extLst>
                        <a:ext uri="{FF2B5EF4-FFF2-40B4-BE49-F238E27FC236}">
                          <a16:creationId xmlns:a16="http://schemas.microsoft.com/office/drawing/2014/main" id="{3EAF1F6A-CF85-49C6-9808-0307715896D7}"/>
                        </a:ext>
                      </a:extLst>
                    </pic:cNvPr>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02895" cy="302895"/>
                    </a:xfrm>
                    <a:prstGeom prst="rect">
                      <a:avLst/>
                    </a:prstGeom>
                  </pic:spPr>
                </pic:pic>
              </a:graphicData>
            </a:graphic>
            <wp14:sizeRelH relativeFrom="page">
              <wp14:pctWidth>0</wp14:pctWidth>
            </wp14:sizeRelH>
            <wp14:sizeRelV relativeFrom="page">
              <wp14:pctHeight>0</wp14:pctHeight>
            </wp14:sizeRelV>
          </wp:anchor>
        </w:drawing>
      </w:r>
      <w:r w:rsidR="400A8926" w:rsidRPr="583B9D88">
        <w:t>Fully integrate with the CalSAWS ecosystem and adhere to established processes including PMO, DI and SCRs.</w:t>
      </w:r>
    </w:p>
    <w:p w14:paraId="5A9317D0" w14:textId="7D20DEE0" w:rsidR="00366E02" w:rsidRDefault="00553A79" w:rsidP="002F2D08">
      <w:pPr>
        <w:pStyle w:val="Bullet1SubtextDouble"/>
      </w:pPr>
      <w:r w:rsidRPr="009E5D39">
        <w:rPr>
          <w:noProof/>
        </w:rPr>
        <w:drawing>
          <wp:anchor distT="0" distB="0" distL="114300" distR="114300" simplePos="0" relativeHeight="251658286" behindDoc="0" locked="0" layoutInCell="1" allowOverlap="1" wp14:anchorId="779C5EF8" wp14:editId="0382A855">
            <wp:simplePos x="0" y="0"/>
            <wp:positionH relativeFrom="margin">
              <wp:align>left</wp:align>
            </wp:positionH>
            <wp:positionV relativeFrom="paragraph">
              <wp:posOffset>9525</wp:posOffset>
            </wp:positionV>
            <wp:extent cx="302895" cy="302895"/>
            <wp:effectExtent l="0" t="0" r="1905" b="1905"/>
            <wp:wrapSquare wrapText="bothSides"/>
            <wp:docPr id="604954766" name="Graphic 203">
              <a:extLst xmlns:a="http://schemas.openxmlformats.org/drawingml/2006/main">
                <a:ext uri="{FF2B5EF4-FFF2-40B4-BE49-F238E27FC236}">
                  <a16:creationId xmlns:a16="http://schemas.microsoft.com/office/drawing/2014/main" id="{3EAF1F6A-CF85-49C6-9808-0307715896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phic 203">
                      <a:extLst>
                        <a:ext uri="{FF2B5EF4-FFF2-40B4-BE49-F238E27FC236}">
                          <a16:creationId xmlns:a16="http://schemas.microsoft.com/office/drawing/2014/main" id="{3EAF1F6A-CF85-49C6-9808-0307715896D7}"/>
                        </a:ext>
                      </a:extLst>
                    </pic:cNvPr>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02895" cy="302895"/>
                    </a:xfrm>
                    <a:prstGeom prst="rect">
                      <a:avLst/>
                    </a:prstGeom>
                  </pic:spPr>
                </pic:pic>
              </a:graphicData>
            </a:graphic>
            <wp14:sizeRelH relativeFrom="page">
              <wp14:pctWidth>0</wp14:pctWidth>
            </wp14:sizeRelH>
            <wp14:sizeRelV relativeFrom="page">
              <wp14:pctHeight>0</wp14:pctHeight>
            </wp14:sizeRelV>
          </wp:anchor>
        </w:drawing>
      </w:r>
      <w:r w:rsidR="400A8926" w:rsidRPr="583B9D88">
        <w:t>Continue to enhance the Collaboration Model and stakeholder engagement and communication processes.</w:t>
      </w:r>
    </w:p>
    <w:p w14:paraId="5B068EB7" w14:textId="3C22DFCD" w:rsidR="00366E02" w:rsidRDefault="00553A79" w:rsidP="002F2D08">
      <w:pPr>
        <w:pStyle w:val="Bullet1SubtextDouble"/>
      </w:pPr>
      <w:r w:rsidRPr="009E5D39">
        <w:rPr>
          <w:noProof/>
        </w:rPr>
        <w:drawing>
          <wp:anchor distT="0" distB="0" distL="114300" distR="114300" simplePos="0" relativeHeight="251658287" behindDoc="0" locked="0" layoutInCell="1" allowOverlap="1" wp14:anchorId="49F41C9A" wp14:editId="38FECBC9">
            <wp:simplePos x="0" y="0"/>
            <wp:positionH relativeFrom="margin">
              <wp:align>left</wp:align>
            </wp:positionH>
            <wp:positionV relativeFrom="paragraph">
              <wp:posOffset>9232</wp:posOffset>
            </wp:positionV>
            <wp:extent cx="302895" cy="302895"/>
            <wp:effectExtent l="0" t="0" r="1905" b="1905"/>
            <wp:wrapSquare wrapText="bothSides"/>
            <wp:docPr id="398769362" name="Graphic 203">
              <a:extLst xmlns:a="http://schemas.openxmlformats.org/drawingml/2006/main">
                <a:ext uri="{FF2B5EF4-FFF2-40B4-BE49-F238E27FC236}">
                  <a16:creationId xmlns:a16="http://schemas.microsoft.com/office/drawing/2014/main" id="{3EAF1F6A-CF85-49C6-9808-0307715896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phic 203">
                      <a:extLst>
                        <a:ext uri="{FF2B5EF4-FFF2-40B4-BE49-F238E27FC236}">
                          <a16:creationId xmlns:a16="http://schemas.microsoft.com/office/drawing/2014/main" id="{3EAF1F6A-CF85-49C6-9808-0307715896D7}"/>
                        </a:ext>
                      </a:extLst>
                    </pic:cNvPr>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02895" cy="302895"/>
                    </a:xfrm>
                    <a:prstGeom prst="rect">
                      <a:avLst/>
                    </a:prstGeom>
                  </pic:spPr>
                </pic:pic>
              </a:graphicData>
            </a:graphic>
            <wp14:sizeRelH relativeFrom="page">
              <wp14:pctWidth>0</wp14:pctWidth>
            </wp14:sizeRelH>
            <wp14:sizeRelV relativeFrom="page">
              <wp14:pctHeight>0</wp14:pctHeight>
            </wp14:sizeRelV>
          </wp:anchor>
        </w:drawing>
      </w:r>
      <w:r w:rsidR="400A8926" w:rsidRPr="583B9D88">
        <w:t>Expand and further refine User Centered Design (UCD) and the User Experience (UX) within the software development process.</w:t>
      </w:r>
    </w:p>
    <w:p w14:paraId="36AB527D" w14:textId="3DE0F025" w:rsidR="00366E02" w:rsidRDefault="00553A79" w:rsidP="002F2D08">
      <w:pPr>
        <w:pStyle w:val="Bullet1SubtextDouble"/>
      </w:pPr>
      <w:r w:rsidRPr="009E5D39">
        <w:rPr>
          <w:noProof/>
        </w:rPr>
        <w:drawing>
          <wp:anchor distT="0" distB="0" distL="114300" distR="114300" simplePos="0" relativeHeight="251658288" behindDoc="0" locked="0" layoutInCell="1" allowOverlap="1" wp14:anchorId="6127D46D" wp14:editId="617E47A6">
            <wp:simplePos x="0" y="0"/>
            <wp:positionH relativeFrom="margin">
              <wp:align>left</wp:align>
            </wp:positionH>
            <wp:positionV relativeFrom="paragraph">
              <wp:posOffset>7473</wp:posOffset>
            </wp:positionV>
            <wp:extent cx="302895" cy="302895"/>
            <wp:effectExtent l="0" t="0" r="1905" b="1905"/>
            <wp:wrapSquare wrapText="bothSides"/>
            <wp:docPr id="682543576" name="Graphic 203">
              <a:extLst xmlns:a="http://schemas.openxmlformats.org/drawingml/2006/main">
                <a:ext uri="{FF2B5EF4-FFF2-40B4-BE49-F238E27FC236}">
                  <a16:creationId xmlns:a16="http://schemas.microsoft.com/office/drawing/2014/main" id="{3EAF1F6A-CF85-49C6-9808-0307715896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phic 203">
                      <a:extLst>
                        <a:ext uri="{FF2B5EF4-FFF2-40B4-BE49-F238E27FC236}">
                          <a16:creationId xmlns:a16="http://schemas.microsoft.com/office/drawing/2014/main" id="{3EAF1F6A-CF85-49C6-9808-0307715896D7}"/>
                        </a:ext>
                      </a:extLst>
                    </pic:cNvPr>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02895" cy="302895"/>
                    </a:xfrm>
                    <a:prstGeom prst="rect">
                      <a:avLst/>
                    </a:prstGeom>
                  </pic:spPr>
                </pic:pic>
              </a:graphicData>
            </a:graphic>
            <wp14:sizeRelH relativeFrom="page">
              <wp14:pctWidth>0</wp14:pctWidth>
            </wp14:sizeRelH>
            <wp14:sizeRelV relativeFrom="page">
              <wp14:pctHeight>0</wp14:pctHeight>
            </wp14:sizeRelV>
          </wp:anchor>
        </w:drawing>
      </w:r>
      <w:r w:rsidR="400A8926" w:rsidRPr="583B9D88">
        <w:t xml:space="preserve">Enhance communications and marketing to increase visibility and outreach for the public, Counties and CBOs. </w:t>
      </w:r>
    </w:p>
    <w:p w14:paraId="18223EA5" w14:textId="401122F5" w:rsidR="00366E02" w:rsidRDefault="00553A79" w:rsidP="002F2D08">
      <w:pPr>
        <w:pStyle w:val="Bullet1SubtextDouble"/>
      </w:pPr>
      <w:r w:rsidRPr="009E5D39">
        <w:rPr>
          <w:noProof/>
        </w:rPr>
        <w:drawing>
          <wp:anchor distT="0" distB="0" distL="114300" distR="114300" simplePos="0" relativeHeight="251658289" behindDoc="0" locked="0" layoutInCell="1" allowOverlap="1" wp14:anchorId="77ADA5B6" wp14:editId="6D9AC8A2">
            <wp:simplePos x="0" y="0"/>
            <wp:positionH relativeFrom="margin">
              <wp:align>left</wp:align>
            </wp:positionH>
            <wp:positionV relativeFrom="paragraph">
              <wp:posOffset>13970</wp:posOffset>
            </wp:positionV>
            <wp:extent cx="302895" cy="302895"/>
            <wp:effectExtent l="0" t="0" r="1905" b="1905"/>
            <wp:wrapSquare wrapText="bothSides"/>
            <wp:docPr id="2038529738" name="Graphic 203">
              <a:extLst xmlns:a="http://schemas.openxmlformats.org/drawingml/2006/main">
                <a:ext uri="{FF2B5EF4-FFF2-40B4-BE49-F238E27FC236}">
                  <a16:creationId xmlns:a16="http://schemas.microsoft.com/office/drawing/2014/main" id="{3EAF1F6A-CF85-49C6-9808-0307715896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phic 203">
                      <a:extLst>
                        <a:ext uri="{FF2B5EF4-FFF2-40B4-BE49-F238E27FC236}">
                          <a16:creationId xmlns:a16="http://schemas.microsoft.com/office/drawing/2014/main" id="{3EAF1F6A-CF85-49C6-9808-0307715896D7}"/>
                        </a:ext>
                      </a:extLst>
                    </pic:cNvPr>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02895" cy="302895"/>
                    </a:xfrm>
                    <a:prstGeom prst="rect">
                      <a:avLst/>
                    </a:prstGeom>
                  </pic:spPr>
                </pic:pic>
              </a:graphicData>
            </a:graphic>
            <wp14:sizeRelH relativeFrom="page">
              <wp14:pctWidth>0</wp14:pctWidth>
            </wp14:sizeRelH>
            <wp14:sizeRelV relativeFrom="page">
              <wp14:pctHeight>0</wp14:pctHeight>
            </wp14:sizeRelV>
          </wp:anchor>
        </w:drawing>
      </w:r>
      <w:r w:rsidR="400A8926" w:rsidRPr="583B9D88">
        <w:t>Application/architecture evolution and innovation including expanding data analytics capabilities to provide evidence-based outcomes.</w:t>
      </w:r>
    </w:p>
    <w:p w14:paraId="66BAD4EC" w14:textId="31AD960B" w:rsidR="00366E02" w:rsidRDefault="00553A79" w:rsidP="002F2D08">
      <w:pPr>
        <w:pStyle w:val="Bullet1SubtextDouble"/>
      </w:pPr>
      <w:r w:rsidRPr="009E5D39">
        <w:rPr>
          <w:noProof/>
        </w:rPr>
        <w:drawing>
          <wp:anchor distT="0" distB="0" distL="114300" distR="114300" simplePos="0" relativeHeight="251658290" behindDoc="0" locked="0" layoutInCell="1" allowOverlap="1" wp14:anchorId="5312F9D3" wp14:editId="50138D5E">
            <wp:simplePos x="0" y="0"/>
            <wp:positionH relativeFrom="margin">
              <wp:align>left</wp:align>
            </wp:positionH>
            <wp:positionV relativeFrom="paragraph">
              <wp:posOffset>13726</wp:posOffset>
            </wp:positionV>
            <wp:extent cx="302895" cy="302895"/>
            <wp:effectExtent l="0" t="0" r="1905" b="1905"/>
            <wp:wrapSquare wrapText="bothSides"/>
            <wp:docPr id="676321439" name="Graphic 203">
              <a:extLst xmlns:a="http://schemas.openxmlformats.org/drawingml/2006/main">
                <a:ext uri="{FF2B5EF4-FFF2-40B4-BE49-F238E27FC236}">
                  <a16:creationId xmlns:a16="http://schemas.microsoft.com/office/drawing/2014/main" id="{3EAF1F6A-CF85-49C6-9808-0307715896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phic 203">
                      <a:extLst>
                        <a:ext uri="{FF2B5EF4-FFF2-40B4-BE49-F238E27FC236}">
                          <a16:creationId xmlns:a16="http://schemas.microsoft.com/office/drawing/2014/main" id="{3EAF1F6A-CF85-49C6-9808-0307715896D7}"/>
                        </a:ext>
                      </a:extLst>
                    </pic:cNvPr>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02895" cy="302895"/>
                    </a:xfrm>
                    <a:prstGeom prst="rect">
                      <a:avLst/>
                    </a:prstGeom>
                  </pic:spPr>
                </pic:pic>
              </a:graphicData>
            </a:graphic>
            <wp14:sizeRelH relativeFrom="page">
              <wp14:pctWidth>0</wp14:pctWidth>
            </wp14:sizeRelH>
            <wp14:sizeRelV relativeFrom="page">
              <wp14:pctHeight>0</wp14:pctHeight>
            </wp14:sizeRelV>
          </wp:anchor>
        </w:drawing>
      </w:r>
      <w:r w:rsidR="400A8926" w:rsidRPr="583B9D88">
        <w:t>Continuous evolution of infrastructure and application security to reinforce robust cybersecurity measures.</w:t>
      </w:r>
    </w:p>
    <w:p w14:paraId="43616AD7" w14:textId="77777777" w:rsidR="00553A79" w:rsidRDefault="00553A79">
      <w:pPr>
        <w:spacing w:after="160" w:line="259" w:lineRule="auto"/>
        <w:rPr>
          <w:b/>
          <w:bCs/>
          <w:color w:val="2B3A44"/>
          <w:sz w:val="32"/>
          <w:szCs w:val="32"/>
        </w:rPr>
      </w:pPr>
      <w:bookmarkStart w:id="3" w:name="_Toc172704156"/>
      <w:r>
        <w:br w:type="page"/>
      </w:r>
    </w:p>
    <w:p w14:paraId="3009C59C" w14:textId="312A6B41" w:rsidR="001237A7" w:rsidRDefault="001E24C3" w:rsidP="008F31B5">
      <w:pPr>
        <w:pStyle w:val="HeadingManual2"/>
      </w:pPr>
      <w:bookmarkStart w:id="4" w:name="_Toc173187475"/>
      <w:r>
        <w:lastRenderedPageBreak/>
        <w:t>4.1</w:t>
      </w:r>
      <w:r w:rsidR="008F31B5">
        <w:tab/>
      </w:r>
      <w:r w:rsidR="001237A7">
        <w:t>Integrated Multi-Contractor Environment</w:t>
      </w:r>
      <w:bookmarkEnd w:id="3"/>
      <w:r w:rsidR="003C666F">
        <w:t xml:space="preserve"> (5.2.3.1)</w:t>
      </w:r>
      <w:bookmarkEnd w:id="4"/>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1237A7" w14:paraId="4AA8AA9C" w14:textId="77777777" w:rsidTr="001237A7">
        <w:tc>
          <w:tcPr>
            <w:tcW w:w="9350" w:type="dxa"/>
            <w:shd w:val="clear" w:color="auto" w:fill="EBEDF5"/>
          </w:tcPr>
          <w:tbl>
            <w:tblPr>
              <w:tblW w:w="9072" w:type="dxa"/>
              <w:tblLook w:val="04A0" w:firstRow="1" w:lastRow="0" w:firstColumn="1" w:lastColumn="0" w:noHBand="0" w:noVBand="1"/>
            </w:tblPr>
            <w:tblGrid>
              <w:gridCol w:w="990"/>
              <w:gridCol w:w="8082"/>
            </w:tblGrid>
            <w:tr w:rsidR="001237A7" w:rsidRPr="00A7028F" w14:paraId="3800AFB0" w14:textId="77777777" w:rsidTr="00DF2B50">
              <w:trPr>
                <w:trHeight w:val="300"/>
              </w:trPr>
              <w:tc>
                <w:tcPr>
                  <w:tcW w:w="990" w:type="dxa"/>
                  <w:shd w:val="clear" w:color="auto" w:fill="auto"/>
                  <w:noWrap/>
                </w:tcPr>
                <w:p w14:paraId="2D3E3876" w14:textId="77777777" w:rsidR="001237A7" w:rsidRPr="00A7028F" w:rsidRDefault="001237A7" w:rsidP="00A84DF7">
                  <w:pPr>
                    <w:pStyle w:val="ReqNo"/>
                    <w:framePr w:wrap="around"/>
                  </w:pPr>
                </w:p>
              </w:tc>
              <w:tc>
                <w:tcPr>
                  <w:tcW w:w="8082" w:type="dxa"/>
                  <w:shd w:val="clear" w:color="auto" w:fill="auto"/>
                </w:tcPr>
                <w:p w14:paraId="4708CF2C" w14:textId="77777777" w:rsidR="001237A7" w:rsidRPr="00A7028F" w:rsidRDefault="001237A7" w:rsidP="00DF2B50">
                  <w:pPr>
                    <w:pStyle w:val="BodyText0"/>
                    <w:framePr w:wrap="around"/>
                  </w:pPr>
                  <w:r w:rsidRPr="00A7028F">
                    <w:t xml:space="preserve">Describe your approach to managing your scope of work and how you will coordinate with other involved CalSAWS contractors and the </w:t>
                  </w:r>
                  <w:r>
                    <w:t xml:space="preserve">CalSAWS </w:t>
                  </w:r>
                  <w:r w:rsidRPr="00A7028F">
                    <w:t>Delivery Integration Team to ensure understanding and agreement of the roles and responsibilities of each Contractor and the Consortium.</w:t>
                  </w:r>
                </w:p>
              </w:tc>
            </w:tr>
          </w:tbl>
          <w:p w14:paraId="06461BE4" w14:textId="77777777" w:rsidR="001237A7" w:rsidRDefault="001237A7" w:rsidP="001237A7">
            <w:pPr>
              <w:pStyle w:val="BodyText0"/>
              <w:framePr w:hSpace="0" w:wrap="auto" w:vAnchor="margin" w:yAlign="inline"/>
              <w:suppressOverlap w:val="0"/>
            </w:pPr>
          </w:p>
        </w:tc>
      </w:tr>
    </w:tbl>
    <w:p w14:paraId="4D3EA1F5" w14:textId="492DD809" w:rsidR="00946E60" w:rsidRDefault="0064538F" w:rsidP="00DC75FC">
      <w:pPr>
        <w:pStyle w:val="BodyText"/>
      </w:pPr>
      <w:r>
        <w:rPr>
          <w:noProof/>
        </w:rPr>
        <w:drawing>
          <wp:anchor distT="0" distB="0" distL="114300" distR="114300" simplePos="0" relativeHeight="251658260" behindDoc="0" locked="0" layoutInCell="1" allowOverlap="1" wp14:anchorId="40EB80D1" wp14:editId="206529C2">
            <wp:simplePos x="0" y="0"/>
            <wp:positionH relativeFrom="column">
              <wp:posOffset>0</wp:posOffset>
            </wp:positionH>
            <wp:positionV relativeFrom="paragraph">
              <wp:posOffset>0</wp:posOffset>
            </wp:positionV>
            <wp:extent cx="2331376" cy="4921195"/>
            <wp:effectExtent l="0" t="0" r="0" b="0"/>
            <wp:wrapSquare wrapText="bothSides"/>
            <wp:docPr id="36218314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31376" cy="4921195"/>
                    </a:xfrm>
                    <a:prstGeom prst="rect">
                      <a:avLst/>
                    </a:prstGeom>
                    <a:noFill/>
                  </pic:spPr>
                </pic:pic>
              </a:graphicData>
            </a:graphic>
          </wp:anchor>
        </w:drawing>
      </w:r>
      <w:r w:rsidR="00906381">
        <w:t xml:space="preserve">As a current CalSAWS Contractor, Gainwell is very experienced with operating in the CalSAWS multi-contractor environment. </w:t>
      </w:r>
      <w:r w:rsidR="007D63D5">
        <w:t xml:space="preserve">Gainwell has been a </w:t>
      </w:r>
      <w:r w:rsidR="00DD4D31">
        <w:t>partner of the CalSAWS Consortium, including its predecessor C</w:t>
      </w:r>
      <w:r w:rsidR="00946E60">
        <w:t xml:space="preserve">onsortia, CalWIN and CalACES, for </w:t>
      </w:r>
      <w:r w:rsidR="003B6C19">
        <w:t xml:space="preserve">more than </w:t>
      </w:r>
      <w:r w:rsidR="00946E60">
        <w:t xml:space="preserve">40 years. </w:t>
      </w:r>
      <w:r w:rsidR="00713C52">
        <w:t>Gainwell has adopted the CalSAWS processes for project control, application maintenance, infrastructure maintenance</w:t>
      </w:r>
      <w:r w:rsidR="003B6C19">
        <w:t>,</w:t>
      </w:r>
      <w:r w:rsidR="00713C52">
        <w:t xml:space="preserve"> and production operations</w:t>
      </w:r>
      <w:r w:rsidR="00AE5FD0">
        <w:t xml:space="preserve"> in our service delivery to the CalSAWS Consortium. </w:t>
      </w:r>
    </w:p>
    <w:p w14:paraId="13A70E6F" w14:textId="18E8832D" w:rsidR="00AE5FD0" w:rsidRDefault="00AE5FD0" w:rsidP="00DC75FC">
      <w:pPr>
        <w:pStyle w:val="BodyText"/>
      </w:pPr>
      <w:r>
        <w:t>Gainwell is</w:t>
      </w:r>
      <w:r w:rsidR="00056BD9">
        <w:t xml:space="preserve"> aware of the dependencies between BenefitsCal and CalSAWS and supports the Consortium’s vision of “</w:t>
      </w:r>
      <w:r w:rsidR="00056BD9" w:rsidRPr="00A7028F">
        <w:t xml:space="preserve">a fully integrated enterprise organization consisting of Consortium teams working collaboratively with </w:t>
      </w:r>
      <w:r w:rsidR="00056BD9">
        <w:t>the c</w:t>
      </w:r>
      <w:r w:rsidR="00056BD9" w:rsidRPr="00A7028F">
        <w:t xml:space="preserve">ontractor counterparts responsible for </w:t>
      </w:r>
      <w:r w:rsidR="00056BD9">
        <w:t>BenefitsCal</w:t>
      </w:r>
      <w:r w:rsidR="00056BD9" w:rsidRPr="00A7028F">
        <w:t xml:space="preserve"> Services as well as other CalSAWS contractors within the overall CalSAWS operation</w:t>
      </w:r>
      <w:r w:rsidR="00056BD9">
        <w:t>.”</w:t>
      </w:r>
    </w:p>
    <w:p w14:paraId="649AF589" w14:textId="28B59FA2" w:rsidR="009F50B2" w:rsidRDefault="009F50B2" w:rsidP="00DC75FC">
      <w:pPr>
        <w:pStyle w:val="BodyText"/>
      </w:pPr>
      <w:r>
        <w:t>Gainwell prioritizes working collectively for the benefit of the entire enterprise</w:t>
      </w:r>
      <w:r w:rsidR="005A752E">
        <w:t xml:space="preserve"> and actively builds cooperative relationships with the other CalSAWS contractors.</w:t>
      </w:r>
      <w:r w:rsidR="006242A9">
        <w:t xml:space="preserve"> </w:t>
      </w:r>
      <w:r w:rsidR="008D5716">
        <w:t xml:space="preserve">We have documented our values as a service delivery team </w:t>
      </w:r>
      <w:r w:rsidR="001031D9">
        <w:t>and share the values with each Gainwell team member who joins the CalSAWS project.</w:t>
      </w:r>
      <w:r w:rsidR="001E1576">
        <w:t xml:space="preserve"> Our values clearly reflect our commitment to the</w:t>
      </w:r>
      <w:r w:rsidR="00A47396">
        <w:t xml:space="preserve"> human services mission and working collaboratively with other Contractors.</w:t>
      </w:r>
    </w:p>
    <w:p w14:paraId="39F712EF" w14:textId="50ADD29F" w:rsidR="00DC75FC" w:rsidRDefault="008A7A71" w:rsidP="00DC75FC">
      <w:pPr>
        <w:pStyle w:val="BodyText"/>
      </w:pPr>
      <w:r>
        <w:t xml:space="preserve">We have divided our </w:t>
      </w:r>
      <w:r w:rsidR="00685F80">
        <w:t xml:space="preserve">values into three </w:t>
      </w:r>
      <w:r w:rsidR="00D339DA">
        <w:t>areas</w:t>
      </w:r>
      <w:r w:rsidR="00685F80">
        <w:t xml:space="preserve"> using the tag line of </w:t>
      </w:r>
      <w:r w:rsidR="00685F80" w:rsidRPr="00E63039">
        <w:rPr>
          <w:b/>
          <w:bCs/>
        </w:rPr>
        <w:t>Understand, Engage</w:t>
      </w:r>
      <w:r w:rsidR="00E03460">
        <w:rPr>
          <w:b/>
          <w:bCs/>
        </w:rPr>
        <w:t>,</w:t>
      </w:r>
      <w:r w:rsidR="00685F80" w:rsidRPr="00E63039">
        <w:rPr>
          <w:b/>
          <w:bCs/>
        </w:rPr>
        <w:t xml:space="preserve"> and Deliver</w:t>
      </w:r>
      <w:r w:rsidR="00513BD5">
        <w:t>. Our values form the foundation of how we manage our scope of work</w:t>
      </w:r>
      <w:r w:rsidR="00C1725D">
        <w:t xml:space="preserve">. </w:t>
      </w:r>
    </w:p>
    <w:p w14:paraId="0CF4BDAC" w14:textId="77777777" w:rsidR="00F670E0" w:rsidRDefault="00F670E0" w:rsidP="004339C5">
      <w:pPr>
        <w:pStyle w:val="FigureCaptionAuto"/>
      </w:pPr>
      <w:bookmarkStart w:id="5" w:name="_Toc173187508"/>
      <w:r>
        <w:lastRenderedPageBreak/>
        <w:t>Gainwell CalSAWS Account Values</w:t>
      </w:r>
      <w:bookmarkEnd w:id="5"/>
    </w:p>
    <w:p w14:paraId="15DFD09E" w14:textId="6C977980" w:rsidR="00A47396" w:rsidRDefault="00B36F4D" w:rsidP="00F670E0">
      <w:pPr>
        <w:pStyle w:val="BodyText"/>
      </w:pPr>
      <w:r>
        <w:rPr>
          <w:noProof/>
        </w:rPr>
        <w:drawing>
          <wp:inline distT="0" distB="0" distL="0" distR="0" wp14:anchorId="54BC03ED" wp14:editId="16394F0B">
            <wp:extent cx="6081080" cy="3104668"/>
            <wp:effectExtent l="0" t="0" r="0" b="635"/>
            <wp:docPr id="20005497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0546" cy="3135028"/>
                    </a:xfrm>
                    <a:prstGeom prst="rect">
                      <a:avLst/>
                    </a:prstGeom>
                    <a:noFill/>
                  </pic:spPr>
                </pic:pic>
              </a:graphicData>
            </a:graphic>
          </wp:inline>
        </w:drawing>
      </w:r>
    </w:p>
    <w:p w14:paraId="6973B8CB" w14:textId="2D9358AC" w:rsidR="00B35933" w:rsidRDefault="00B35933" w:rsidP="00D22BF4">
      <w:pPr>
        <w:pStyle w:val="BodyText"/>
      </w:pPr>
      <w:r>
        <w:t xml:space="preserve">As illustrated in the figure above, many of our values directly align with the </w:t>
      </w:r>
      <w:r w:rsidR="00882FA7">
        <w:t xml:space="preserve">Consortium’s vision of a Contractor </w:t>
      </w:r>
      <w:r w:rsidR="0094315F">
        <w:t xml:space="preserve">that </w:t>
      </w:r>
      <w:r w:rsidR="00EC2B8D">
        <w:t>works collaboratively for the good of the enterprise.</w:t>
      </w:r>
      <w:r w:rsidR="00E845EA">
        <w:t xml:space="preserve"> Not only do we roll</w:t>
      </w:r>
      <w:r w:rsidR="00D3124A">
        <w:t xml:space="preserve"> </w:t>
      </w:r>
      <w:r w:rsidR="00E845EA">
        <w:t xml:space="preserve">out our values to each of our staff members, </w:t>
      </w:r>
      <w:r w:rsidR="00737E20">
        <w:t>but we also</w:t>
      </w:r>
      <w:r w:rsidR="00E845EA">
        <w:t xml:space="preserve"> regularly review the values in our staff meetings to keep them top of mind as we perform our</w:t>
      </w:r>
      <w:r w:rsidR="00D339DA">
        <w:t xml:space="preserve"> service delivery tasks.</w:t>
      </w:r>
    </w:p>
    <w:p w14:paraId="2AAE01DB" w14:textId="35EE7AC4" w:rsidR="001237A7" w:rsidRDefault="00EF7BB2" w:rsidP="00D22BF4">
      <w:pPr>
        <w:pStyle w:val="BodyText"/>
      </w:pPr>
      <w:r>
        <w:t xml:space="preserve">The following subsections </w:t>
      </w:r>
      <w:r w:rsidR="00D339DA">
        <w:t xml:space="preserve">further </w:t>
      </w:r>
      <w:r>
        <w:t xml:space="preserve">describe Gainwell’s approach to managing our scope of work and coordinating with the other </w:t>
      </w:r>
      <w:r w:rsidR="00F00EDE">
        <w:t xml:space="preserve">involved CalSAWS </w:t>
      </w:r>
      <w:r>
        <w:t>contractors and the CalSAWS Delivery Integration Team</w:t>
      </w:r>
      <w:r w:rsidR="00F00EDE">
        <w:t xml:space="preserve"> to </w:t>
      </w:r>
      <w:r w:rsidR="001E0CC6">
        <w:t xml:space="preserve">confirm our </w:t>
      </w:r>
      <w:r w:rsidR="00F00EDE">
        <w:t>understanding and agreement of the roles and responsibilities of each Contractor and the Consortium</w:t>
      </w:r>
      <w:r>
        <w:t xml:space="preserve">. </w:t>
      </w:r>
    </w:p>
    <w:p w14:paraId="243B0F3E" w14:textId="50059EEA" w:rsidR="00CF4188" w:rsidRDefault="001E24C3" w:rsidP="00766930">
      <w:pPr>
        <w:pStyle w:val="HeadingManual3"/>
      </w:pPr>
      <w:bookmarkStart w:id="6" w:name="_Toc172704157"/>
      <w:bookmarkStart w:id="7" w:name="_Toc173187476"/>
      <w:r>
        <w:t>4.1.1</w:t>
      </w:r>
      <w:r w:rsidR="00766930">
        <w:tab/>
      </w:r>
      <w:r w:rsidR="00423BC1">
        <w:t>Approach to Managing the Gainwell Scope of Work</w:t>
      </w:r>
      <w:bookmarkEnd w:id="6"/>
      <w:bookmarkEnd w:id="7"/>
    </w:p>
    <w:p w14:paraId="1098292F" w14:textId="1CC21F24" w:rsidR="00757D2C" w:rsidRPr="00D80100" w:rsidRDefault="00757D2C" w:rsidP="00D80100">
      <w:pPr>
        <w:pStyle w:val="BodyText"/>
        <w:rPr>
          <w:szCs w:val="22"/>
        </w:rPr>
      </w:pPr>
      <w:r>
        <w:rPr>
          <w:szCs w:val="22"/>
        </w:rPr>
        <w:t>We</w:t>
      </w:r>
      <w:r w:rsidRPr="00B40C45">
        <w:rPr>
          <w:szCs w:val="22"/>
        </w:rPr>
        <w:t xml:space="preserve"> </w:t>
      </w:r>
      <w:r w:rsidRPr="0098004A">
        <w:rPr>
          <w:szCs w:val="22"/>
        </w:rPr>
        <w:t>actively manage work</w:t>
      </w:r>
      <w:r w:rsidRPr="00B40C45">
        <w:rPr>
          <w:szCs w:val="22"/>
        </w:rPr>
        <w:t xml:space="preserve"> performed</w:t>
      </w:r>
      <w:r w:rsidRPr="0098004A">
        <w:rPr>
          <w:szCs w:val="22"/>
        </w:rPr>
        <w:t>,</w:t>
      </w:r>
      <w:r w:rsidRPr="00B40C45">
        <w:rPr>
          <w:szCs w:val="22"/>
        </w:rPr>
        <w:t xml:space="preserve"> </w:t>
      </w:r>
      <w:r w:rsidRPr="0098004A">
        <w:rPr>
          <w:szCs w:val="22"/>
        </w:rPr>
        <w:t>consistent with our company culture</w:t>
      </w:r>
      <w:r w:rsidR="00640CD0">
        <w:rPr>
          <w:szCs w:val="22"/>
        </w:rPr>
        <w:t xml:space="preserve"> and our account values</w:t>
      </w:r>
      <w:r w:rsidRPr="0098004A">
        <w:rPr>
          <w:szCs w:val="22"/>
        </w:rPr>
        <w:t>, in a collaborative manner</w:t>
      </w:r>
      <w:r>
        <w:rPr>
          <w:szCs w:val="22"/>
        </w:rPr>
        <w:t xml:space="preserve"> with the Consortium, other CalSAWS contractors, and stakeholders.</w:t>
      </w:r>
    </w:p>
    <w:p w14:paraId="2EEDC085" w14:textId="2AFD2440" w:rsidR="00CA122D" w:rsidRDefault="00CA122D" w:rsidP="00F670E0">
      <w:pPr>
        <w:pStyle w:val="BodyText"/>
      </w:pPr>
      <w:r>
        <w:t xml:space="preserve">One of the key tenets of the </w:t>
      </w:r>
      <w:r w:rsidR="00A55E49">
        <w:t>Consortium vision is to “f</w:t>
      </w:r>
      <w:r w:rsidR="00A55E49" w:rsidRPr="583B9D88">
        <w:t>ully integrate with the CalSAWS ecosystem and adhere to established processes</w:t>
      </w:r>
      <w:r w:rsidR="00E54B0E">
        <w:t>,</w:t>
      </w:r>
      <w:r w:rsidR="00A55E49" w:rsidRPr="583B9D88">
        <w:t xml:space="preserve"> including PMO, DI and SCRs</w:t>
      </w:r>
      <w:r w:rsidR="00A55E49">
        <w:t>.”</w:t>
      </w:r>
    </w:p>
    <w:p w14:paraId="027FFA7B" w14:textId="3D06E9EF" w:rsidR="00724E97" w:rsidRPr="0098004A" w:rsidRDefault="00724E97" w:rsidP="00F670E0">
      <w:pPr>
        <w:pStyle w:val="BodyText"/>
      </w:pPr>
      <w:r>
        <w:t>Gainwell’s approach to managing our scope of work includes adhering to the established processes including Project Management Office (PMO), Delivery Integration (DI)</w:t>
      </w:r>
      <w:r w:rsidR="006C718D">
        <w:t>,</w:t>
      </w:r>
      <w:r>
        <w:t xml:space="preserve"> and System Change Requests (SCRs). Our approach to software development and </w:t>
      </w:r>
      <w:r w:rsidR="00024E62">
        <w:t>SCRs is describe</w:t>
      </w:r>
      <w:r w:rsidR="00E81A88">
        <w:t>d</w:t>
      </w:r>
      <w:r w:rsidR="00024E62">
        <w:t xml:space="preserve"> in Section 4.2. Our approach to adhering to established processes in infrastructure maintenance is described in Section 4.3. This section addresses our high-</w:t>
      </w:r>
      <w:r w:rsidR="00024E62">
        <w:lastRenderedPageBreak/>
        <w:t>level approach to fully integrating with the CalSAWS ecosystem and adhering to established process of the PMO and DI.</w:t>
      </w:r>
    </w:p>
    <w:p w14:paraId="3870A3ED" w14:textId="26FE0D62" w:rsidR="00757D2C" w:rsidRDefault="00757D2C" w:rsidP="00757D2C">
      <w:pPr>
        <w:pStyle w:val="BodyText"/>
      </w:pPr>
      <w:r w:rsidRPr="00977EA5">
        <w:rPr>
          <w:b/>
          <w:bCs/>
        </w:rPr>
        <w:t xml:space="preserve">Project Management </w:t>
      </w:r>
      <w:r>
        <w:rPr>
          <w:b/>
          <w:bCs/>
        </w:rPr>
        <w:t>that Embraces Best Practices</w:t>
      </w:r>
      <w:r w:rsidRPr="00977EA5">
        <w:rPr>
          <w:b/>
          <w:bCs/>
        </w:rPr>
        <w:t>.</w:t>
      </w:r>
      <w:r w:rsidRPr="00D25FF4">
        <w:t xml:space="preserve"> Project </w:t>
      </w:r>
      <w:r>
        <w:t>m</w:t>
      </w:r>
      <w:r w:rsidRPr="00D25FF4">
        <w:t xml:space="preserve">anagement is </w:t>
      </w:r>
      <w:r>
        <w:t>an</w:t>
      </w:r>
      <w:r w:rsidRPr="00D25FF4">
        <w:t xml:space="preserve"> important aspect of managing our scope of work</w:t>
      </w:r>
      <w:r>
        <w:t xml:space="preserve"> </w:t>
      </w:r>
      <w:r w:rsidRPr="00D25FF4">
        <w:t xml:space="preserve">and </w:t>
      </w:r>
      <w:r>
        <w:t>of</w:t>
      </w:r>
      <w:r w:rsidRPr="00D25FF4">
        <w:t xml:space="preserve"> </w:t>
      </w:r>
      <w:r>
        <w:t>coordinating</w:t>
      </w:r>
      <w:r w:rsidRPr="00D25FF4">
        <w:t xml:space="preserve"> with the Consortium and other contractors.</w:t>
      </w:r>
      <w:r>
        <w:t xml:space="preserve"> We</w:t>
      </w:r>
      <w:r w:rsidRPr="00D25FF4">
        <w:t xml:space="preserve"> bring industry best practices in project management— focused on the Project Management Institute (PMI) standards as published in </w:t>
      </w:r>
      <w:r w:rsidRPr="00C6305D">
        <w:rPr>
          <w:i/>
          <w:iCs/>
        </w:rPr>
        <w:t>A Guide to the Project Management Body of Knowledge (PMBOK Guide</w:t>
      </w:r>
      <w:r w:rsidRPr="00D25FF4">
        <w:t xml:space="preserve">). </w:t>
      </w:r>
      <w:r>
        <w:t>We</w:t>
      </w:r>
      <w:r w:rsidRPr="00D25FF4">
        <w:t xml:space="preserve"> coordinate and work with the Consortium, Counties, </w:t>
      </w:r>
      <w:r w:rsidR="004D4A73">
        <w:t xml:space="preserve">the </w:t>
      </w:r>
      <w:r w:rsidRPr="00D25FF4">
        <w:t>Delivery Integration Team</w:t>
      </w:r>
      <w:r>
        <w:t>,</w:t>
      </w:r>
      <w:r w:rsidRPr="00D25FF4">
        <w:t xml:space="preserve"> </w:t>
      </w:r>
      <w:r>
        <w:t xml:space="preserve">other </w:t>
      </w:r>
      <w:r w:rsidRPr="00D25FF4" w:rsidDel="007933CD">
        <w:t>contractors</w:t>
      </w:r>
      <w:r w:rsidRPr="00D25FF4">
        <w:t xml:space="preserve">, </w:t>
      </w:r>
      <w:r w:rsidR="004D4A73">
        <w:t xml:space="preserve">as well as </w:t>
      </w:r>
      <w:r>
        <w:t xml:space="preserve">other stakeholders </w:t>
      </w:r>
      <w:r w:rsidRPr="00D25FF4">
        <w:t xml:space="preserve">in an environment of inclusiveness and teamwork. </w:t>
      </w:r>
    </w:p>
    <w:p w14:paraId="44224DFC" w14:textId="69CAE320" w:rsidR="00CD3EB9" w:rsidRDefault="00CD3EB9" w:rsidP="00757D2C">
      <w:pPr>
        <w:pStyle w:val="BodyText"/>
      </w:pPr>
      <w:r>
        <w:t>We have significant experience working with the Consortium PMO and adhering to the Consortium’s PMO processes</w:t>
      </w:r>
      <w:r w:rsidR="00E55204">
        <w:t xml:space="preserve"> </w:t>
      </w:r>
      <w:r w:rsidR="00BE34FE">
        <w:t xml:space="preserve">that </w:t>
      </w:r>
      <w:r w:rsidR="00E55204">
        <w:t>establish the framework for all CalSAWS vendors</w:t>
      </w:r>
      <w:r>
        <w:t>.</w:t>
      </w:r>
      <w:r w:rsidR="00C459F9">
        <w:t xml:space="preserve"> One important aspect of </w:t>
      </w:r>
      <w:r w:rsidR="009866EF">
        <w:t xml:space="preserve">our approach to our scope of work is our </w:t>
      </w:r>
      <w:r w:rsidR="0031706E">
        <w:t>incorporation of project managers led by</w:t>
      </w:r>
      <w:r w:rsidR="009866EF">
        <w:t xml:space="preserve"> </w:t>
      </w:r>
      <w:r w:rsidR="0031706E">
        <w:t xml:space="preserve">the </w:t>
      </w:r>
      <w:r w:rsidR="009866EF">
        <w:t>Gainwell PMO</w:t>
      </w:r>
      <w:r w:rsidR="0031706E">
        <w:t>.</w:t>
      </w:r>
    </w:p>
    <w:p w14:paraId="544D893F" w14:textId="43B45525" w:rsidR="00757D2C" w:rsidRDefault="00757D2C" w:rsidP="00757D2C">
      <w:pPr>
        <w:pStyle w:val="BodyText"/>
      </w:pPr>
      <w:r>
        <w:t xml:space="preserve">Our project managers increase our project delivery speed and success. Successful project management delivers on business value to </w:t>
      </w:r>
      <w:r w:rsidR="0005021B">
        <w:t>BenefitsCal</w:t>
      </w:r>
      <w:r>
        <w:t xml:space="preserve"> users</w:t>
      </w:r>
      <w:r w:rsidR="00D1211C">
        <w:t>, the Consortium</w:t>
      </w:r>
      <w:r w:rsidR="003B1EB2">
        <w:t>,</w:t>
      </w:r>
      <w:r>
        <w:t xml:space="preserve"> </w:t>
      </w:r>
      <w:r w:rsidR="0005021B">
        <w:t>and the Counties as</w:t>
      </w:r>
      <w:r>
        <w:t xml:space="preserve"> described in </w:t>
      </w:r>
      <w:r w:rsidR="0005021B">
        <w:t>the table below</w:t>
      </w:r>
      <w:r>
        <w:t>.</w:t>
      </w:r>
    </w:p>
    <w:p w14:paraId="3D972109" w14:textId="77777777" w:rsidR="00757D2C" w:rsidRPr="0052796B" w:rsidRDefault="00757D2C" w:rsidP="0052796B">
      <w:pPr>
        <w:pStyle w:val="TableCaptionAuto"/>
      </w:pPr>
      <w:bookmarkStart w:id="8" w:name="_Ref122509136"/>
      <w:bookmarkStart w:id="9" w:name="_Toc123585850"/>
      <w:bookmarkStart w:id="10" w:name="_Toc123721757"/>
      <w:bookmarkStart w:id="11" w:name="_Toc172704187"/>
      <w:bookmarkStart w:id="12" w:name="_Toc173187549"/>
      <w:r w:rsidRPr="0052796B">
        <w:t>Delivering Business Value</w:t>
      </w:r>
      <w:bookmarkEnd w:id="8"/>
      <w:bookmarkEnd w:id="9"/>
      <w:bookmarkEnd w:id="10"/>
      <w:bookmarkEnd w:id="11"/>
      <w:bookmarkEnd w:id="12"/>
    </w:p>
    <w:tbl>
      <w:tblPr>
        <w:tblW w:w="5000" w:type="pct"/>
        <w:tblInd w:w="18" w:type="dxa"/>
        <w:tblBorders>
          <w:bottom w:val="single" w:sz="4" w:space="0" w:color="2B3A44"/>
          <w:insideH w:val="single" w:sz="4" w:space="0" w:color="2B3A44"/>
        </w:tblBorders>
        <w:tblCellMar>
          <w:top w:w="57" w:type="dxa"/>
        </w:tblCellMar>
        <w:tblLook w:val="0620" w:firstRow="1" w:lastRow="0" w:firstColumn="0" w:lastColumn="0" w:noHBand="1" w:noVBand="1"/>
      </w:tblPr>
      <w:tblGrid>
        <w:gridCol w:w="2275"/>
        <w:gridCol w:w="7085"/>
      </w:tblGrid>
      <w:tr w:rsidR="00757D2C" w:rsidRPr="00F04D5A" w14:paraId="36943913" w14:textId="77777777">
        <w:trPr>
          <w:tblHeader/>
        </w:trPr>
        <w:tc>
          <w:tcPr>
            <w:tcW w:w="0" w:type="auto"/>
            <w:tcBorders>
              <w:top w:val="single" w:sz="8" w:space="0" w:color="7030A0"/>
              <w:bottom w:val="single" w:sz="8" w:space="0" w:color="7030A0"/>
            </w:tcBorders>
            <w:shd w:val="clear" w:color="auto" w:fill="EFE5F7"/>
            <w:hideMark/>
          </w:tcPr>
          <w:p w14:paraId="69DB265E" w14:textId="77777777" w:rsidR="00757D2C" w:rsidRPr="00F04D5A" w:rsidRDefault="00757D2C">
            <w:pPr>
              <w:pStyle w:val="TableHeading10"/>
            </w:pPr>
            <w:r w:rsidRPr="00F04D5A">
              <w:t>Activity</w:t>
            </w:r>
          </w:p>
        </w:tc>
        <w:tc>
          <w:tcPr>
            <w:tcW w:w="0" w:type="auto"/>
            <w:tcBorders>
              <w:top w:val="single" w:sz="8" w:space="0" w:color="7030A0"/>
              <w:bottom w:val="single" w:sz="8" w:space="0" w:color="7030A0"/>
            </w:tcBorders>
            <w:shd w:val="clear" w:color="auto" w:fill="EFE5F7"/>
            <w:hideMark/>
          </w:tcPr>
          <w:p w14:paraId="175BC4A9" w14:textId="77777777" w:rsidR="00757D2C" w:rsidRPr="00F04D5A" w:rsidRDefault="00757D2C">
            <w:pPr>
              <w:pStyle w:val="TableHeading10"/>
            </w:pPr>
            <w:r w:rsidRPr="00F04D5A">
              <w:t>Description</w:t>
            </w:r>
          </w:p>
        </w:tc>
      </w:tr>
      <w:tr w:rsidR="00757D2C" w:rsidRPr="009D2D50" w14:paraId="5FB6152A" w14:textId="77777777">
        <w:tc>
          <w:tcPr>
            <w:tcW w:w="0" w:type="auto"/>
            <w:tcBorders>
              <w:top w:val="single" w:sz="8" w:space="0" w:color="7030A0"/>
            </w:tcBorders>
            <w:shd w:val="clear" w:color="auto" w:fill="auto"/>
            <w:hideMark/>
          </w:tcPr>
          <w:p w14:paraId="6F5E51C9" w14:textId="77777777" w:rsidR="00757D2C" w:rsidRPr="009D2D50" w:rsidRDefault="00757D2C">
            <w:pPr>
              <w:pStyle w:val="TableText10Double"/>
              <w:rPr>
                <w:b/>
              </w:rPr>
            </w:pPr>
            <w:r w:rsidRPr="009D26E6">
              <w:rPr>
                <w:b/>
              </w:rPr>
              <w:t>Understand the vision</w:t>
            </w:r>
          </w:p>
        </w:tc>
        <w:tc>
          <w:tcPr>
            <w:tcW w:w="0" w:type="auto"/>
            <w:tcBorders>
              <w:top w:val="single" w:sz="8" w:space="0" w:color="7030A0"/>
            </w:tcBorders>
            <w:shd w:val="clear" w:color="auto" w:fill="auto"/>
            <w:hideMark/>
          </w:tcPr>
          <w:p w14:paraId="10747B97" w14:textId="6C7333CC" w:rsidR="00757D2C" w:rsidRPr="009D2D50" w:rsidRDefault="00757D2C">
            <w:pPr>
              <w:pStyle w:val="TableText10Double"/>
            </w:pPr>
            <w:r>
              <w:t xml:space="preserve">Our project managers work with the Consortium and other stakeholders to understand the </w:t>
            </w:r>
            <w:r w:rsidRPr="00666414">
              <w:t>vision</w:t>
            </w:r>
            <w:r w:rsidRPr="009D26E6">
              <w:t xml:space="preserve"> for the project. The </w:t>
            </w:r>
            <w:r w:rsidRPr="00666414">
              <w:t>vision</w:t>
            </w:r>
            <w:r w:rsidRPr="009D26E6">
              <w:t xml:space="preserve"> </w:t>
            </w:r>
            <w:r>
              <w:t>includes</w:t>
            </w:r>
            <w:r w:rsidRPr="009D26E6">
              <w:t xml:space="preserve"> a high-level view of the scope of the project and, more importantly, the reason the project was created. </w:t>
            </w:r>
            <w:r>
              <w:t>Our</w:t>
            </w:r>
            <w:r w:rsidRPr="009D26E6">
              <w:t xml:space="preserve"> project managers collaborate with business owners to clearly document the </w:t>
            </w:r>
            <w:r w:rsidRPr="00666414">
              <w:t>vision</w:t>
            </w:r>
            <w:r w:rsidRPr="009D26E6">
              <w:t xml:space="preserve">. Once the vision is documented, the most important </w:t>
            </w:r>
            <w:r w:rsidR="00115623">
              <w:t xml:space="preserve">activity </w:t>
            </w:r>
            <w:r w:rsidRPr="009D26E6">
              <w:t xml:space="preserve">our project managers do is </w:t>
            </w:r>
            <w:r>
              <w:t>drive to</w:t>
            </w:r>
            <w:r w:rsidRPr="009D26E6">
              <w:t xml:space="preserve"> the </w:t>
            </w:r>
            <w:r w:rsidRPr="00666414">
              <w:t>vision</w:t>
            </w:r>
            <w:r>
              <w:t>.</w:t>
            </w:r>
          </w:p>
        </w:tc>
      </w:tr>
      <w:tr w:rsidR="00757D2C" w:rsidRPr="009D2D50" w14:paraId="33574485" w14:textId="77777777">
        <w:tc>
          <w:tcPr>
            <w:tcW w:w="0" w:type="auto"/>
            <w:shd w:val="clear" w:color="auto" w:fill="auto"/>
            <w:hideMark/>
          </w:tcPr>
          <w:p w14:paraId="6756C6C5" w14:textId="77777777" w:rsidR="00757D2C" w:rsidRPr="009D2D50" w:rsidRDefault="00757D2C">
            <w:pPr>
              <w:pStyle w:val="TableText10Double"/>
              <w:rPr>
                <w:b/>
              </w:rPr>
            </w:pPr>
            <w:r w:rsidRPr="009D26E6">
              <w:rPr>
                <w:b/>
              </w:rPr>
              <w:t>Be clear about the business value of the project</w:t>
            </w:r>
          </w:p>
        </w:tc>
        <w:tc>
          <w:tcPr>
            <w:tcW w:w="0" w:type="auto"/>
            <w:shd w:val="clear" w:color="auto" w:fill="auto"/>
            <w:hideMark/>
          </w:tcPr>
          <w:p w14:paraId="07145D98" w14:textId="5D45150A" w:rsidR="00757D2C" w:rsidRPr="009D2D50" w:rsidRDefault="00757D2C">
            <w:pPr>
              <w:pStyle w:val="TableText10Double"/>
            </w:pPr>
            <w:r>
              <w:t xml:space="preserve">After capturing the project vision, our project managers articulate how the vision translates into true business </w:t>
            </w:r>
            <w:r w:rsidRPr="00666414">
              <w:t>value</w:t>
            </w:r>
            <w:r w:rsidR="00B80E9F">
              <w:t xml:space="preserve"> in conjunction with the Consortium</w:t>
            </w:r>
            <w:r>
              <w:t xml:space="preserve">. </w:t>
            </w:r>
            <w:r w:rsidRPr="009D26E6">
              <w:t xml:space="preserve">Regardless of the method used to document business </w:t>
            </w:r>
            <w:r w:rsidRPr="00666414">
              <w:t>value,</w:t>
            </w:r>
            <w:r w:rsidRPr="009D26E6">
              <w:t xml:space="preserve"> it is critical for the organization to identify the </w:t>
            </w:r>
            <w:r w:rsidRPr="00666414">
              <w:t>value</w:t>
            </w:r>
            <w:r w:rsidRPr="009D26E6">
              <w:t xml:space="preserve"> the project will deliver and how it will be measured during the project. The business </w:t>
            </w:r>
            <w:r w:rsidRPr="00666414">
              <w:t>value</w:t>
            </w:r>
            <w:r w:rsidRPr="009D26E6">
              <w:t xml:space="preserve"> </w:t>
            </w:r>
            <w:r>
              <w:t xml:space="preserve">can </w:t>
            </w:r>
            <w:r w:rsidRPr="009D26E6">
              <w:t xml:space="preserve">be stated in monetary terms </w:t>
            </w:r>
            <w:r>
              <w:t>or in</w:t>
            </w:r>
            <w:r w:rsidRPr="009D26E6">
              <w:t xml:space="preserve"> non-monetary benefits such as </w:t>
            </w:r>
            <w:r>
              <w:t>ease of use.</w:t>
            </w:r>
          </w:p>
        </w:tc>
      </w:tr>
      <w:tr w:rsidR="00757D2C" w:rsidRPr="009D2D50" w14:paraId="4BC2104F" w14:textId="77777777">
        <w:tc>
          <w:tcPr>
            <w:tcW w:w="0" w:type="auto"/>
            <w:shd w:val="clear" w:color="auto" w:fill="auto"/>
            <w:hideMark/>
          </w:tcPr>
          <w:p w14:paraId="35EC73EA" w14:textId="77777777" w:rsidR="00757D2C" w:rsidRPr="009D2D50" w:rsidRDefault="00757D2C">
            <w:pPr>
              <w:pStyle w:val="TableText10Double"/>
              <w:rPr>
                <w:b/>
              </w:rPr>
            </w:pPr>
            <w:r>
              <w:rPr>
                <w:b/>
              </w:rPr>
              <w:t>Champion</w:t>
            </w:r>
            <w:r w:rsidRPr="009D26E6">
              <w:rPr>
                <w:b/>
              </w:rPr>
              <w:t xml:space="preserve"> the vision and business value to the project team</w:t>
            </w:r>
          </w:p>
        </w:tc>
        <w:tc>
          <w:tcPr>
            <w:tcW w:w="0" w:type="auto"/>
            <w:shd w:val="clear" w:color="auto" w:fill="auto"/>
            <w:hideMark/>
          </w:tcPr>
          <w:p w14:paraId="4B27AA6E" w14:textId="77777777" w:rsidR="00757D2C" w:rsidRPr="009D2D50" w:rsidRDefault="00757D2C">
            <w:pPr>
              <w:pStyle w:val="TableText10Double"/>
            </w:pPr>
            <w:r>
              <w:t>Because</w:t>
            </w:r>
            <w:r w:rsidRPr="009D26E6">
              <w:t xml:space="preserve"> </w:t>
            </w:r>
            <w:r>
              <w:t>it</w:t>
            </w:r>
            <w:r w:rsidRPr="009D26E6">
              <w:t xml:space="preserve"> is important for the project team to believe in what they are doing</w:t>
            </w:r>
            <w:r>
              <w:t>, a</w:t>
            </w:r>
            <w:r w:rsidRPr="009D26E6">
              <w:t xml:space="preserve"> key function of</w:t>
            </w:r>
            <w:r w:rsidRPr="009D26E6" w:rsidDel="00D23500">
              <w:t xml:space="preserve"> </w:t>
            </w:r>
            <w:r>
              <w:t>our</w:t>
            </w:r>
            <w:r w:rsidRPr="009D26E6">
              <w:t xml:space="preserve"> project managers is to motivate the project team. </w:t>
            </w:r>
            <w:r>
              <w:t>Our</w:t>
            </w:r>
            <w:r w:rsidRPr="009D26E6">
              <w:t xml:space="preserve"> project managers </w:t>
            </w:r>
            <w:r>
              <w:t>champion</w:t>
            </w:r>
            <w:r w:rsidRPr="009D26E6">
              <w:t xml:space="preserve"> the </w:t>
            </w:r>
            <w:r w:rsidRPr="00666414">
              <w:t>vision</w:t>
            </w:r>
            <w:r w:rsidRPr="009D26E6">
              <w:t xml:space="preserve"> and business </w:t>
            </w:r>
            <w:r w:rsidRPr="00666414">
              <w:t>value</w:t>
            </w:r>
            <w:r w:rsidRPr="009D26E6">
              <w:t xml:space="preserve"> of the project </w:t>
            </w:r>
            <w:r w:rsidRPr="009D26E6" w:rsidDel="00BB7425">
              <w:t xml:space="preserve">to </w:t>
            </w:r>
            <w:r>
              <w:t>keep</w:t>
            </w:r>
            <w:r w:rsidDel="00BB7425">
              <w:t xml:space="preserve"> </w:t>
            </w:r>
            <w:r>
              <w:t>team members engaged</w:t>
            </w:r>
            <w:r w:rsidRPr="009D26E6">
              <w:t xml:space="preserve"> </w:t>
            </w:r>
            <w:r>
              <w:t>and</w:t>
            </w:r>
            <w:r w:rsidRPr="009D26E6">
              <w:t xml:space="preserve"> enthusiastic about delivering </w:t>
            </w:r>
            <w:r>
              <w:t>a successful project</w:t>
            </w:r>
            <w:r w:rsidRPr="009D26E6">
              <w:t>.</w:t>
            </w:r>
          </w:p>
        </w:tc>
      </w:tr>
      <w:tr w:rsidR="00757D2C" w:rsidRPr="009D2D50" w14:paraId="63B78667" w14:textId="77777777">
        <w:tc>
          <w:tcPr>
            <w:tcW w:w="0" w:type="auto"/>
            <w:shd w:val="clear" w:color="auto" w:fill="auto"/>
          </w:tcPr>
          <w:p w14:paraId="6EF87213" w14:textId="77777777" w:rsidR="00757D2C" w:rsidRPr="009D2D50" w:rsidRDefault="00757D2C">
            <w:pPr>
              <w:pStyle w:val="TableText10Double"/>
              <w:rPr>
                <w:b/>
              </w:rPr>
            </w:pPr>
            <w:r w:rsidRPr="009D26E6">
              <w:rPr>
                <w:b/>
              </w:rPr>
              <w:t>Foster a team environment to effectively deliver value</w:t>
            </w:r>
          </w:p>
        </w:tc>
        <w:tc>
          <w:tcPr>
            <w:tcW w:w="0" w:type="auto"/>
            <w:shd w:val="clear" w:color="auto" w:fill="auto"/>
          </w:tcPr>
          <w:p w14:paraId="4C3D38C4" w14:textId="27FE5A92" w:rsidR="00757D2C" w:rsidRPr="009D26E6" w:rsidRDefault="00757D2C">
            <w:pPr>
              <w:pStyle w:val="TableText10Double"/>
            </w:pPr>
            <w:r>
              <w:t>Our</w:t>
            </w:r>
            <w:r w:rsidRPr="009D26E6">
              <w:t xml:space="preserve"> project managers foster an environment that </w:t>
            </w:r>
            <w:r>
              <w:t>enables</w:t>
            </w:r>
            <w:r w:rsidRPr="009D26E6">
              <w:t xml:space="preserve"> the team to deliver efficiently. </w:t>
            </w:r>
            <w:r>
              <w:t xml:space="preserve">They remove roadblocks, coordinate with other contractors as applicable, and coordinate with </w:t>
            </w:r>
            <w:r w:rsidR="007B4F24">
              <w:t>the Delivery Integration Team</w:t>
            </w:r>
            <w:r>
              <w:t xml:space="preserve"> for cross-contractor project </w:t>
            </w:r>
            <w:r w:rsidDel="008F196C">
              <w:t>success</w:t>
            </w:r>
            <w:r>
              <w:t>.</w:t>
            </w:r>
          </w:p>
        </w:tc>
      </w:tr>
      <w:tr w:rsidR="00757D2C" w:rsidRPr="009D2D50" w14:paraId="6DD02C05" w14:textId="77777777">
        <w:tc>
          <w:tcPr>
            <w:tcW w:w="0" w:type="auto"/>
            <w:shd w:val="clear" w:color="auto" w:fill="auto"/>
          </w:tcPr>
          <w:p w14:paraId="12ABF709" w14:textId="77777777" w:rsidR="00757D2C" w:rsidRPr="009D2D50" w:rsidRDefault="00757D2C">
            <w:pPr>
              <w:pStyle w:val="TableText10Double"/>
              <w:rPr>
                <w:b/>
              </w:rPr>
            </w:pPr>
            <w:r w:rsidRPr="009D26E6">
              <w:rPr>
                <w:b/>
              </w:rPr>
              <w:lastRenderedPageBreak/>
              <w:t>Measure the realization of the business value</w:t>
            </w:r>
          </w:p>
        </w:tc>
        <w:tc>
          <w:tcPr>
            <w:tcW w:w="0" w:type="auto"/>
            <w:shd w:val="clear" w:color="auto" w:fill="auto"/>
          </w:tcPr>
          <w:p w14:paraId="6A30D109" w14:textId="77777777" w:rsidR="00757D2C" w:rsidRPr="009D26E6" w:rsidRDefault="00757D2C">
            <w:pPr>
              <w:pStyle w:val="TableText10Double"/>
            </w:pPr>
            <w:r>
              <w:t xml:space="preserve">Our project managers report on project progress, which includes the realization of business </w:t>
            </w:r>
            <w:r w:rsidRPr="00666414">
              <w:t>value</w:t>
            </w:r>
            <w:r>
              <w:t>.</w:t>
            </w:r>
          </w:p>
        </w:tc>
      </w:tr>
    </w:tbl>
    <w:p w14:paraId="6635AF47" w14:textId="77777777" w:rsidR="00757D2C" w:rsidRPr="00D25FF4" w:rsidRDefault="00757D2C" w:rsidP="0058686D">
      <w:pPr>
        <w:pStyle w:val="BodySingle"/>
      </w:pPr>
    </w:p>
    <w:p w14:paraId="3492338D" w14:textId="10A8707B" w:rsidR="00757D2C" w:rsidRDefault="00757D2C" w:rsidP="00757D2C">
      <w:pPr>
        <w:pStyle w:val="BodyText"/>
      </w:pPr>
      <w:r w:rsidRPr="00D25FF4">
        <w:t xml:space="preserve">We </w:t>
      </w:r>
      <w:r>
        <w:t xml:space="preserve">work, </w:t>
      </w:r>
      <w:r w:rsidDel="007933CD">
        <w:t>coordinate</w:t>
      </w:r>
      <w:r>
        <w:t xml:space="preserve">, and </w:t>
      </w:r>
      <w:r w:rsidRPr="00D25FF4">
        <w:t xml:space="preserve">collaborate with the CalSAWS PMO to make sure services delivered </w:t>
      </w:r>
      <w:r>
        <w:t xml:space="preserve">are </w:t>
      </w:r>
      <w:r w:rsidRPr="00D25FF4">
        <w:t xml:space="preserve">consistent with </w:t>
      </w:r>
      <w:r>
        <w:t xml:space="preserve">the approved </w:t>
      </w:r>
      <w:r w:rsidR="006E637B">
        <w:t>BenefitsCal</w:t>
      </w:r>
      <w:r>
        <w:t xml:space="preserve"> Services Plan and the associated Operational Working Documents (OWDs). We</w:t>
      </w:r>
      <w:r w:rsidRPr="00D25FF4">
        <w:t xml:space="preserve"> </w:t>
      </w:r>
      <w:r>
        <w:t>perform</w:t>
      </w:r>
      <w:r w:rsidRPr="00D25FF4">
        <w:t xml:space="preserve"> our project management responsibilities </w:t>
      </w:r>
      <w:r>
        <w:t>according to</w:t>
      </w:r>
      <w:r w:rsidRPr="00D25FF4">
        <w:t xml:space="preserve"> CalSAWS project management processes and standards, as documented in the </w:t>
      </w:r>
      <w:r w:rsidR="003B6FBF">
        <w:t xml:space="preserve">Consortium-authored Project Control Document (PCD) and the </w:t>
      </w:r>
      <w:r w:rsidRPr="00D25FF4">
        <w:t xml:space="preserve">approved </w:t>
      </w:r>
      <w:r w:rsidR="003B6FBF">
        <w:t>BenefitsCal</w:t>
      </w:r>
      <w:r w:rsidRPr="00D25FF4">
        <w:t xml:space="preserve"> PCD.</w:t>
      </w:r>
    </w:p>
    <w:p w14:paraId="67D06C41" w14:textId="587DF125" w:rsidR="00757D2C" w:rsidRDefault="00757D2C" w:rsidP="00757D2C">
      <w:pPr>
        <w:pStyle w:val="BodyText"/>
        <w:rPr>
          <w:szCs w:val="22"/>
        </w:rPr>
      </w:pPr>
      <w:r>
        <w:t xml:space="preserve">Our </w:t>
      </w:r>
      <w:r w:rsidR="00EA4594">
        <w:t>project managers</w:t>
      </w:r>
      <w:r>
        <w:t xml:space="preserve"> </w:t>
      </w:r>
      <w:r w:rsidR="00EA4594">
        <w:t xml:space="preserve">are </w:t>
      </w:r>
      <w:r>
        <w:rPr>
          <w:szCs w:val="22"/>
        </w:rPr>
        <w:t xml:space="preserve">responsible for Work Plan development, scheduling for the </w:t>
      </w:r>
      <w:r w:rsidR="00544FB9">
        <w:rPr>
          <w:szCs w:val="22"/>
        </w:rPr>
        <w:t>BenefitsCal</w:t>
      </w:r>
      <w:r>
        <w:rPr>
          <w:szCs w:val="22"/>
        </w:rPr>
        <w:t xml:space="preserve"> Project, and coordinating with the Consortium and other CalSAWS contractors in their management of the CalSAWS Master Work Plan. </w:t>
      </w:r>
      <w:r w:rsidR="00544FB9">
        <w:rPr>
          <w:szCs w:val="22"/>
        </w:rPr>
        <w:t>We develop</w:t>
      </w:r>
      <w:r>
        <w:rPr>
          <w:szCs w:val="22"/>
        </w:rPr>
        <w:t xml:space="preserve"> work plans that integrate into </w:t>
      </w:r>
      <w:r w:rsidR="000604B2">
        <w:rPr>
          <w:szCs w:val="22"/>
        </w:rPr>
        <w:t>the</w:t>
      </w:r>
      <w:r>
        <w:rPr>
          <w:szCs w:val="22"/>
        </w:rPr>
        <w:t xml:space="preserve"> Master CalSAWS Work Plan, identifying clear integration and coordination points with other contractors’ Work Plans. </w:t>
      </w:r>
      <w:r w:rsidR="00FE7C21">
        <w:rPr>
          <w:szCs w:val="22"/>
        </w:rPr>
        <w:t>We also identify tasks and activities to be performed by the Consortium that have or create dependencies in the project.</w:t>
      </w:r>
    </w:p>
    <w:p w14:paraId="22964EDD" w14:textId="7A40F27C" w:rsidR="00757D2C" w:rsidRDefault="00757D2C" w:rsidP="00757D2C">
      <w:pPr>
        <w:pStyle w:val="BodyText"/>
      </w:pPr>
      <w:r>
        <w:t xml:space="preserve">Our project managers update and maintain their project work plans. Each project manager coordinates with our </w:t>
      </w:r>
      <w:r w:rsidR="00235B58">
        <w:t>PMO Lead</w:t>
      </w:r>
      <w:r>
        <w:t xml:space="preserve"> on activities in the Master Work Plan. In addition to identifying and tracking the work performed by our staff, each project manager is responsible for identifying interdependencies between contractors</w:t>
      </w:r>
      <w:r w:rsidR="004B5AD0">
        <w:t xml:space="preserve"> and with the Consortium or other stakeholders</w:t>
      </w:r>
      <w:r>
        <w:t xml:space="preserve">. </w:t>
      </w:r>
    </w:p>
    <w:p w14:paraId="1EF5DFCF" w14:textId="77777777" w:rsidR="00F45585" w:rsidRPr="00952B20" w:rsidRDefault="00F45585" w:rsidP="00C6361B">
      <w:pPr>
        <w:pStyle w:val="RightSidebarHeading"/>
        <w:framePr w:wrap="around" w:vAnchor="margin" w:xAlign="right" w:yAlign="bottom"/>
      </w:pPr>
      <w:r w:rsidRPr="00952B20">
        <w:t>High-Quality Project Management</w:t>
      </w:r>
    </w:p>
    <w:p w14:paraId="5997D513" w14:textId="77777777" w:rsidR="00F45585" w:rsidRPr="00952B20" w:rsidRDefault="00F45585" w:rsidP="00C6361B">
      <w:pPr>
        <w:pStyle w:val="RightSidebarBullet"/>
        <w:framePr w:wrap="around" w:vAnchor="margin" w:xAlign="right" w:yAlign="bottom"/>
      </w:pPr>
      <w:r w:rsidRPr="00952B20">
        <w:t>Proactive management of the work effort, tasks, deliverables, and cross-contractor responsibilities</w:t>
      </w:r>
      <w:r>
        <w:t>,</w:t>
      </w:r>
      <w:r w:rsidRPr="00952B20">
        <w:t xml:space="preserve"> including coordination with the Delivery Integration Team</w:t>
      </w:r>
    </w:p>
    <w:p w14:paraId="30D621AE" w14:textId="77777777" w:rsidR="00F45585" w:rsidRPr="00952B20" w:rsidRDefault="00F45585" w:rsidP="00FA51BD">
      <w:pPr>
        <w:pStyle w:val="RightSidebarBullet"/>
        <w:framePr w:wrap="around" w:vAnchor="margin" w:xAlign="right" w:yAlign="bottom"/>
        <w:numPr>
          <w:ilvl w:val="0"/>
          <w:numId w:val="43"/>
        </w:numPr>
        <w:tabs>
          <w:tab w:val="clear" w:pos="0"/>
        </w:tabs>
        <w:ind w:left="216" w:hanging="216"/>
      </w:pPr>
      <w:r w:rsidRPr="00952B20">
        <w:t>Proven, repeatable processes that comply with PMBOK</w:t>
      </w:r>
    </w:p>
    <w:p w14:paraId="21D6D9A5" w14:textId="77777777" w:rsidR="00F45585" w:rsidRPr="00952B20" w:rsidRDefault="00F45585" w:rsidP="00C6361B">
      <w:pPr>
        <w:pStyle w:val="RightSidebarBullet"/>
        <w:framePr w:wrap="around" w:vAnchor="margin" w:xAlign="right" w:yAlign="bottom"/>
      </w:pPr>
      <w:r w:rsidRPr="00952B20">
        <w:t>Flexible approach that marries standard processes and procedures with CalSAWS PMO practices</w:t>
      </w:r>
    </w:p>
    <w:p w14:paraId="7B5C3818" w14:textId="47327E47" w:rsidR="00757D2C" w:rsidRDefault="00757D2C" w:rsidP="00757D2C">
      <w:pPr>
        <w:pStyle w:val="BodyText"/>
      </w:pPr>
      <w:r>
        <w:t xml:space="preserve">As it relates to deliverable creation, our team </w:t>
      </w:r>
      <w:r w:rsidRPr="009D2D50">
        <w:t xml:space="preserve">commits </w:t>
      </w:r>
      <w:r>
        <w:t>to preparing and</w:t>
      </w:r>
      <w:r w:rsidRPr="009D2D50" w:rsidDel="00CF6890">
        <w:t xml:space="preserve"> </w:t>
      </w:r>
      <w:r w:rsidRPr="009D2D50">
        <w:t xml:space="preserve">delivering high-quality deliverables that meet the requirements and the agreed-upon </w:t>
      </w:r>
      <w:r>
        <w:t>Deliverable Expectation Document (</w:t>
      </w:r>
      <w:r w:rsidRPr="009D2D50">
        <w:t>DED</w:t>
      </w:r>
      <w:r>
        <w:t xml:space="preserve">) </w:t>
      </w:r>
      <w:r w:rsidRPr="009D2D50">
        <w:t xml:space="preserve">specifications. </w:t>
      </w:r>
      <w:r>
        <w:t xml:space="preserve">Our </w:t>
      </w:r>
      <w:r w:rsidRPr="009D2D50">
        <w:t>deliverable</w:t>
      </w:r>
      <w:r>
        <w:t xml:space="preserve"> creation process begins by working with the Consortium to understand the expectations, </w:t>
      </w:r>
      <w:r w:rsidDel="00890F8B">
        <w:t>requirements</w:t>
      </w:r>
      <w:r>
        <w:t>, and intended usage of the deliverable</w:t>
      </w:r>
      <w:bookmarkStart w:id="13" w:name="_Hlk50400750"/>
      <w:r>
        <w:t>. We work with the Consortium during the deliverable creation process to discuss intended content and the overall strategy or concept being documented. Cross-contractor dependencies, if any, are also identified and communicated to other involved contractor(s) and</w:t>
      </w:r>
      <w:r w:rsidR="00162F10">
        <w:t xml:space="preserve"> to the Delivery Integration Team</w:t>
      </w:r>
      <w:r>
        <w:t xml:space="preserve">. </w:t>
      </w:r>
    </w:p>
    <w:bookmarkEnd w:id="13"/>
    <w:p w14:paraId="76BFA69C" w14:textId="1A970635" w:rsidR="00757D2C" w:rsidRPr="00D25FF4" w:rsidRDefault="00757D2C" w:rsidP="00757D2C">
      <w:pPr>
        <w:pStyle w:val="BodyText"/>
      </w:pPr>
      <w:r w:rsidRPr="00D25FF4">
        <w:t xml:space="preserve">Collectively, we use our </w:t>
      </w:r>
      <w:r>
        <w:t>p</w:t>
      </w:r>
      <w:r w:rsidRPr="00D25FF4">
        <w:t xml:space="preserve">roject </w:t>
      </w:r>
      <w:r>
        <w:t>m</w:t>
      </w:r>
      <w:r w:rsidRPr="00D25FF4">
        <w:t xml:space="preserve">anagement </w:t>
      </w:r>
      <w:r>
        <w:t>m</w:t>
      </w:r>
      <w:r w:rsidRPr="00D25FF4">
        <w:t xml:space="preserve">ethodology to establish clear accountability and shared responsibility to drive project success. We use </w:t>
      </w:r>
      <w:r w:rsidR="00D80100">
        <w:t xml:space="preserve">CalSAWS </w:t>
      </w:r>
      <w:r w:rsidRPr="00D25FF4">
        <w:t>processes</w:t>
      </w:r>
      <w:r>
        <w:t>,</w:t>
      </w:r>
      <w:r w:rsidRPr="00D25FF4">
        <w:t xml:space="preserve"> such as risk and issue management, </w:t>
      </w:r>
      <w:r w:rsidR="00D80100">
        <w:t xml:space="preserve">and </w:t>
      </w:r>
      <w:r w:rsidRPr="00D25FF4">
        <w:t>schedule management</w:t>
      </w:r>
      <w:r w:rsidR="00D80100">
        <w:t>. We also use standard process</w:t>
      </w:r>
      <w:r w:rsidR="004B5AD0">
        <w:t>es</w:t>
      </w:r>
      <w:r w:rsidR="00D80100">
        <w:t xml:space="preserve"> for</w:t>
      </w:r>
      <w:r w:rsidRPr="00D25FF4">
        <w:t xml:space="preserve"> resource management, scope </w:t>
      </w:r>
      <w:r w:rsidRPr="00D25FF4">
        <w:lastRenderedPageBreak/>
        <w:t>management, quality management, integration management, and communication management</w:t>
      </w:r>
      <w:r>
        <w:t>,</w:t>
      </w:r>
      <w:r w:rsidRPr="00D25FF4">
        <w:t xml:space="preserve"> to monitor and manage the </w:t>
      </w:r>
      <w:r w:rsidR="00D80100">
        <w:t>BenefitsCal</w:t>
      </w:r>
      <w:r w:rsidRPr="00D25FF4">
        <w:t xml:space="preserve"> projects, reduce project risks, and deliver the </w:t>
      </w:r>
      <w:r>
        <w:t xml:space="preserve">benefits listed </w:t>
      </w:r>
      <w:r w:rsidR="00D80100">
        <w:t>in the table below</w:t>
      </w:r>
      <w:r w:rsidRPr="00D25FF4">
        <w:t xml:space="preserve"> to the Consortium and Counties</w:t>
      </w:r>
      <w:r>
        <w:t>.</w:t>
      </w:r>
    </w:p>
    <w:p w14:paraId="3167A057" w14:textId="77777777" w:rsidR="00757D2C" w:rsidRPr="00002139" w:rsidRDefault="00757D2C" w:rsidP="00002139">
      <w:pPr>
        <w:pStyle w:val="TableCaptionAuto"/>
      </w:pPr>
      <w:bookmarkStart w:id="14" w:name="_Ref123288187"/>
      <w:bookmarkStart w:id="15" w:name="_Toc123585851"/>
      <w:bookmarkStart w:id="16" w:name="_Toc123721758"/>
      <w:bookmarkStart w:id="17" w:name="_Toc172704188"/>
      <w:bookmarkStart w:id="18" w:name="_Toc173187550"/>
      <w:r w:rsidRPr="00002139">
        <w:t>Project Management Benefits</w:t>
      </w:r>
      <w:bookmarkEnd w:id="14"/>
      <w:bookmarkEnd w:id="15"/>
      <w:bookmarkEnd w:id="16"/>
      <w:bookmarkEnd w:id="17"/>
      <w:bookmarkEnd w:id="18"/>
    </w:p>
    <w:tbl>
      <w:tblPr>
        <w:tblW w:w="4942" w:type="pct"/>
        <w:tblInd w:w="18" w:type="dxa"/>
        <w:tblBorders>
          <w:bottom w:val="single" w:sz="4" w:space="0" w:color="2B3A44"/>
          <w:insideH w:val="single" w:sz="4" w:space="0" w:color="2B3A44"/>
        </w:tblBorders>
        <w:tblCellMar>
          <w:top w:w="57" w:type="dxa"/>
        </w:tblCellMar>
        <w:tblLook w:val="0620" w:firstRow="1" w:lastRow="0" w:firstColumn="0" w:lastColumn="0" w:noHBand="1" w:noVBand="1"/>
      </w:tblPr>
      <w:tblGrid>
        <w:gridCol w:w="1632"/>
        <w:gridCol w:w="7619"/>
      </w:tblGrid>
      <w:tr w:rsidR="00757D2C" w:rsidRPr="00F04D5A" w14:paraId="5EE44887" w14:textId="77777777">
        <w:trPr>
          <w:tblHeader/>
        </w:trPr>
        <w:tc>
          <w:tcPr>
            <w:tcW w:w="0" w:type="auto"/>
            <w:tcBorders>
              <w:top w:val="single" w:sz="8" w:space="0" w:color="7030A0"/>
              <w:bottom w:val="single" w:sz="8" w:space="0" w:color="7030A0"/>
            </w:tcBorders>
            <w:shd w:val="clear" w:color="auto" w:fill="EFE5F7"/>
            <w:hideMark/>
          </w:tcPr>
          <w:p w14:paraId="6F7EF235" w14:textId="77777777" w:rsidR="00757D2C" w:rsidRPr="00F04D5A" w:rsidRDefault="00757D2C">
            <w:pPr>
              <w:pStyle w:val="TableHeading10"/>
            </w:pPr>
            <w:r>
              <w:t>Area</w:t>
            </w:r>
          </w:p>
        </w:tc>
        <w:tc>
          <w:tcPr>
            <w:tcW w:w="4118" w:type="pct"/>
            <w:tcBorders>
              <w:top w:val="single" w:sz="8" w:space="0" w:color="7030A0"/>
              <w:bottom w:val="single" w:sz="8" w:space="0" w:color="7030A0"/>
            </w:tcBorders>
            <w:shd w:val="clear" w:color="auto" w:fill="EFE5F7"/>
            <w:hideMark/>
          </w:tcPr>
          <w:p w14:paraId="741EDBD4" w14:textId="77777777" w:rsidR="00757D2C" w:rsidRPr="00F04D5A" w:rsidRDefault="00757D2C">
            <w:pPr>
              <w:pStyle w:val="TableHeading10"/>
            </w:pPr>
            <w:r>
              <w:t>Benefit</w:t>
            </w:r>
          </w:p>
        </w:tc>
      </w:tr>
      <w:tr w:rsidR="00757D2C" w:rsidRPr="009D2D50" w14:paraId="085C2B1B" w14:textId="77777777">
        <w:tc>
          <w:tcPr>
            <w:tcW w:w="0" w:type="auto"/>
            <w:tcBorders>
              <w:top w:val="single" w:sz="8" w:space="0" w:color="7030A0"/>
            </w:tcBorders>
            <w:shd w:val="clear" w:color="auto" w:fill="auto"/>
            <w:hideMark/>
          </w:tcPr>
          <w:p w14:paraId="76BF4E43" w14:textId="77777777" w:rsidR="00757D2C" w:rsidRPr="009D2D50" w:rsidRDefault="00757D2C">
            <w:pPr>
              <w:pStyle w:val="TableText10Double"/>
              <w:rPr>
                <w:b/>
              </w:rPr>
            </w:pPr>
            <w:r>
              <w:rPr>
                <w:b/>
              </w:rPr>
              <w:t>Accountability</w:t>
            </w:r>
          </w:p>
        </w:tc>
        <w:tc>
          <w:tcPr>
            <w:tcW w:w="4118" w:type="pct"/>
            <w:tcBorders>
              <w:top w:val="single" w:sz="8" w:space="0" w:color="7030A0"/>
            </w:tcBorders>
            <w:shd w:val="clear" w:color="auto" w:fill="auto"/>
            <w:hideMark/>
          </w:tcPr>
          <w:p w14:paraId="242A5DC6" w14:textId="77777777" w:rsidR="00757D2C" w:rsidRPr="00592C81" w:rsidRDefault="00757D2C">
            <w:pPr>
              <w:pStyle w:val="TableText10Bullet1Double"/>
            </w:pPr>
            <w:r w:rsidRPr="00592C81">
              <w:t>Common understanding of project roles and responsibilities across the organization</w:t>
            </w:r>
          </w:p>
        </w:tc>
      </w:tr>
      <w:tr w:rsidR="00757D2C" w:rsidRPr="009D2D50" w14:paraId="23FE8CEF" w14:textId="77777777">
        <w:tc>
          <w:tcPr>
            <w:tcW w:w="0" w:type="auto"/>
            <w:shd w:val="clear" w:color="auto" w:fill="auto"/>
            <w:hideMark/>
          </w:tcPr>
          <w:p w14:paraId="52EE6ACC" w14:textId="77777777" w:rsidR="00757D2C" w:rsidRPr="009D2D50" w:rsidRDefault="00757D2C">
            <w:pPr>
              <w:pStyle w:val="TableText10Double"/>
              <w:rPr>
                <w:b/>
              </w:rPr>
            </w:pPr>
            <w:r>
              <w:rPr>
                <w:b/>
              </w:rPr>
              <w:t>Requirements</w:t>
            </w:r>
          </w:p>
        </w:tc>
        <w:tc>
          <w:tcPr>
            <w:tcW w:w="4118" w:type="pct"/>
            <w:shd w:val="clear" w:color="auto" w:fill="auto"/>
            <w:hideMark/>
          </w:tcPr>
          <w:p w14:paraId="1F83F299" w14:textId="77777777" w:rsidR="00757D2C" w:rsidRPr="00592C81" w:rsidRDefault="00757D2C">
            <w:pPr>
              <w:pStyle w:val="TableText10Bullet1Double"/>
            </w:pPr>
            <w:r w:rsidRPr="00592C81">
              <w:t xml:space="preserve">Traceability from requirements to solution components to testing results </w:t>
            </w:r>
          </w:p>
        </w:tc>
      </w:tr>
      <w:tr w:rsidR="00757D2C" w:rsidRPr="009D2D50" w14:paraId="3F1530FA" w14:textId="77777777">
        <w:tc>
          <w:tcPr>
            <w:tcW w:w="0" w:type="auto"/>
            <w:shd w:val="clear" w:color="auto" w:fill="auto"/>
          </w:tcPr>
          <w:p w14:paraId="77716CE3" w14:textId="77777777" w:rsidR="00757D2C" w:rsidRDefault="00757D2C">
            <w:pPr>
              <w:pStyle w:val="TableText10Double"/>
              <w:rPr>
                <w:b/>
              </w:rPr>
            </w:pPr>
            <w:r>
              <w:rPr>
                <w:b/>
              </w:rPr>
              <w:t>Processes</w:t>
            </w:r>
          </w:p>
        </w:tc>
        <w:tc>
          <w:tcPr>
            <w:tcW w:w="4118" w:type="pct"/>
            <w:shd w:val="clear" w:color="auto" w:fill="auto"/>
          </w:tcPr>
          <w:p w14:paraId="556B25EB" w14:textId="77777777" w:rsidR="00757D2C" w:rsidRPr="00592C81" w:rsidRDefault="00757D2C">
            <w:pPr>
              <w:pStyle w:val="TableText10Bullet1Double"/>
            </w:pPr>
            <w:r w:rsidRPr="00592C81">
              <w:t xml:space="preserve">Consistent use of repeatable processes and documentation </w:t>
            </w:r>
          </w:p>
          <w:p w14:paraId="0A9A801E" w14:textId="77777777" w:rsidR="00757D2C" w:rsidRPr="00592C81" w:rsidRDefault="00757D2C">
            <w:pPr>
              <w:pStyle w:val="TableText10Bullet1Double"/>
            </w:pPr>
            <w:r w:rsidRPr="00592C81">
              <w:t>Timely, comprehensive project management communication and reporting</w:t>
            </w:r>
          </w:p>
          <w:p w14:paraId="6431A6E9" w14:textId="77777777" w:rsidR="00757D2C" w:rsidRPr="00592C81" w:rsidRDefault="00757D2C">
            <w:pPr>
              <w:pStyle w:val="TableText10Bullet1Double"/>
            </w:pPr>
            <w:r w:rsidRPr="00592C81">
              <w:t>Identification of cross-contractor dependencies, coordination with other involved contractors, and ability to effectively work with the Delivery Integration Team to escalate and resolve concerns in a timely manner</w:t>
            </w:r>
          </w:p>
          <w:p w14:paraId="5FDD1255" w14:textId="77777777" w:rsidR="00757D2C" w:rsidRPr="00592C81" w:rsidRDefault="00757D2C">
            <w:pPr>
              <w:pStyle w:val="TableText10Bullet1Double"/>
            </w:pPr>
            <w:r w:rsidRPr="00592C81">
              <w:t xml:space="preserve">Proactive planning, execution, and monitoring of the entire portfolio of project schedules </w:t>
            </w:r>
          </w:p>
        </w:tc>
      </w:tr>
      <w:tr w:rsidR="00757D2C" w:rsidRPr="009D2D50" w14:paraId="61F0E591" w14:textId="77777777">
        <w:tc>
          <w:tcPr>
            <w:tcW w:w="0" w:type="auto"/>
            <w:shd w:val="clear" w:color="auto" w:fill="auto"/>
          </w:tcPr>
          <w:p w14:paraId="2B04C874" w14:textId="77777777" w:rsidR="00757D2C" w:rsidRDefault="00757D2C">
            <w:pPr>
              <w:pStyle w:val="TableText10Double"/>
              <w:rPr>
                <w:b/>
              </w:rPr>
            </w:pPr>
            <w:r>
              <w:rPr>
                <w:b/>
              </w:rPr>
              <w:t>Results</w:t>
            </w:r>
          </w:p>
        </w:tc>
        <w:tc>
          <w:tcPr>
            <w:tcW w:w="4118" w:type="pct"/>
            <w:shd w:val="clear" w:color="auto" w:fill="auto"/>
          </w:tcPr>
          <w:p w14:paraId="718AD79D" w14:textId="77777777" w:rsidR="00757D2C" w:rsidRPr="00592C81" w:rsidRDefault="00757D2C">
            <w:pPr>
              <w:pStyle w:val="TableText10Bullet1Single"/>
            </w:pPr>
            <w:r w:rsidRPr="00592C81">
              <w:t>Verification that critical tasks are monitored and controlled</w:t>
            </w:r>
          </w:p>
          <w:p w14:paraId="767E9B31" w14:textId="77777777" w:rsidR="00757D2C" w:rsidRPr="00592C81" w:rsidRDefault="00757D2C">
            <w:pPr>
              <w:pStyle w:val="TableText10Bullet1Single"/>
            </w:pPr>
            <w:r w:rsidRPr="00592C81">
              <w:t>Ability to react, adapt, and adjust as needed</w:t>
            </w:r>
          </w:p>
          <w:p w14:paraId="72149C10" w14:textId="77777777" w:rsidR="00757D2C" w:rsidRPr="00592C81" w:rsidRDefault="00757D2C">
            <w:pPr>
              <w:pStyle w:val="TableText10Bullet1Single"/>
            </w:pPr>
            <w:r w:rsidRPr="00592C81">
              <w:t xml:space="preserve">Predictable project performance </w:t>
            </w:r>
          </w:p>
          <w:p w14:paraId="1BB3F5FF" w14:textId="77777777" w:rsidR="00757D2C" w:rsidRPr="00592C81" w:rsidRDefault="00757D2C">
            <w:pPr>
              <w:pStyle w:val="TableText10Bullet1Double"/>
            </w:pPr>
            <w:r w:rsidRPr="00592C81">
              <w:t>Application of lessons learned across future efforts</w:t>
            </w:r>
          </w:p>
        </w:tc>
      </w:tr>
    </w:tbl>
    <w:p w14:paraId="71A3D2C6" w14:textId="77777777" w:rsidR="00757D2C" w:rsidRPr="009D2D50" w:rsidRDefault="00757D2C" w:rsidP="00757D2C">
      <w:pPr>
        <w:pStyle w:val="TableText9Single"/>
      </w:pPr>
    </w:p>
    <w:p w14:paraId="34D9F3BC" w14:textId="77777777" w:rsidR="00757D2C" w:rsidRPr="00AC1071" w:rsidRDefault="00757D2C" w:rsidP="00757D2C">
      <w:pPr>
        <w:pStyle w:val="BodyText"/>
        <w:rPr>
          <w:b/>
        </w:rPr>
      </w:pPr>
      <w:r>
        <w:rPr>
          <w:b/>
        </w:rPr>
        <w:t xml:space="preserve">Budget and </w:t>
      </w:r>
      <w:r w:rsidRPr="00CB0E3C">
        <w:rPr>
          <w:b/>
        </w:rPr>
        <w:t xml:space="preserve">Contract </w:t>
      </w:r>
      <w:r>
        <w:rPr>
          <w:b/>
        </w:rPr>
        <w:t>M</w:t>
      </w:r>
      <w:r w:rsidRPr="00CB0E3C">
        <w:rPr>
          <w:b/>
        </w:rPr>
        <w:t>anagement</w:t>
      </w:r>
      <w:r>
        <w:rPr>
          <w:b/>
        </w:rPr>
        <w:t xml:space="preserve"> with a Collaborative Approach. </w:t>
      </w:r>
      <w:r>
        <w:t>Reporting directly to the Gainwell Project Manager, our Gainwell Account Business Office provides budget and contract management. Our Account Business Office Leader coordinates with the CalSAWS PMO to provide annual budget estimates. We also track our change request hours completed and forecasted to assist in tracking against the budget line items tracked by the CalSAWS PMO.</w:t>
      </w:r>
    </w:p>
    <w:p w14:paraId="28684C3D" w14:textId="77777777" w:rsidR="00757D2C" w:rsidRDefault="00757D2C" w:rsidP="00757D2C">
      <w:pPr>
        <w:pStyle w:val="BodyText"/>
      </w:pPr>
      <w:r>
        <w:t xml:space="preserve">The Gainwell Account Business Office is responsible for </w:t>
      </w:r>
      <w:r w:rsidRPr="005013C9">
        <w:t xml:space="preserve">managing the contractual terms and conditions as they relate to </w:t>
      </w:r>
      <w:r>
        <w:t xml:space="preserve">requirements such as </w:t>
      </w:r>
      <w:r w:rsidRPr="005013C9">
        <w:t>deliverable completion</w:t>
      </w:r>
      <w:r>
        <w:t xml:space="preserve"> and approvals</w:t>
      </w:r>
      <w:r w:rsidRPr="005013C9">
        <w:t xml:space="preserve">, project management, warranties and remedies, </w:t>
      </w:r>
      <w:r>
        <w:t>insurance, and invoicing</w:t>
      </w:r>
      <w:r w:rsidRPr="005013C9">
        <w:t xml:space="preserve">. </w:t>
      </w:r>
    </w:p>
    <w:p w14:paraId="44418AF0" w14:textId="2ED5E4B7" w:rsidR="00757D2C" w:rsidRDefault="00757D2C" w:rsidP="00757D2C">
      <w:pPr>
        <w:pStyle w:val="BodyText"/>
      </w:pPr>
      <w:r>
        <w:t>The Gainwell Account Business Office Leader acts as the Consortium’s single point of contact for any information, questions, or concerns related to contract requirements or budget management. Consistent with our collaborative culture, our Account Business Office Leader focuses on mutually beneficial solutions to contract concerns and timely delivery of contract- and budget-related information.</w:t>
      </w:r>
    </w:p>
    <w:p w14:paraId="2D759326" w14:textId="78929B4C" w:rsidR="0043466D" w:rsidRDefault="00FB71B9" w:rsidP="00757D2C">
      <w:pPr>
        <w:pStyle w:val="BodyText"/>
      </w:pPr>
      <w:r w:rsidRPr="001D189B">
        <w:rPr>
          <w:b/>
          <w:bCs/>
        </w:rPr>
        <w:t xml:space="preserve">Contract Management and </w:t>
      </w:r>
      <w:r w:rsidR="001D189B" w:rsidRPr="001D189B">
        <w:rPr>
          <w:b/>
          <w:bCs/>
        </w:rPr>
        <w:t>Statement</w:t>
      </w:r>
      <w:r w:rsidRPr="001D189B">
        <w:rPr>
          <w:b/>
          <w:bCs/>
        </w:rPr>
        <w:t xml:space="preserve"> of Work Training.</w:t>
      </w:r>
      <w:r>
        <w:t xml:space="preserve"> </w:t>
      </w:r>
      <w:r w:rsidR="001D189B">
        <w:t xml:space="preserve">Our Gainwell Project Manager familiarizes members of our </w:t>
      </w:r>
      <w:r w:rsidR="002014B5">
        <w:t xml:space="preserve">Gainwell BenefitsCal project </w:t>
      </w:r>
      <w:r w:rsidR="009F6CC5">
        <w:t>leadership team</w:t>
      </w:r>
      <w:r w:rsidR="001D189B">
        <w:t xml:space="preserve"> with our contract requirements and our </w:t>
      </w:r>
      <w:r w:rsidR="002014B5">
        <w:t>s</w:t>
      </w:r>
      <w:r w:rsidR="001D189B">
        <w:t xml:space="preserve">tatement of </w:t>
      </w:r>
      <w:r w:rsidR="002014B5">
        <w:t>w</w:t>
      </w:r>
      <w:r w:rsidR="001D189B">
        <w:t>ork</w:t>
      </w:r>
      <w:r w:rsidR="002014B5">
        <w:t xml:space="preserve"> (SOW)</w:t>
      </w:r>
      <w:r w:rsidR="001D189B">
        <w:t xml:space="preserve">. One of the earliest activities we </w:t>
      </w:r>
      <w:r w:rsidR="002014B5">
        <w:t>complete</w:t>
      </w:r>
      <w:r w:rsidR="001D189B">
        <w:t xml:space="preserve"> wi</w:t>
      </w:r>
      <w:r w:rsidR="009F6CC5">
        <w:t>th our leadership tea</w:t>
      </w:r>
      <w:r w:rsidR="00B4387F">
        <w:t xml:space="preserve">m is to conduct a facilitated walkthrough of our contract terms and conditions, the </w:t>
      </w:r>
      <w:r w:rsidR="002014B5">
        <w:t>SOW</w:t>
      </w:r>
      <w:r w:rsidR="00DB02D7">
        <w:t>,</w:t>
      </w:r>
      <w:r w:rsidR="00B4387F">
        <w:t xml:space="preserve"> and the attached requirements. </w:t>
      </w:r>
      <w:r w:rsidR="009B2BCB">
        <w:t xml:space="preserve">This open </w:t>
      </w:r>
      <w:r w:rsidR="009B2BCB">
        <w:lastRenderedPageBreak/>
        <w:t xml:space="preserve">discussion results in a listing of terms and conditions that create work </w:t>
      </w:r>
      <w:r w:rsidR="00FA41D7">
        <w:t xml:space="preserve">activities in addition to the work activities in the </w:t>
      </w:r>
      <w:r w:rsidR="00E100C6">
        <w:t>SOW</w:t>
      </w:r>
      <w:r w:rsidR="00FA41D7">
        <w:t xml:space="preserve"> and requirements.</w:t>
      </w:r>
      <w:r w:rsidR="0043466D">
        <w:t xml:space="preserve"> </w:t>
      </w:r>
      <w:r w:rsidR="00E100C6">
        <w:t>The results of this effort feed into our work breakdown structure and tasks and activities for our Work Plan.</w:t>
      </w:r>
    </w:p>
    <w:p w14:paraId="795F6634" w14:textId="2B5CA1BB" w:rsidR="00FB71B9" w:rsidRDefault="0043466D" w:rsidP="00757D2C">
      <w:pPr>
        <w:pStyle w:val="BodyText"/>
      </w:pPr>
      <w:r>
        <w:t xml:space="preserve">The </w:t>
      </w:r>
      <w:r w:rsidR="00E100C6">
        <w:t>SOW</w:t>
      </w:r>
      <w:r>
        <w:t xml:space="preserve"> walkthrough </w:t>
      </w:r>
      <w:r w:rsidR="0096792D">
        <w:t>familiarizes</w:t>
      </w:r>
      <w:r>
        <w:t xml:space="preserve"> the leadership team with the full scope of work</w:t>
      </w:r>
      <w:r w:rsidR="00BD1049">
        <w:t>,</w:t>
      </w:r>
      <w:r>
        <w:t xml:space="preserve"> regardless of whether the individual leader is </w:t>
      </w:r>
      <w:r w:rsidR="0096792D">
        <w:t>involved in the</w:t>
      </w:r>
      <w:r w:rsidR="00E100C6">
        <w:t xml:space="preserve"> specific</w:t>
      </w:r>
      <w:r w:rsidR="0096792D">
        <w:t xml:space="preserve"> area or not. </w:t>
      </w:r>
      <w:r w:rsidR="000C59AC">
        <w:t>This results in a more holistic approach amongst the Gainwell leadership team, helping to break down delivery siloes.</w:t>
      </w:r>
    </w:p>
    <w:p w14:paraId="30525608" w14:textId="31007A95" w:rsidR="00BB1C4D" w:rsidRDefault="00BB1C4D" w:rsidP="00757D2C">
      <w:pPr>
        <w:pStyle w:val="BodyText"/>
      </w:pPr>
      <w:r>
        <w:rPr>
          <w:b/>
          <w:bCs/>
        </w:rPr>
        <w:t>Requirements Traceability Matrix</w:t>
      </w:r>
      <w:r w:rsidRPr="001D189B">
        <w:rPr>
          <w:b/>
          <w:bCs/>
        </w:rPr>
        <w:t>.</w:t>
      </w:r>
      <w:r>
        <w:t xml:space="preserve"> As part of the contract management and </w:t>
      </w:r>
      <w:r w:rsidR="00E100C6">
        <w:t>SOW</w:t>
      </w:r>
      <w:r>
        <w:t xml:space="preserve"> training, </w:t>
      </w:r>
      <w:r w:rsidR="008A45CE">
        <w:t xml:space="preserve">the requirements attachment to the </w:t>
      </w:r>
      <w:r w:rsidR="00E100C6">
        <w:t>BenefitsCal</w:t>
      </w:r>
      <w:r w:rsidR="00936C47">
        <w:t xml:space="preserve"> </w:t>
      </w:r>
      <w:r w:rsidR="008A45CE">
        <w:t xml:space="preserve">contract is also reviewed. A copy of the requirements attachment is modified to create a Requirements Traceability Matrix. </w:t>
      </w:r>
      <w:r w:rsidR="007547A9">
        <w:t xml:space="preserve">This matrix is used to facilitate a series of meetings with the Consortium to verify our understanding of </w:t>
      </w:r>
      <w:r w:rsidR="00E100C6">
        <w:t>each</w:t>
      </w:r>
      <w:r w:rsidR="007547A9">
        <w:t xml:space="preserve"> requirement</w:t>
      </w:r>
      <w:r w:rsidR="00E100C6">
        <w:t>.</w:t>
      </w:r>
      <w:r w:rsidR="00CD3D86">
        <w:t xml:space="preserve"> </w:t>
      </w:r>
      <w:r w:rsidR="00E100C6">
        <w:t>We also</w:t>
      </w:r>
      <w:r w:rsidR="00CD3D86">
        <w:t xml:space="preserve"> document clarifications or discussions regarding </w:t>
      </w:r>
      <w:r w:rsidR="00A971AF">
        <w:t>supporting evidence that will be needed to consider the requirement complete. The following figure shows the additional columns added to the requirements attachment.</w:t>
      </w:r>
    </w:p>
    <w:p w14:paraId="4915878A" w14:textId="77777777" w:rsidR="00980A57" w:rsidRDefault="00980A57" w:rsidP="004339C5">
      <w:pPr>
        <w:pStyle w:val="FigureCaptionAuto"/>
      </w:pPr>
      <w:bookmarkStart w:id="19" w:name="_Toc173187509"/>
      <w:r>
        <w:t>Requirements Traceability Matrix</w:t>
      </w:r>
      <w:bookmarkEnd w:id="19"/>
    </w:p>
    <w:p w14:paraId="2CFE8114" w14:textId="38C00C76" w:rsidR="00025FAA" w:rsidRDefault="00267937" w:rsidP="00757D2C">
      <w:pPr>
        <w:pStyle w:val="BodyText"/>
      </w:pPr>
      <w:r w:rsidRPr="00267937">
        <w:rPr>
          <w:noProof/>
        </w:rPr>
        <w:drawing>
          <wp:inline distT="0" distB="0" distL="0" distR="0" wp14:anchorId="2F8940FD" wp14:editId="5E38E79F">
            <wp:extent cx="6223918" cy="283933"/>
            <wp:effectExtent l="0" t="0" r="5715" b="1905"/>
            <wp:docPr id="10331828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58212" cy="285497"/>
                    </a:xfrm>
                    <a:prstGeom prst="rect">
                      <a:avLst/>
                    </a:prstGeom>
                    <a:noFill/>
                    <a:ln>
                      <a:noFill/>
                    </a:ln>
                  </pic:spPr>
                </pic:pic>
              </a:graphicData>
            </a:graphic>
          </wp:inline>
        </w:drawing>
      </w:r>
    </w:p>
    <w:p w14:paraId="7E2A95A5" w14:textId="46CA9C89" w:rsidR="00501885" w:rsidRDefault="00E100C6" w:rsidP="00757D2C">
      <w:pPr>
        <w:pStyle w:val="BodyText"/>
        <w:rPr>
          <w:bCs/>
        </w:rPr>
      </w:pPr>
      <w:r>
        <w:rPr>
          <w:bCs/>
        </w:rPr>
        <w:t xml:space="preserve">As illustrated, a section documenting the results of the requirements verification meetings </w:t>
      </w:r>
      <w:r w:rsidR="00501885">
        <w:rPr>
          <w:bCs/>
        </w:rPr>
        <w:t>and a section for client approval is added to the requirements listing. During the meetings, Gainwell personnel document requirement clarifications to capture our mutual understanding. The clarifications are not designed to change requirement</w:t>
      </w:r>
      <w:r w:rsidR="007A2CA3">
        <w:rPr>
          <w:bCs/>
        </w:rPr>
        <w:t>s</w:t>
      </w:r>
      <w:r w:rsidR="00501885">
        <w:rPr>
          <w:bCs/>
        </w:rPr>
        <w:t xml:space="preserve">; only to clarify the understanding or elaborate on important information related to the requirement. In the event a requirement change is recommended, the Consortium PMO and our Account Business Leader are engaged to address </w:t>
      </w:r>
      <w:r w:rsidR="00E07841">
        <w:rPr>
          <w:bCs/>
        </w:rPr>
        <w:t>the situation using the correct contract management process</w:t>
      </w:r>
      <w:r w:rsidR="00C1725D">
        <w:rPr>
          <w:bCs/>
        </w:rPr>
        <w:t xml:space="preserve">. </w:t>
      </w:r>
    </w:p>
    <w:p w14:paraId="402E07FF" w14:textId="6D3F1CBD" w:rsidR="00E07841" w:rsidRDefault="00E07841" w:rsidP="00757D2C">
      <w:pPr>
        <w:pStyle w:val="BodyText"/>
        <w:rPr>
          <w:bCs/>
        </w:rPr>
      </w:pPr>
      <w:r>
        <w:rPr>
          <w:bCs/>
        </w:rPr>
        <w:t>The Supporting Evidence area is used to document discussion on what constitutes completion of the requirements and artifacts or other information, if any, that needs to be gathered upon completion.</w:t>
      </w:r>
    </w:p>
    <w:p w14:paraId="5DC3B3F6" w14:textId="3B248B68" w:rsidR="00E07841" w:rsidRDefault="00E07841" w:rsidP="00757D2C">
      <w:pPr>
        <w:pStyle w:val="BodyText"/>
        <w:rPr>
          <w:bCs/>
        </w:rPr>
      </w:pPr>
      <w:r>
        <w:rPr>
          <w:bCs/>
        </w:rPr>
        <w:t>The RTM is a living document and used throughout the transition and into operations until each requirement is deemed to have been met and approved by the Consortium as recommended by QA</w:t>
      </w:r>
      <w:r w:rsidR="00C1725D">
        <w:rPr>
          <w:bCs/>
        </w:rPr>
        <w:t xml:space="preserve">. </w:t>
      </w:r>
      <w:r>
        <w:rPr>
          <w:bCs/>
        </w:rPr>
        <w:t xml:space="preserve">The Completed column in the Requirements Verification area is used </w:t>
      </w:r>
      <w:r w:rsidR="000D4010">
        <w:rPr>
          <w:bCs/>
        </w:rPr>
        <w:t>to indicated that Gainwell staff believe the requirement has been met and are recommending the requirement for Consortium approval.</w:t>
      </w:r>
      <w:r w:rsidR="00AD09F7">
        <w:rPr>
          <w:bCs/>
        </w:rPr>
        <w:t xml:space="preserve"> </w:t>
      </w:r>
      <w:r w:rsidR="00F958C3">
        <w:rPr>
          <w:bCs/>
        </w:rPr>
        <w:t>Consortium staff uses the Client Approval columns</w:t>
      </w:r>
      <w:r w:rsidR="00AD09F7">
        <w:rPr>
          <w:bCs/>
        </w:rPr>
        <w:t xml:space="preserve"> to indicate whether they concur with the Gainwell completion recommendation. </w:t>
      </w:r>
    </w:p>
    <w:p w14:paraId="4C849D1C" w14:textId="79A97CD3" w:rsidR="00936C47" w:rsidRDefault="00936C47" w:rsidP="00757D2C">
      <w:pPr>
        <w:pStyle w:val="BodyText"/>
        <w:rPr>
          <w:bCs/>
        </w:rPr>
      </w:pPr>
      <w:r w:rsidRPr="00936C47">
        <w:rPr>
          <w:bCs/>
        </w:rPr>
        <w:t xml:space="preserve">This </w:t>
      </w:r>
      <w:r w:rsidR="00D37C01">
        <w:rPr>
          <w:bCs/>
        </w:rPr>
        <w:t xml:space="preserve">series of meetings is important </w:t>
      </w:r>
      <w:r w:rsidR="00F055FE">
        <w:rPr>
          <w:bCs/>
        </w:rPr>
        <w:t xml:space="preserve">in managing our scope of work. It sets the foundation for a high-level “meeting of the minds” as to the expectations set by a particular </w:t>
      </w:r>
      <w:r w:rsidR="00F055FE">
        <w:rPr>
          <w:bCs/>
        </w:rPr>
        <w:lastRenderedPageBreak/>
        <w:t>requirement</w:t>
      </w:r>
      <w:r w:rsidR="00AD09F7">
        <w:rPr>
          <w:bCs/>
        </w:rPr>
        <w:t>.</w:t>
      </w:r>
      <w:r w:rsidR="00F055FE">
        <w:rPr>
          <w:bCs/>
        </w:rPr>
        <w:t xml:space="preserve"> </w:t>
      </w:r>
      <w:r w:rsidR="00AD09F7">
        <w:rPr>
          <w:bCs/>
        </w:rPr>
        <w:t>It also</w:t>
      </w:r>
      <w:r w:rsidR="00F055FE">
        <w:rPr>
          <w:bCs/>
        </w:rPr>
        <w:t xml:space="preserve"> provides an opportunity for discussion </w:t>
      </w:r>
      <w:r w:rsidR="0029044E">
        <w:rPr>
          <w:bCs/>
        </w:rPr>
        <w:t>or clarification of requirements that could have multiple interpretations</w:t>
      </w:r>
      <w:r w:rsidR="00D701D7">
        <w:rPr>
          <w:bCs/>
        </w:rPr>
        <w:t xml:space="preserve">. </w:t>
      </w:r>
    </w:p>
    <w:p w14:paraId="4E0A8FAD" w14:textId="41A3E5B1" w:rsidR="00287F25" w:rsidRPr="00936C47" w:rsidRDefault="00287F25" w:rsidP="00757D2C">
      <w:pPr>
        <w:pStyle w:val="BodyText"/>
        <w:rPr>
          <w:bCs/>
        </w:rPr>
      </w:pPr>
      <w:r>
        <w:rPr>
          <w:bCs/>
        </w:rPr>
        <w:t>This process was successfully used at the startup of our CalSAWS Central Print contract</w:t>
      </w:r>
      <w:r w:rsidR="00D701D7">
        <w:rPr>
          <w:bCs/>
        </w:rPr>
        <w:t xml:space="preserve">. </w:t>
      </w:r>
      <w:r w:rsidR="00377584">
        <w:rPr>
          <w:bCs/>
        </w:rPr>
        <w:t>It resulted in requirement clarifications, prevented missed expectations</w:t>
      </w:r>
      <w:r w:rsidR="006272B6">
        <w:rPr>
          <w:bCs/>
        </w:rPr>
        <w:t>,</w:t>
      </w:r>
      <w:r w:rsidR="00A05F4E">
        <w:rPr>
          <w:bCs/>
        </w:rPr>
        <w:t xml:space="preserve"> and pre-defined the supporting evidence that would be needed in advance.</w:t>
      </w:r>
    </w:p>
    <w:p w14:paraId="217BFDAB" w14:textId="7C7496E4" w:rsidR="00757D2C" w:rsidRPr="00B31F84" w:rsidRDefault="00757D2C" w:rsidP="00757D2C">
      <w:pPr>
        <w:pStyle w:val="BodyText"/>
        <w:rPr>
          <w:rStyle w:val="BodyTextChar"/>
        </w:rPr>
      </w:pPr>
      <w:r w:rsidRPr="00B31F84">
        <w:rPr>
          <w:b/>
        </w:rPr>
        <w:t>Strategic Planning with a Business Focus.</w:t>
      </w:r>
      <w:r w:rsidRPr="00B31F84">
        <w:t xml:space="preserve"> </w:t>
      </w:r>
      <w:r w:rsidRPr="00B31F84">
        <w:rPr>
          <w:rStyle w:val="BodyTextChar"/>
        </w:rPr>
        <w:t xml:space="preserve">Our Gainwell Project Manager coordinates with </w:t>
      </w:r>
      <w:r w:rsidRPr="00B31F84">
        <w:t xml:space="preserve">the Consortium Management Team, and other stakeholders as needed to lead an annual strategic planning initiative focused on technology improvements and innovations that will benefit </w:t>
      </w:r>
      <w:r w:rsidR="00FE3641">
        <w:t xml:space="preserve">BenefitsCal users and the </w:t>
      </w:r>
      <w:r w:rsidRPr="00B31F84">
        <w:t>Counties</w:t>
      </w:r>
      <w:r w:rsidRPr="00B31F84">
        <w:rPr>
          <w:rStyle w:val="BodyTextChar"/>
        </w:rPr>
        <w:t>.</w:t>
      </w:r>
      <w:r w:rsidR="00E04517">
        <w:rPr>
          <w:rStyle w:val="BodyTextChar"/>
        </w:rPr>
        <w:t xml:space="preserve"> This activity is important in setting priorities and coordinating the various CalSAWS Contractors </w:t>
      </w:r>
      <w:r w:rsidR="004034F4">
        <w:rPr>
          <w:rStyle w:val="BodyTextChar"/>
        </w:rPr>
        <w:t>toward progress on meeting the organization’s goals and vision.</w:t>
      </w:r>
    </w:p>
    <w:p w14:paraId="2CBF52DA" w14:textId="1FCD9C86" w:rsidR="00757D2C" w:rsidRPr="00B31F84" w:rsidRDefault="00757D2C" w:rsidP="00757D2C">
      <w:pPr>
        <w:pStyle w:val="BodyText"/>
        <w:rPr>
          <w:rStyle w:val="BodyTextChar"/>
        </w:rPr>
      </w:pPr>
      <w:r w:rsidRPr="00B31F84">
        <w:rPr>
          <w:rStyle w:val="BodyTextChar"/>
        </w:rPr>
        <w:t>Strategic planning begins with a shared future vision based on strategic outcomes. We then conduct the following activities jointly with the Consortium and other stakeholders</w:t>
      </w:r>
      <w:r w:rsidR="006B0FC2">
        <w:rPr>
          <w:rStyle w:val="BodyTextChar"/>
        </w:rPr>
        <w:t>:</w:t>
      </w:r>
    </w:p>
    <w:p w14:paraId="42DA44D8" w14:textId="77777777" w:rsidR="00757D2C" w:rsidRPr="00B31F84" w:rsidRDefault="00757D2C" w:rsidP="00194FBF">
      <w:pPr>
        <w:pStyle w:val="CvrLtrBullet1Double"/>
        <w:rPr>
          <w:rStyle w:val="BodyTextChar"/>
          <w:spacing w:val="-1"/>
          <w:szCs w:val="22"/>
        </w:rPr>
      </w:pPr>
      <w:r w:rsidRPr="00B31F84">
        <w:rPr>
          <w:rStyle w:val="BodyTextChar"/>
        </w:rPr>
        <w:t xml:space="preserve">Assess strategic goals and initiatives in relation to our mutual focus on the future. </w:t>
      </w:r>
    </w:p>
    <w:p w14:paraId="4A8FEF88" w14:textId="2DFA7641" w:rsidR="00757D2C" w:rsidRPr="00B31F84" w:rsidRDefault="00757D2C" w:rsidP="00194FBF">
      <w:pPr>
        <w:pStyle w:val="CvrLtrBullet1Double"/>
        <w:rPr>
          <w:rStyle w:val="BodyTextChar"/>
          <w:spacing w:val="-1"/>
          <w:szCs w:val="22"/>
        </w:rPr>
      </w:pPr>
      <w:r w:rsidRPr="00B31F84">
        <w:rPr>
          <w:rStyle w:val="BodyTextChar"/>
        </w:rPr>
        <w:t xml:space="preserve">Review the status and value of the strategic goals in the prior strategic plan and acknowledge the current activities being implemented or planned to achieve these. </w:t>
      </w:r>
    </w:p>
    <w:p w14:paraId="0EE4FED0" w14:textId="77777777" w:rsidR="00757D2C" w:rsidRPr="00B31F84" w:rsidRDefault="00757D2C" w:rsidP="00194FBF">
      <w:pPr>
        <w:pStyle w:val="CvrLtrBullet1Double"/>
        <w:rPr>
          <w:rStyle w:val="BodyTextChar"/>
          <w:spacing w:val="-1"/>
          <w:szCs w:val="22"/>
        </w:rPr>
      </w:pPr>
      <w:r w:rsidRPr="00B31F84">
        <w:rPr>
          <w:rStyle w:val="BodyTextChar"/>
        </w:rPr>
        <w:t xml:space="preserve">Verify if the current strategic goals are still the correct goals and modify as needed. </w:t>
      </w:r>
    </w:p>
    <w:p w14:paraId="02103334" w14:textId="77777777" w:rsidR="00757D2C" w:rsidRPr="00B31F84" w:rsidRDefault="00757D2C" w:rsidP="00194FBF">
      <w:pPr>
        <w:pStyle w:val="CvrLtrBullet1Double"/>
        <w:rPr>
          <w:spacing w:val="-1"/>
        </w:rPr>
      </w:pPr>
      <w:r w:rsidRPr="00B31F84">
        <w:rPr>
          <w:rStyle w:val="BodyTextChar"/>
        </w:rPr>
        <w:t>Begin to explore what else we can do to support the strategic goals and what it will</w:t>
      </w:r>
      <w:r w:rsidRPr="00B31F84">
        <w:rPr>
          <w:spacing w:val="1"/>
        </w:rPr>
        <w:t xml:space="preserve"> </w:t>
      </w:r>
      <w:r w:rsidRPr="00B31F84">
        <w:rPr>
          <w:spacing w:val="-1"/>
        </w:rPr>
        <w:t>additionally</w:t>
      </w:r>
      <w:r w:rsidRPr="00B31F84">
        <w:t xml:space="preserve"> </w:t>
      </w:r>
      <w:r w:rsidRPr="00B31F84">
        <w:rPr>
          <w:spacing w:val="-1"/>
        </w:rPr>
        <w:t>take</w:t>
      </w:r>
      <w:r w:rsidRPr="00B31F84">
        <w:rPr>
          <w:spacing w:val="2"/>
        </w:rPr>
        <w:t xml:space="preserve"> </w:t>
      </w:r>
      <w:r w:rsidRPr="00B31F84">
        <w:rPr>
          <w:spacing w:val="-1"/>
        </w:rPr>
        <w:t>to</w:t>
      </w:r>
      <w:r w:rsidRPr="00B31F84">
        <w:rPr>
          <w:spacing w:val="-3"/>
        </w:rPr>
        <w:t xml:space="preserve"> </w:t>
      </w:r>
      <w:r w:rsidRPr="00B31F84">
        <w:rPr>
          <w:spacing w:val="-2"/>
        </w:rPr>
        <w:t>meet</w:t>
      </w:r>
      <w:r w:rsidRPr="00B31F84">
        <w:t xml:space="preserve"> </w:t>
      </w:r>
      <w:r w:rsidRPr="00B31F84">
        <w:rPr>
          <w:spacing w:val="-1"/>
        </w:rPr>
        <w:t>our</w:t>
      </w:r>
      <w:r w:rsidRPr="00B31F84">
        <w:t xml:space="preserve"> </w:t>
      </w:r>
      <w:r w:rsidRPr="00B31F84">
        <w:rPr>
          <w:spacing w:val="-1"/>
        </w:rPr>
        <w:t xml:space="preserve">shared future vision. </w:t>
      </w:r>
    </w:p>
    <w:p w14:paraId="428909DD" w14:textId="77777777" w:rsidR="00757D2C" w:rsidRPr="00B31F84" w:rsidRDefault="00757D2C" w:rsidP="00757D2C">
      <w:pPr>
        <w:pStyle w:val="Bullet1Double"/>
        <w:rPr>
          <w:spacing w:val="-1"/>
        </w:rPr>
      </w:pPr>
      <w:r w:rsidRPr="00B31F84">
        <w:rPr>
          <w:spacing w:val="-1"/>
        </w:rPr>
        <w:t>The strategic planning effort answers the following question:</w:t>
      </w:r>
    </w:p>
    <w:p w14:paraId="1E4C3111" w14:textId="1ABF4560" w:rsidR="00757D2C" w:rsidRPr="00B31F84" w:rsidRDefault="00757D2C" w:rsidP="00757D2C">
      <w:pPr>
        <w:pStyle w:val="Bullet1DoubleBold"/>
        <w:pBdr>
          <w:top w:val="single" w:sz="12" w:space="1" w:color="02EEAE"/>
          <w:bottom w:val="single" w:sz="12" w:space="1" w:color="02EEAE"/>
        </w:pBdr>
        <w:tabs>
          <w:tab w:val="clear" w:pos="720"/>
        </w:tabs>
        <w:ind w:left="0" w:firstLine="0"/>
      </w:pPr>
      <w:r w:rsidRPr="00B31F84">
        <w:t xml:space="preserve">What multi-year initiatives will deliver our strategic outcomes to transform </w:t>
      </w:r>
      <w:r w:rsidR="00065FB6">
        <w:t>BenefitsCal</w:t>
      </w:r>
      <w:r w:rsidRPr="00B31F84">
        <w:t xml:space="preserve"> to meet our shared business vision?</w:t>
      </w:r>
    </w:p>
    <w:p w14:paraId="6C03121E" w14:textId="19BB0797" w:rsidR="00757D2C" w:rsidRPr="00B31F84" w:rsidRDefault="00757D2C" w:rsidP="00757D2C">
      <w:pPr>
        <w:pStyle w:val="BodyText"/>
      </w:pPr>
      <w:r w:rsidRPr="00B31F84">
        <w:t xml:space="preserve">To facilitate the strategic planning activities, we recommend a strategy session using a visualization technique. For example, we conducted an ENVISION session with various stakeholders including Consortium executives, County directors, and Gainwell executives to conduct strategic planning for CalWIN. The strategic planning session identified a strategic plan with a business focus and identified initiatives that would provide </w:t>
      </w:r>
      <w:r w:rsidR="00EB0EFA">
        <w:t xml:space="preserve">the </w:t>
      </w:r>
      <w:r w:rsidRPr="00B31F84">
        <w:t xml:space="preserve">dividends shown in </w:t>
      </w:r>
      <w:r w:rsidR="004F609C">
        <w:t>the figure below</w:t>
      </w:r>
      <w:r w:rsidRPr="00B31F84">
        <w:t>.</w:t>
      </w:r>
    </w:p>
    <w:p w14:paraId="37AC1828" w14:textId="77777777" w:rsidR="000B30D8" w:rsidRDefault="000B30D8" w:rsidP="004339C5">
      <w:pPr>
        <w:pStyle w:val="FigureCaptionAuto"/>
      </w:pPr>
      <w:bookmarkStart w:id="20" w:name="_Ref122509169"/>
      <w:bookmarkStart w:id="21" w:name="_Toc123585918"/>
      <w:bookmarkStart w:id="22" w:name="_Toc123721802"/>
      <w:bookmarkStart w:id="23" w:name="_Toc172704171"/>
      <w:bookmarkStart w:id="24" w:name="_Toc173187510"/>
      <w:r w:rsidRPr="00B31F84">
        <w:lastRenderedPageBreak/>
        <w:t>Strategic Planning Session Output for CalWIN</w:t>
      </w:r>
      <w:bookmarkEnd w:id="20"/>
      <w:bookmarkEnd w:id="21"/>
      <w:bookmarkEnd w:id="22"/>
      <w:bookmarkEnd w:id="23"/>
      <w:bookmarkEnd w:id="24"/>
    </w:p>
    <w:p w14:paraId="0A3DF918" w14:textId="77777777" w:rsidR="00757D2C" w:rsidRPr="00B31F84" w:rsidRDefault="00757D2C" w:rsidP="00757D2C">
      <w:pPr>
        <w:pStyle w:val="BodyText"/>
        <w:rPr>
          <w:szCs w:val="22"/>
        </w:rPr>
      </w:pPr>
      <w:r w:rsidRPr="00B31F84">
        <w:rPr>
          <w:noProof/>
        </w:rPr>
        <w:drawing>
          <wp:inline distT="0" distB="0" distL="0" distR="0" wp14:anchorId="7DB9BB9C" wp14:editId="595F54BE">
            <wp:extent cx="5943600" cy="1778000"/>
            <wp:effectExtent l="0" t="0" r="0" b="0"/>
            <wp:docPr id="124" name="Picture 124" descr="A yellow and white seal with a couple of crosse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A yellow and white seal with a couple of crossed arrow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778000"/>
                    </a:xfrm>
                    <a:prstGeom prst="rect">
                      <a:avLst/>
                    </a:prstGeom>
                    <a:noFill/>
                    <a:ln>
                      <a:noFill/>
                    </a:ln>
                  </pic:spPr>
                </pic:pic>
              </a:graphicData>
            </a:graphic>
          </wp:inline>
        </w:drawing>
      </w:r>
    </w:p>
    <w:p w14:paraId="0689B18A" w14:textId="251D6390" w:rsidR="00757D2C" w:rsidRPr="00B31F84" w:rsidRDefault="00757D2C" w:rsidP="00757D2C">
      <w:pPr>
        <w:pStyle w:val="BodyText"/>
      </w:pPr>
      <w:r w:rsidRPr="00B31F84">
        <w:t xml:space="preserve">Example dividends of the initiatives are highlighted in </w:t>
      </w:r>
      <w:r w:rsidR="00ED2941">
        <w:t>the table below</w:t>
      </w:r>
      <w:r w:rsidRPr="00B31F84">
        <w:t>.</w:t>
      </w:r>
    </w:p>
    <w:p w14:paraId="6B6CA7DD" w14:textId="77777777" w:rsidR="00757D2C" w:rsidRPr="00B31F84" w:rsidRDefault="00757D2C" w:rsidP="00A20C29">
      <w:pPr>
        <w:pStyle w:val="TableCaptionAuto"/>
      </w:pPr>
      <w:bookmarkStart w:id="25" w:name="_Ref122509206"/>
      <w:bookmarkStart w:id="26" w:name="_Toc123585852"/>
      <w:bookmarkStart w:id="27" w:name="_Toc123721759"/>
      <w:bookmarkStart w:id="28" w:name="_Toc172704189"/>
      <w:bookmarkStart w:id="29" w:name="_Toc173187551"/>
      <w:r w:rsidRPr="00B31F84">
        <w:t>Program Dividends</w:t>
      </w:r>
      <w:bookmarkEnd w:id="25"/>
      <w:bookmarkEnd w:id="26"/>
      <w:bookmarkEnd w:id="27"/>
      <w:bookmarkEnd w:id="28"/>
      <w:bookmarkEnd w:id="29"/>
    </w:p>
    <w:tbl>
      <w:tblPr>
        <w:tblW w:w="5000" w:type="pct"/>
        <w:tblInd w:w="18" w:type="dxa"/>
        <w:tblBorders>
          <w:bottom w:val="single" w:sz="4" w:space="0" w:color="2B3A44"/>
          <w:insideH w:val="single" w:sz="4" w:space="0" w:color="2B3A44"/>
        </w:tblBorders>
        <w:tblCellMar>
          <w:top w:w="57" w:type="dxa"/>
        </w:tblCellMar>
        <w:tblLook w:val="0620" w:firstRow="1" w:lastRow="0" w:firstColumn="0" w:lastColumn="0" w:noHBand="1" w:noVBand="1"/>
      </w:tblPr>
      <w:tblGrid>
        <w:gridCol w:w="1102"/>
        <w:gridCol w:w="8258"/>
      </w:tblGrid>
      <w:tr w:rsidR="00757D2C" w:rsidRPr="00B31F84" w14:paraId="69765265" w14:textId="77777777">
        <w:trPr>
          <w:tblHeader/>
        </w:trPr>
        <w:tc>
          <w:tcPr>
            <w:tcW w:w="0" w:type="auto"/>
            <w:tcBorders>
              <w:top w:val="single" w:sz="8" w:space="0" w:color="7030A0"/>
              <w:bottom w:val="single" w:sz="8" w:space="0" w:color="7030A0"/>
            </w:tcBorders>
            <w:shd w:val="clear" w:color="auto" w:fill="EFE5F7"/>
            <w:hideMark/>
          </w:tcPr>
          <w:p w14:paraId="4270B3FC" w14:textId="77777777" w:rsidR="00757D2C" w:rsidRPr="00B31F84" w:rsidRDefault="00757D2C">
            <w:pPr>
              <w:pStyle w:val="TableHeading10"/>
            </w:pPr>
            <w:r w:rsidRPr="00B31F84">
              <w:t>Area</w:t>
            </w:r>
          </w:p>
        </w:tc>
        <w:tc>
          <w:tcPr>
            <w:tcW w:w="0" w:type="auto"/>
            <w:tcBorders>
              <w:top w:val="single" w:sz="8" w:space="0" w:color="7030A0"/>
              <w:bottom w:val="single" w:sz="8" w:space="0" w:color="7030A0"/>
            </w:tcBorders>
            <w:shd w:val="clear" w:color="auto" w:fill="EFE5F7"/>
            <w:hideMark/>
          </w:tcPr>
          <w:p w14:paraId="78B59732" w14:textId="77777777" w:rsidR="00757D2C" w:rsidRPr="00B31F84" w:rsidRDefault="00757D2C">
            <w:pPr>
              <w:pStyle w:val="TableHeading10"/>
            </w:pPr>
            <w:r w:rsidRPr="00B31F84">
              <w:t>Dividend</w:t>
            </w:r>
          </w:p>
        </w:tc>
      </w:tr>
      <w:tr w:rsidR="00757D2C" w:rsidRPr="00B31F84" w14:paraId="159C1B83" w14:textId="77777777">
        <w:tc>
          <w:tcPr>
            <w:tcW w:w="0" w:type="auto"/>
            <w:tcBorders>
              <w:top w:val="single" w:sz="8" w:space="0" w:color="7030A0"/>
            </w:tcBorders>
            <w:shd w:val="clear" w:color="auto" w:fill="auto"/>
            <w:hideMark/>
          </w:tcPr>
          <w:p w14:paraId="7B43E8FF" w14:textId="77777777" w:rsidR="00757D2C" w:rsidRPr="00B31F84" w:rsidRDefault="00757D2C">
            <w:pPr>
              <w:pStyle w:val="TableText10Double"/>
              <w:rPr>
                <w:b/>
              </w:rPr>
            </w:pPr>
            <w:r w:rsidRPr="00B31F84">
              <w:rPr>
                <w:b/>
              </w:rPr>
              <w:t>Worker Area</w:t>
            </w:r>
          </w:p>
        </w:tc>
        <w:tc>
          <w:tcPr>
            <w:tcW w:w="0" w:type="auto"/>
            <w:tcBorders>
              <w:top w:val="single" w:sz="8" w:space="0" w:color="7030A0"/>
            </w:tcBorders>
            <w:shd w:val="clear" w:color="auto" w:fill="auto"/>
            <w:hideMark/>
          </w:tcPr>
          <w:p w14:paraId="774E6596" w14:textId="77777777" w:rsidR="00757D2C" w:rsidRPr="00B31F84" w:rsidRDefault="00757D2C">
            <w:pPr>
              <w:pStyle w:val="TableText10Double"/>
            </w:pPr>
            <w:r w:rsidRPr="00B31F84">
              <w:t>Time spent in training for compliance and complexity issues will be reduced, making way for growth training and opportunities to develop social work careers.</w:t>
            </w:r>
          </w:p>
        </w:tc>
      </w:tr>
      <w:tr w:rsidR="00757D2C" w:rsidRPr="00B31F84" w14:paraId="45F5E42B" w14:textId="77777777">
        <w:tc>
          <w:tcPr>
            <w:tcW w:w="0" w:type="auto"/>
            <w:shd w:val="clear" w:color="auto" w:fill="auto"/>
            <w:hideMark/>
          </w:tcPr>
          <w:p w14:paraId="20D83959" w14:textId="77777777" w:rsidR="00757D2C" w:rsidRPr="00B31F84" w:rsidRDefault="00757D2C">
            <w:pPr>
              <w:pStyle w:val="TableText10Double"/>
              <w:rPr>
                <w:b/>
              </w:rPr>
            </w:pPr>
            <w:r w:rsidRPr="00B31F84">
              <w:rPr>
                <w:b/>
              </w:rPr>
              <w:t>Client Area</w:t>
            </w:r>
          </w:p>
        </w:tc>
        <w:tc>
          <w:tcPr>
            <w:tcW w:w="0" w:type="auto"/>
            <w:shd w:val="clear" w:color="auto" w:fill="auto"/>
            <w:hideMark/>
          </w:tcPr>
          <w:p w14:paraId="221CCD1F" w14:textId="77777777" w:rsidR="00757D2C" w:rsidRPr="00B31F84" w:rsidRDefault="00757D2C">
            <w:pPr>
              <w:pStyle w:val="TableText10Double"/>
            </w:pPr>
            <w:r w:rsidRPr="00B31F84">
              <w:t>Clients</w:t>
            </w:r>
            <w:r w:rsidRPr="00B31F84">
              <w:rPr>
                <w:spacing w:val="1"/>
              </w:rPr>
              <w:t xml:space="preserve"> </w:t>
            </w:r>
            <w:r w:rsidRPr="00B31F84">
              <w:rPr>
                <w:spacing w:val="-2"/>
              </w:rPr>
              <w:t>will</w:t>
            </w:r>
            <w:r w:rsidRPr="00B31F84">
              <w:rPr>
                <w:spacing w:val="1"/>
              </w:rPr>
              <w:t xml:space="preserve"> </w:t>
            </w:r>
            <w:r w:rsidRPr="00B31F84">
              <w:t>benefit</w:t>
            </w:r>
            <w:r w:rsidRPr="00B31F84">
              <w:rPr>
                <w:spacing w:val="1"/>
              </w:rPr>
              <w:t xml:space="preserve"> </w:t>
            </w:r>
            <w:r w:rsidRPr="00B31F84">
              <w:t>from</w:t>
            </w:r>
            <w:r w:rsidRPr="00B31F84">
              <w:rPr>
                <w:spacing w:val="1"/>
              </w:rPr>
              <w:t xml:space="preserve"> </w:t>
            </w:r>
            <w:r w:rsidRPr="00B31F84">
              <w:t xml:space="preserve">shorter </w:t>
            </w:r>
            <w:r w:rsidRPr="00B31F84">
              <w:rPr>
                <w:spacing w:val="-2"/>
              </w:rPr>
              <w:t>wait</w:t>
            </w:r>
            <w:r w:rsidRPr="00B31F84">
              <w:rPr>
                <w:spacing w:val="1"/>
              </w:rPr>
              <w:t xml:space="preserve"> </w:t>
            </w:r>
            <w:r w:rsidRPr="00B31F84">
              <w:t>times</w:t>
            </w:r>
            <w:r w:rsidRPr="00B31F84">
              <w:rPr>
                <w:spacing w:val="1"/>
              </w:rPr>
              <w:t xml:space="preserve"> </w:t>
            </w:r>
            <w:r w:rsidRPr="00B31F84">
              <w:t>and</w:t>
            </w:r>
            <w:r w:rsidRPr="00B31F84">
              <w:rPr>
                <w:spacing w:val="-2"/>
              </w:rPr>
              <w:t xml:space="preserve"> </w:t>
            </w:r>
            <w:r w:rsidRPr="00B31F84">
              <w:t>reduced</w:t>
            </w:r>
            <w:r w:rsidRPr="00B31F84">
              <w:rPr>
                <w:spacing w:val="-2"/>
              </w:rPr>
              <w:t xml:space="preserve"> churn</w:t>
            </w:r>
            <w:r w:rsidRPr="00B31F84">
              <w:t xml:space="preserve"> rate.</w:t>
            </w:r>
            <w:r w:rsidRPr="00B31F84">
              <w:rPr>
                <w:spacing w:val="-2"/>
              </w:rPr>
              <w:t xml:space="preserve"> </w:t>
            </w:r>
            <w:r w:rsidRPr="00B31F84">
              <w:t xml:space="preserve">They </w:t>
            </w:r>
            <w:r w:rsidRPr="00B31F84">
              <w:rPr>
                <w:spacing w:val="-2"/>
              </w:rPr>
              <w:t xml:space="preserve">will </w:t>
            </w:r>
            <w:r w:rsidRPr="00B31F84">
              <w:t>experience</w:t>
            </w:r>
            <w:r w:rsidRPr="00B31F84">
              <w:rPr>
                <w:spacing w:val="2"/>
              </w:rPr>
              <w:t xml:space="preserve"> </w:t>
            </w:r>
            <w:r w:rsidRPr="00B31F84">
              <w:rPr>
                <w:spacing w:val="-2"/>
              </w:rPr>
              <w:t>the</w:t>
            </w:r>
            <w:r w:rsidRPr="00B31F84">
              <w:rPr>
                <w:spacing w:val="43"/>
              </w:rPr>
              <w:t xml:space="preserve"> </w:t>
            </w:r>
            <w:r w:rsidRPr="00B31F84">
              <w:t>workers</w:t>
            </w:r>
            <w:r w:rsidRPr="00B31F84">
              <w:rPr>
                <w:spacing w:val="2"/>
              </w:rPr>
              <w:t xml:space="preserve"> </w:t>
            </w:r>
            <w:r w:rsidRPr="00B31F84">
              <w:t>and</w:t>
            </w:r>
            <w:r w:rsidRPr="00B31F84">
              <w:rPr>
                <w:spacing w:val="-2"/>
              </w:rPr>
              <w:t xml:space="preserve"> </w:t>
            </w:r>
            <w:r w:rsidRPr="00B31F84">
              <w:t>the system</w:t>
            </w:r>
            <w:r w:rsidRPr="00B31F84">
              <w:rPr>
                <w:spacing w:val="-2"/>
              </w:rPr>
              <w:t xml:space="preserve"> </w:t>
            </w:r>
            <w:r w:rsidRPr="00B31F84">
              <w:t xml:space="preserve">as proactively </w:t>
            </w:r>
            <w:r w:rsidRPr="00B31F84">
              <w:rPr>
                <w:spacing w:val="-2"/>
              </w:rPr>
              <w:t>meeting</w:t>
            </w:r>
            <w:r w:rsidRPr="00B31F84">
              <w:t xml:space="preserve"> their</w:t>
            </w:r>
            <w:r w:rsidRPr="00B31F84">
              <w:rPr>
                <w:spacing w:val="-2"/>
              </w:rPr>
              <w:t xml:space="preserve"> </w:t>
            </w:r>
            <w:r w:rsidRPr="00B31F84">
              <w:t>needs and</w:t>
            </w:r>
            <w:r w:rsidRPr="00B31F84">
              <w:rPr>
                <w:spacing w:val="37"/>
              </w:rPr>
              <w:t xml:space="preserve"> </w:t>
            </w:r>
            <w:r w:rsidRPr="00B31F84">
              <w:t xml:space="preserve">efficiently </w:t>
            </w:r>
            <w:r w:rsidRPr="00B31F84">
              <w:rPr>
                <w:spacing w:val="-2"/>
              </w:rPr>
              <w:t>coordinating</w:t>
            </w:r>
            <w:r w:rsidRPr="00B31F84">
              <w:rPr>
                <w:spacing w:val="1"/>
              </w:rPr>
              <w:t xml:space="preserve"> </w:t>
            </w:r>
            <w:r w:rsidRPr="00B31F84">
              <w:t>their benefits.</w:t>
            </w:r>
          </w:p>
        </w:tc>
      </w:tr>
    </w:tbl>
    <w:p w14:paraId="053F3186" w14:textId="77777777" w:rsidR="00757D2C" w:rsidRPr="00B31F84" w:rsidRDefault="00757D2C" w:rsidP="000869D4">
      <w:pPr>
        <w:pStyle w:val="BodySingle"/>
      </w:pPr>
    </w:p>
    <w:p w14:paraId="645B845F" w14:textId="7C977094" w:rsidR="00757D2C" w:rsidRDefault="00757D2C" w:rsidP="00757D2C">
      <w:pPr>
        <w:pStyle w:val="BodyText"/>
      </w:pPr>
      <w:r w:rsidRPr="00B31F84">
        <w:t xml:space="preserve">After identifying the </w:t>
      </w:r>
      <w:r w:rsidR="00444244" w:rsidRPr="00B31F84">
        <w:t xml:space="preserve">desired </w:t>
      </w:r>
      <w:r w:rsidRPr="00B31F84">
        <w:t xml:space="preserve">dividends, the ENVISION session identified system initiatives that contribute to providing those dividends. Business-focused visualization sessions such as ENVISION can provide unique </w:t>
      </w:r>
      <w:r w:rsidRPr="00B31F84" w:rsidDel="00890F8B">
        <w:t>insights</w:t>
      </w:r>
      <w:r w:rsidRPr="00B31F84">
        <w:t xml:space="preserve"> and identify important initiatives to move the </w:t>
      </w:r>
      <w:r w:rsidR="00B633A8">
        <w:t>BenefitsCal</w:t>
      </w:r>
      <w:r w:rsidRPr="00B31F84">
        <w:t xml:space="preserve"> application forward.</w:t>
      </w:r>
    </w:p>
    <w:p w14:paraId="49FEF6D7" w14:textId="351AE6DB" w:rsidR="00FE3641" w:rsidRPr="008F75E9" w:rsidRDefault="00FE3641" w:rsidP="00757D2C">
      <w:pPr>
        <w:pStyle w:val="BodyText"/>
      </w:pPr>
      <w:r>
        <w:rPr>
          <w:rStyle w:val="BodyTextChar"/>
        </w:rPr>
        <w:t xml:space="preserve">This activity informs our Gainwell Project Manager and our Account General Manager of the strategic direction </w:t>
      </w:r>
      <w:r w:rsidR="005263C1">
        <w:rPr>
          <w:rStyle w:val="BodyTextChar"/>
        </w:rPr>
        <w:t>and vision for the BenefitsCal system. This information enables us to be “rowing the same direction” and informs our Product Team of areas of focus for additional ideation or industry research</w:t>
      </w:r>
      <w:r w:rsidR="00604493">
        <w:rPr>
          <w:rStyle w:val="BodyTextChar"/>
        </w:rPr>
        <w:t xml:space="preserve"> along with identifying topics for discussion with Consortium staff, Counties, other Contractors</w:t>
      </w:r>
      <w:r w:rsidR="00D5308C">
        <w:rPr>
          <w:rStyle w:val="BodyTextChar"/>
        </w:rPr>
        <w:t>,</w:t>
      </w:r>
      <w:r w:rsidR="00604493">
        <w:rPr>
          <w:rStyle w:val="BodyTextChar"/>
        </w:rPr>
        <w:t xml:space="preserve"> and stakeholders</w:t>
      </w:r>
      <w:r w:rsidR="00E96FAF">
        <w:rPr>
          <w:rStyle w:val="BodyTextChar"/>
        </w:rPr>
        <w:t xml:space="preserve"> as applicable</w:t>
      </w:r>
      <w:r w:rsidR="00D701D7">
        <w:rPr>
          <w:rStyle w:val="BodyTextChar"/>
        </w:rPr>
        <w:t xml:space="preserve">. </w:t>
      </w:r>
    </w:p>
    <w:p w14:paraId="25F20E2D" w14:textId="59DB459A" w:rsidR="00757D2C" w:rsidRDefault="00757D2C" w:rsidP="00757D2C">
      <w:pPr>
        <w:pStyle w:val="BodyText"/>
      </w:pPr>
      <w:r w:rsidRPr="00BA719A">
        <w:rPr>
          <w:b/>
        </w:rPr>
        <w:t>Application and Technical Management Using a Unique Organizational Structure.</w:t>
      </w:r>
      <w:r w:rsidRPr="00BA719A">
        <w:rPr>
          <w:b/>
          <w:bCs/>
        </w:rPr>
        <w:t xml:space="preserve"> </w:t>
      </w:r>
      <w:r>
        <w:t>As requested,</w:t>
      </w:r>
      <w:r w:rsidDel="009822EB">
        <w:t xml:space="preserve"> </w:t>
      </w:r>
      <w:r>
        <w:t xml:space="preserve">our key staff includes an Application Manager and a </w:t>
      </w:r>
      <w:r w:rsidR="00CD11FC">
        <w:t>Product</w:t>
      </w:r>
      <w:r>
        <w:t xml:space="preserve"> Manager. However, we exceed the requirement by </w:t>
      </w:r>
      <w:r w:rsidR="00CD11FC">
        <w:t>creating a Product Team</w:t>
      </w:r>
      <w:r>
        <w:t>. By creating</w:t>
      </w:r>
      <w:r w:rsidRPr="00DE09DD">
        <w:t xml:space="preserve"> a </w:t>
      </w:r>
      <w:r w:rsidR="00543A18">
        <w:t>Product Team</w:t>
      </w:r>
      <w:r w:rsidRPr="00DE09DD">
        <w:t xml:space="preserve"> separate from the Application Maintenance Team</w:t>
      </w:r>
      <w:r>
        <w:t xml:space="preserve">, more rapid progress can be achieved on both the maintenance of the current production application and innovation </w:t>
      </w:r>
      <w:r w:rsidR="00CD11FC">
        <w:t xml:space="preserve">and application architecture </w:t>
      </w:r>
      <w:r>
        <w:t>projects. Section 4.</w:t>
      </w:r>
      <w:r w:rsidR="00CD11FC">
        <w:t>3</w:t>
      </w:r>
      <w:r>
        <w:t xml:space="preserve"> provides additional information on the </w:t>
      </w:r>
      <w:r w:rsidR="00543A18">
        <w:t>Product Team</w:t>
      </w:r>
      <w:r>
        <w:t>.</w:t>
      </w:r>
    </w:p>
    <w:p w14:paraId="521689C5" w14:textId="653553BC" w:rsidR="00757D2C" w:rsidRDefault="00757D2C" w:rsidP="00757D2C">
      <w:pPr>
        <w:pStyle w:val="BodyText"/>
        <w:rPr>
          <w:rStyle w:val="BodyTextChar"/>
        </w:rPr>
      </w:pPr>
      <w:r w:rsidRPr="00D366AC">
        <w:rPr>
          <w:b/>
          <w:bCs/>
        </w:rPr>
        <w:t xml:space="preserve">Staff Organization </w:t>
      </w:r>
      <w:r>
        <w:rPr>
          <w:b/>
          <w:bCs/>
        </w:rPr>
        <w:t>That Supports Business Functions</w:t>
      </w:r>
      <w:r w:rsidRPr="00D366AC">
        <w:rPr>
          <w:b/>
          <w:bCs/>
        </w:rPr>
        <w:t>.</w:t>
      </w:r>
      <w:r>
        <w:t xml:space="preserve"> </w:t>
      </w:r>
      <w:r>
        <w:rPr>
          <w:rStyle w:val="BodyTextChar"/>
        </w:rPr>
        <w:t>We are</w:t>
      </w:r>
      <w:r w:rsidRPr="00057968">
        <w:rPr>
          <w:rStyle w:val="BodyTextChar"/>
        </w:rPr>
        <w:t xml:space="preserve"> focused on public health and human services</w:t>
      </w:r>
      <w:r w:rsidR="006E4D5F">
        <w:rPr>
          <w:rStyle w:val="BodyTextChar"/>
        </w:rPr>
        <w:t xml:space="preserve"> with significant impact on the lives of several million beneficiaries as shown on the following figure</w:t>
      </w:r>
      <w:r w:rsidRPr="00057968">
        <w:rPr>
          <w:rStyle w:val="BodyTextChar"/>
        </w:rPr>
        <w:t>.</w:t>
      </w:r>
      <w:r w:rsidR="00D31E70">
        <w:rPr>
          <w:rStyle w:val="BodyTextChar"/>
        </w:rPr>
        <w:t xml:space="preserve"> </w:t>
      </w:r>
      <w:r w:rsidRPr="00057968">
        <w:rPr>
          <w:rStyle w:val="BodyTextChar"/>
        </w:rPr>
        <w:t>It</w:t>
      </w:r>
      <w:r w:rsidR="008006AC">
        <w:rPr>
          <w:rStyle w:val="BodyTextChar"/>
        </w:rPr>
        <w:t xml:space="preserve"> is</w:t>
      </w:r>
      <w:r w:rsidRPr="00057968">
        <w:rPr>
          <w:rStyle w:val="BodyTextChar"/>
        </w:rPr>
        <w:t xml:space="preserve"> an integral part of our culture</w:t>
      </w:r>
      <w:r w:rsidR="00CF6B3B">
        <w:rPr>
          <w:rStyle w:val="BodyTextChar"/>
        </w:rPr>
        <w:t xml:space="preserve"> </w:t>
      </w:r>
      <w:r w:rsidRPr="00057968">
        <w:rPr>
          <w:rStyle w:val="BodyTextChar"/>
        </w:rPr>
        <w:t>and gives us a different</w:t>
      </w:r>
      <w:r w:rsidRPr="00057968" w:rsidDel="00AB6E64">
        <w:rPr>
          <w:rStyle w:val="BodyTextChar"/>
        </w:rPr>
        <w:t xml:space="preserve"> </w:t>
      </w:r>
      <w:r w:rsidRPr="00057968">
        <w:rPr>
          <w:rStyle w:val="BodyTextChar"/>
        </w:rPr>
        <w:t xml:space="preserve">perspective compared to organizations that serve multiple industries. </w:t>
      </w:r>
      <w:r w:rsidR="00755613" w:rsidRPr="00057968">
        <w:rPr>
          <w:rStyle w:val="BodyTextChar"/>
        </w:rPr>
        <w:t>E</w:t>
      </w:r>
      <w:r w:rsidR="00755613">
        <w:rPr>
          <w:rStyle w:val="BodyTextChar"/>
        </w:rPr>
        <w:t>ach</w:t>
      </w:r>
      <w:r w:rsidRPr="00057968">
        <w:rPr>
          <w:rStyle w:val="BodyTextChar"/>
        </w:rPr>
        <w:t xml:space="preserve"> </w:t>
      </w:r>
      <w:r w:rsidRPr="00057968">
        <w:rPr>
          <w:rStyle w:val="BodyTextChar"/>
        </w:rPr>
        <w:lastRenderedPageBreak/>
        <w:t xml:space="preserve">staff member focuses on health and human services regardless of their position in the company. With this ever-present mindset, we apply our </w:t>
      </w:r>
      <w:r>
        <w:rPr>
          <w:rStyle w:val="BodyTextChar"/>
        </w:rPr>
        <w:t>more than</w:t>
      </w:r>
      <w:r w:rsidRPr="00057968">
        <w:rPr>
          <w:rStyle w:val="BodyTextChar"/>
        </w:rPr>
        <w:t xml:space="preserve"> 50 years of experience in providing technology solutions and consulting services to improving service delivery for better health and self-sufficiency outcomes. </w:t>
      </w:r>
    </w:p>
    <w:p w14:paraId="21936D6C" w14:textId="77777777" w:rsidR="0026756D" w:rsidRDefault="0026756D" w:rsidP="004339C5">
      <w:pPr>
        <w:pStyle w:val="FigureCaptionAuto"/>
      </w:pPr>
      <w:bookmarkStart w:id="30" w:name="_Toc173187511"/>
      <w:r>
        <w:t>Gainwell Industry Experience</w:t>
      </w:r>
      <w:bookmarkEnd w:id="30"/>
    </w:p>
    <w:p w14:paraId="5D3426C1" w14:textId="4B29CCE5" w:rsidR="001E0F56" w:rsidRPr="00057968" w:rsidRDefault="008A3423" w:rsidP="003E5761">
      <w:pPr>
        <w:pStyle w:val="BodyText"/>
        <w:rPr>
          <w:rStyle w:val="BodyTextChar"/>
        </w:rPr>
      </w:pPr>
      <w:r>
        <w:rPr>
          <w:noProof/>
        </w:rPr>
        <w:drawing>
          <wp:inline distT="0" distB="0" distL="0" distR="0" wp14:anchorId="3618FFCB" wp14:editId="00AE7B17">
            <wp:extent cx="5925185" cy="1524000"/>
            <wp:effectExtent l="0" t="0" r="0" b="0"/>
            <wp:docPr id="1769014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25185" cy="1524000"/>
                    </a:xfrm>
                    <a:prstGeom prst="rect">
                      <a:avLst/>
                    </a:prstGeom>
                    <a:noFill/>
                  </pic:spPr>
                </pic:pic>
              </a:graphicData>
            </a:graphic>
          </wp:inline>
        </w:drawing>
      </w:r>
    </w:p>
    <w:p w14:paraId="45B037F6" w14:textId="1EA85AC8" w:rsidR="00757D2C" w:rsidRDefault="00757D2C" w:rsidP="00757D2C">
      <w:pPr>
        <w:pStyle w:val="BodyText"/>
      </w:pPr>
      <w:r>
        <w:t>Our staff understand the critical importance of the business mission. With that understanding, decisions we make involving a specific scope of work are laser-focused on achieving business goals. Our technical solutions exist to serve the business mission. For example, technical problem resolutions can often be accomplished in multiple ways. Our staff consider the impact of each resolution on the</w:t>
      </w:r>
      <w:r w:rsidR="00BF1B49">
        <w:t xml:space="preserve"> customer’s experience and</w:t>
      </w:r>
      <w:r>
        <w:t xml:space="preserve"> </w:t>
      </w:r>
      <w:r w:rsidR="00BF1B49">
        <w:t xml:space="preserve">the </w:t>
      </w:r>
      <w:r>
        <w:t xml:space="preserve">Counties’ workload and </w:t>
      </w:r>
      <w:r w:rsidR="00BF1B49">
        <w:t xml:space="preserve">their </w:t>
      </w:r>
      <w:r>
        <w:t>ability to serve clients. The easiest technical solution is not necessarily the best one for the</w:t>
      </w:r>
      <w:r w:rsidR="00BF1B49">
        <w:t xml:space="preserve"> BenefitsCal users and the</w:t>
      </w:r>
      <w:r>
        <w:t xml:space="preserve"> Counties.</w:t>
      </w:r>
    </w:p>
    <w:p w14:paraId="145FB9B4" w14:textId="71F526AC" w:rsidR="00757D2C" w:rsidRDefault="00757D2C" w:rsidP="00757D2C">
      <w:pPr>
        <w:pStyle w:val="BodyText"/>
      </w:pPr>
      <w:r>
        <w:t>Our</w:t>
      </w:r>
      <w:r w:rsidDel="00E702C0">
        <w:t xml:space="preserve"> </w:t>
      </w:r>
      <w:r>
        <w:t xml:space="preserve">singular focus on health and human services and our deep knowledge of CalSAWS processes give us a unique perspective to assess technical options for optimal benefit to </w:t>
      </w:r>
      <w:r w:rsidR="00BF1B49">
        <w:t>BenefitsCal users</w:t>
      </w:r>
      <w:r>
        <w:t>.</w:t>
      </w:r>
    </w:p>
    <w:p w14:paraId="4C1361A1" w14:textId="6783AC6F" w:rsidR="00757D2C" w:rsidRDefault="00757D2C" w:rsidP="00757D2C">
      <w:pPr>
        <w:pStyle w:val="BodyText"/>
      </w:pPr>
      <w:r>
        <w:t xml:space="preserve">Our </w:t>
      </w:r>
      <w:r w:rsidR="00BF1B49">
        <w:t>project managers and our Product Team</w:t>
      </w:r>
      <w:r>
        <w:t xml:space="preserve"> focus on identifying and delivering projects that provide value to the </w:t>
      </w:r>
      <w:r w:rsidR="00BF1B49">
        <w:t xml:space="preserve">BenefitsCal users and the </w:t>
      </w:r>
      <w:r>
        <w:t xml:space="preserve">Counties. </w:t>
      </w:r>
      <w:r w:rsidR="005622B0">
        <w:t>We identify functionality that is attractive to users to increase adoption and active retention of BenefitsCal users</w:t>
      </w:r>
      <w:r w:rsidR="00D701D7">
        <w:t xml:space="preserve">. </w:t>
      </w:r>
      <w:r>
        <w:t xml:space="preserve">As a provider of health and human services systems in </w:t>
      </w:r>
      <w:r w:rsidR="00BF5F34">
        <w:t>50</w:t>
      </w:r>
      <w:r>
        <w:t xml:space="preserve"> states, we are adept at organizing the technical divisions</w:t>
      </w:r>
      <w:r w:rsidDel="00977EA5">
        <w:t xml:space="preserve"> </w:t>
      </w:r>
      <w:r>
        <w:t xml:space="preserve">such as business analysis, development, testing, release management, and security. These technical divisions look beyond the current scope of work to resolve difficulties that </w:t>
      </w:r>
      <w:r w:rsidR="00DF67DE">
        <w:t xml:space="preserve">BenefitsCal users </w:t>
      </w:r>
      <w:r>
        <w:t>experience</w:t>
      </w:r>
      <w:r w:rsidR="00DF67DE">
        <w:t xml:space="preserve"> and identify ways that BenefitsCal can lighten the County workload</w:t>
      </w:r>
      <w:r>
        <w:t>.</w:t>
      </w:r>
    </w:p>
    <w:p w14:paraId="79936E14" w14:textId="2A5D7D94" w:rsidR="002903B0" w:rsidRDefault="00DF67DE" w:rsidP="00757D2C">
      <w:pPr>
        <w:pStyle w:val="BodyText"/>
      </w:pPr>
      <w:r>
        <w:t>We</w:t>
      </w:r>
      <w:r w:rsidR="00757D2C">
        <w:t xml:space="preserve"> work closely with Consortium Regional Managers and the other members of the Consortium Customer Engagement Team to identify and resolve concerns</w:t>
      </w:r>
      <w:r w:rsidR="00D701D7">
        <w:t xml:space="preserve">. </w:t>
      </w:r>
    </w:p>
    <w:p w14:paraId="1E9531B6" w14:textId="2D36670D" w:rsidR="00757D2C" w:rsidRDefault="000465D8" w:rsidP="00757D2C">
      <w:pPr>
        <w:pStyle w:val="BodyText"/>
      </w:pPr>
      <w:r>
        <w:t xml:space="preserve">We are also very experienced in working with advocates and unions to identify and address their concerns. Our CalSAWS Account General Manager has led several projects </w:t>
      </w:r>
      <w:r w:rsidR="00923845">
        <w:t xml:space="preserve">that </w:t>
      </w:r>
      <w:r>
        <w:t xml:space="preserve">involved one or both of these entities having </w:t>
      </w:r>
      <w:r w:rsidR="000A2C0F">
        <w:t>material</w:t>
      </w:r>
      <w:r w:rsidR="00653943">
        <w:t xml:space="preserve"> </w:t>
      </w:r>
      <w:r>
        <w:t>involvement</w:t>
      </w:r>
      <w:r w:rsidR="00D84344">
        <w:t xml:space="preserve"> and/or significant influence. Our Public Communications Lead </w:t>
      </w:r>
      <w:r w:rsidR="002903B0">
        <w:t xml:space="preserve">also has extensive experience with advocates, </w:t>
      </w:r>
      <w:r w:rsidR="004F2235">
        <w:t>unions,</w:t>
      </w:r>
      <w:r w:rsidR="002903B0">
        <w:t xml:space="preserve"> and legislative staff members. She was the e</w:t>
      </w:r>
      <w:r w:rsidR="002903B0" w:rsidRPr="002903B0">
        <w:t xml:space="preserve">xecutive in charge of all communications </w:t>
      </w:r>
      <w:r w:rsidR="002903B0">
        <w:t>to</w:t>
      </w:r>
      <w:r w:rsidR="002903B0" w:rsidRPr="002903B0">
        <w:t xml:space="preserve"> advocates. </w:t>
      </w:r>
      <w:r w:rsidR="002903B0">
        <w:t>She also w</w:t>
      </w:r>
      <w:r w:rsidR="002903B0" w:rsidRPr="002903B0">
        <w:t xml:space="preserve">orked with legislative liaisons on </w:t>
      </w:r>
      <w:r w:rsidR="002903B0" w:rsidRPr="002903B0">
        <w:lastRenderedPageBreak/>
        <w:t xml:space="preserve">responses related </w:t>
      </w:r>
      <w:r w:rsidR="00BA3FD3">
        <w:t>to the Federal portal</w:t>
      </w:r>
      <w:r w:rsidR="002903B0" w:rsidRPr="002903B0">
        <w:t xml:space="preserve"> healthcare.gov operations</w:t>
      </w:r>
      <w:r w:rsidR="002903B0">
        <w:t xml:space="preserve"> and partnered with the marketing team to incorporate user feedback, consumer advocate priorities and policy needs into systems design and priority releases.</w:t>
      </w:r>
      <w:r w:rsidR="003F3464">
        <w:t xml:space="preserve"> </w:t>
      </w:r>
    </w:p>
    <w:p w14:paraId="74801B12" w14:textId="7CE64DB8" w:rsidR="003F3464" w:rsidRDefault="003F3464" w:rsidP="00757D2C">
      <w:pPr>
        <w:pStyle w:val="BodyText"/>
      </w:pPr>
      <w:r>
        <w:t xml:space="preserve">In addition to our </w:t>
      </w:r>
      <w:r w:rsidR="00A34063">
        <w:t xml:space="preserve">health and human services </w:t>
      </w:r>
      <w:r w:rsidR="003B50E0">
        <w:t xml:space="preserve">impact in all 50 states, </w:t>
      </w:r>
      <w:r>
        <w:t xml:space="preserve">Gainwell provides and maintains government health and human services </w:t>
      </w:r>
      <w:r w:rsidRPr="003B50E0">
        <w:rPr>
          <w:b/>
          <w:bCs/>
        </w:rPr>
        <w:t>portals in 27 states and territories</w:t>
      </w:r>
      <w:r w:rsidR="003B50E0">
        <w:rPr>
          <w:b/>
          <w:bCs/>
        </w:rPr>
        <w:t xml:space="preserve">. </w:t>
      </w:r>
      <w:r w:rsidR="003B50E0">
        <w:t>Our staff have experience and insight into the unique challenges and opportunities associated with public facing portals in the health and human services industry.</w:t>
      </w:r>
    </w:p>
    <w:p w14:paraId="42E57517" w14:textId="5A310937" w:rsidR="001A1C98" w:rsidRDefault="00F45585" w:rsidP="00766930">
      <w:pPr>
        <w:pStyle w:val="HeadingManual3"/>
      </w:pPr>
      <w:bookmarkStart w:id="31" w:name="_Toc172704158"/>
      <w:bookmarkStart w:id="32" w:name="_Toc173187477"/>
      <w:r>
        <w:t>4.1.2</w:t>
      </w:r>
      <w:r w:rsidR="00766930">
        <w:tab/>
      </w:r>
      <w:r w:rsidR="001D59CB">
        <w:t>Coordinating with Other CalSAWS Contractors and the CalSAWS Delivery Integration Team</w:t>
      </w:r>
      <w:bookmarkEnd w:id="31"/>
      <w:bookmarkEnd w:id="32"/>
    </w:p>
    <w:p w14:paraId="27AEE8D8" w14:textId="36159DED" w:rsidR="00C11A78" w:rsidRDefault="00C11A78" w:rsidP="00C11A78">
      <w:pPr>
        <w:pStyle w:val="BodyText"/>
      </w:pPr>
      <w:r w:rsidRPr="00F45585">
        <w:t>Section 4.1.1</w:t>
      </w:r>
      <w:r>
        <w:t xml:space="preserve"> described our approach to managing our scope of work, highlighting areas of our approach that contribute to working successfully within a multi-contractor environment. This section further illustrates how that approach supports our coordination with other CalSAWS contractors and the CalSAWS Delivery Integration Team. </w:t>
      </w:r>
    </w:p>
    <w:p w14:paraId="7C2765EE" w14:textId="1FA01141" w:rsidR="00C11A78" w:rsidRDefault="00C11A78" w:rsidP="00C11A78">
      <w:pPr>
        <w:pStyle w:val="BodyText"/>
      </w:pPr>
      <w:r>
        <w:t>Other known contractors</w:t>
      </w:r>
      <w:r w:rsidR="00187AB4">
        <w:t>, besides Gainwell,</w:t>
      </w:r>
      <w:r>
        <w:t xml:space="preserve"> that will continue to support Consortium maintenance and operations on the CalSAWS project include:</w:t>
      </w:r>
    </w:p>
    <w:p w14:paraId="0E7E55E6" w14:textId="23334C58" w:rsidR="00C11A78" w:rsidRPr="00A7028F" w:rsidRDefault="00C11A78" w:rsidP="00194FBF">
      <w:pPr>
        <w:pStyle w:val="CvrLtrBullet1Double"/>
      </w:pPr>
      <w:r w:rsidRPr="00A7028F">
        <w:t xml:space="preserve">Deloitte as the </w:t>
      </w:r>
      <w:r w:rsidR="00333581">
        <w:t>awarded</w:t>
      </w:r>
      <w:r w:rsidR="00FF77C0">
        <w:t xml:space="preserve"> CalSAWS M&amp;E</w:t>
      </w:r>
      <w:r w:rsidRPr="00A7028F">
        <w:t xml:space="preserve"> Contractor</w:t>
      </w:r>
    </w:p>
    <w:p w14:paraId="1FB2048A" w14:textId="2A32D999" w:rsidR="00C11A78" w:rsidRPr="00A7028F" w:rsidRDefault="003552D7" w:rsidP="00194FBF">
      <w:pPr>
        <w:pStyle w:val="CvrLtrBullet1Double"/>
      </w:pPr>
      <w:r>
        <w:rPr>
          <w:noProof/>
        </w:rPr>
        <w:drawing>
          <wp:anchor distT="0" distB="0" distL="114300" distR="114300" simplePos="0" relativeHeight="251658256" behindDoc="0" locked="0" layoutInCell="1" allowOverlap="1" wp14:anchorId="2D2F33A7" wp14:editId="5995610C">
            <wp:simplePos x="0" y="0"/>
            <wp:positionH relativeFrom="column">
              <wp:posOffset>3798277</wp:posOffset>
            </wp:positionH>
            <wp:positionV relativeFrom="paragraph">
              <wp:posOffset>196166</wp:posOffset>
            </wp:positionV>
            <wp:extent cx="2203938" cy="800407"/>
            <wp:effectExtent l="0" t="0" r="6350" b="0"/>
            <wp:wrapSquare wrapText="bothSides"/>
            <wp:docPr id="2070753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03938" cy="800407"/>
                    </a:xfrm>
                    <a:prstGeom prst="rect">
                      <a:avLst/>
                    </a:prstGeom>
                    <a:noFill/>
                  </pic:spPr>
                </pic:pic>
              </a:graphicData>
            </a:graphic>
          </wp:anchor>
        </w:drawing>
      </w:r>
      <w:r w:rsidR="00C11A78" w:rsidRPr="00A7028F">
        <w:t>ClearBest as the Quality Assurance Services Contractor</w:t>
      </w:r>
    </w:p>
    <w:p w14:paraId="0B64ED84" w14:textId="3969C838" w:rsidR="00C11A78" w:rsidRDefault="00C11A78" w:rsidP="00C11A78">
      <w:pPr>
        <w:pStyle w:val="BodyText"/>
      </w:pPr>
      <w:r>
        <w:t xml:space="preserve">We have a long history of working cooperatively with the </w:t>
      </w:r>
      <w:r w:rsidR="005519A2">
        <w:t xml:space="preserve">other </w:t>
      </w:r>
      <w:r>
        <w:t>contractors in the CalSAWS multi-contractor environment, including:</w:t>
      </w:r>
    </w:p>
    <w:p w14:paraId="39F88A17" w14:textId="77777777" w:rsidR="00C11A78" w:rsidRDefault="00C11A78" w:rsidP="00194FBF">
      <w:pPr>
        <w:pStyle w:val="CvrLtrBullet1Double"/>
      </w:pPr>
      <w:r>
        <w:t xml:space="preserve">Working successfully both as a subcontractor to Accenture and as dual-prime contractors for the CalSAWS Consortium </w:t>
      </w:r>
    </w:p>
    <w:p w14:paraId="0ED6637C" w14:textId="77777777" w:rsidR="00C11A78" w:rsidRDefault="00C11A78" w:rsidP="00194FBF">
      <w:pPr>
        <w:pStyle w:val="CvrLtrBullet1Double"/>
      </w:pPr>
      <w:r>
        <w:t xml:space="preserve">Previously working with Deloitte as our subcontractor and working with them currently in their role providing BenefitsCal </w:t>
      </w:r>
    </w:p>
    <w:p w14:paraId="51B33854" w14:textId="77777777" w:rsidR="00C11A78" w:rsidRDefault="00C11A78" w:rsidP="00194FBF">
      <w:pPr>
        <w:pStyle w:val="CvrLtrBullet1Double"/>
      </w:pPr>
      <w:r>
        <w:t>Working with ClearBest during our implementation of Central Print, creation of the General Assistance/General Relief (GA/GR) correspondence module, and our CalWIN-to-CalSAWS conversion efforts</w:t>
      </w:r>
    </w:p>
    <w:p w14:paraId="1ECDFA19" w14:textId="777E76C4" w:rsidR="00350DE8" w:rsidRDefault="00350DE8" w:rsidP="00E30500">
      <w:pPr>
        <w:pStyle w:val="BodyText"/>
      </w:pPr>
      <w:r>
        <w:t>Though we have not yet begun coordination with the Delivery I</w:t>
      </w:r>
      <w:r w:rsidR="004570D1">
        <w:t>ntegration Team, we are aware that the</w:t>
      </w:r>
      <w:r w:rsidRPr="00CB1637">
        <w:t xml:space="preserve"> Consortium </w:t>
      </w:r>
      <w:r>
        <w:t>has</w:t>
      </w:r>
      <w:r w:rsidRPr="00CB1637">
        <w:t xml:space="preserve"> establish</w:t>
      </w:r>
      <w:r>
        <w:t>ed</w:t>
      </w:r>
      <w:r w:rsidRPr="00CB1637">
        <w:t xml:space="preserve"> </w:t>
      </w:r>
      <w:r w:rsidR="00DC3B0A">
        <w:t>Delivery Integration</w:t>
      </w:r>
      <w:r>
        <w:t xml:space="preserve"> guidelines</w:t>
      </w:r>
      <w:r w:rsidR="00DC3B0A">
        <w:t xml:space="preserve"> and</w:t>
      </w:r>
      <w:r>
        <w:t xml:space="preserve"> practices to manage the processes for the </w:t>
      </w:r>
      <w:r w:rsidR="00DC3B0A">
        <w:t>m</w:t>
      </w:r>
      <w:r>
        <w:t>ulti-</w:t>
      </w:r>
      <w:r w:rsidR="00DC3B0A">
        <w:t>c</w:t>
      </w:r>
      <w:r>
        <w:t xml:space="preserve">ontractor environment. </w:t>
      </w:r>
      <w:r w:rsidR="00DC3B0A">
        <w:t xml:space="preserve">It is our understanding that the Delivery Integration </w:t>
      </w:r>
      <w:r w:rsidR="009912CD">
        <w:t>T</w:t>
      </w:r>
      <w:r w:rsidR="00DC3B0A">
        <w:t>eam will:</w:t>
      </w:r>
    </w:p>
    <w:p w14:paraId="2A893A25" w14:textId="6F900E26" w:rsidR="00350DE8" w:rsidRPr="00E30500" w:rsidRDefault="00362BC4" w:rsidP="00194FBF">
      <w:pPr>
        <w:pStyle w:val="CvrLtrBullet1Double"/>
      </w:pPr>
      <w:r w:rsidRPr="00E30500">
        <w:t>B</w:t>
      </w:r>
      <w:r w:rsidR="00350DE8" w:rsidRPr="00E30500">
        <w:t xml:space="preserve">uild and maintain an integrated, consolidated CalSAWS Master Work Plan, which includes the BenefitsCal M&amp;O Work Plan/Schedule. </w:t>
      </w:r>
    </w:p>
    <w:p w14:paraId="43765214" w14:textId="46EC271E" w:rsidR="002F61B7" w:rsidRPr="00E30500" w:rsidRDefault="00362BC4" w:rsidP="00194FBF">
      <w:pPr>
        <w:pStyle w:val="CvrLtrBullet1Double"/>
      </w:pPr>
      <w:r w:rsidRPr="00E30500">
        <w:lastRenderedPageBreak/>
        <w:t>C</w:t>
      </w:r>
      <w:r w:rsidR="00350DE8" w:rsidRPr="00E30500">
        <w:t>oordinate discussions regarding the timing of required steps for each Contractor and the Consortium</w:t>
      </w:r>
      <w:r w:rsidR="00DC3B0A" w:rsidRPr="00E30500">
        <w:t xml:space="preserve"> for design, build, test</w:t>
      </w:r>
      <w:r w:rsidR="005C02D1">
        <w:t>,</w:t>
      </w:r>
      <w:r w:rsidR="00DC3B0A" w:rsidRPr="00E30500">
        <w:t xml:space="preserve"> and implementation processes that involve multiple contractors</w:t>
      </w:r>
      <w:r w:rsidR="002F61B7" w:rsidRPr="00E30500">
        <w:t>.</w:t>
      </w:r>
    </w:p>
    <w:p w14:paraId="64FEEEA5" w14:textId="6A4D8D7E" w:rsidR="002F61B7" w:rsidRPr="00E30500" w:rsidRDefault="002F61B7" w:rsidP="00194FBF">
      <w:pPr>
        <w:pStyle w:val="CvrLtrBullet1Double"/>
      </w:pPr>
      <w:r w:rsidRPr="00E30500">
        <w:t>Coordinate</w:t>
      </w:r>
      <w:r w:rsidR="00350DE8" w:rsidRPr="00E30500">
        <w:t xml:space="preserve"> with Release Management </w:t>
      </w:r>
      <w:r w:rsidRPr="00E30500">
        <w:t>leaders</w:t>
      </w:r>
      <w:r w:rsidR="00350DE8" w:rsidRPr="00E30500">
        <w:t xml:space="preserve"> regarding entry and exit criteria that must be satisfied by each Contractor involved in the system change process</w:t>
      </w:r>
      <w:r w:rsidR="0048623E" w:rsidRPr="00E30500">
        <w:t xml:space="preserve">. </w:t>
      </w:r>
    </w:p>
    <w:p w14:paraId="392CCF01" w14:textId="197AB967" w:rsidR="002F61B7" w:rsidRPr="00E30500" w:rsidRDefault="00362BC4" w:rsidP="00194FBF">
      <w:pPr>
        <w:pStyle w:val="CvrLtrBullet1Double"/>
      </w:pPr>
      <w:r w:rsidRPr="00E30500">
        <w:t>P</w:t>
      </w:r>
      <w:r w:rsidR="00350DE8" w:rsidRPr="00E30500">
        <w:t>rovide input and recommendations</w:t>
      </w:r>
      <w:r w:rsidR="002F61B7" w:rsidRPr="00E30500">
        <w:t xml:space="preserve"> regarding overall release content</w:t>
      </w:r>
      <w:r w:rsidR="0048623E" w:rsidRPr="00E30500">
        <w:t xml:space="preserve">. </w:t>
      </w:r>
    </w:p>
    <w:p w14:paraId="39964E37" w14:textId="5EDF0349" w:rsidR="00350DE8" w:rsidRPr="00E30500" w:rsidRDefault="002F61B7" w:rsidP="00194FBF">
      <w:pPr>
        <w:pStyle w:val="CvrLtrBullet1Double"/>
      </w:pPr>
      <w:r w:rsidRPr="00E30500">
        <w:t>S</w:t>
      </w:r>
      <w:r w:rsidR="00350DE8" w:rsidRPr="00E30500">
        <w:t>erve</w:t>
      </w:r>
      <w:r w:rsidRPr="00E30500">
        <w:t xml:space="preserve"> </w:t>
      </w:r>
      <w:r w:rsidR="00350DE8" w:rsidRPr="00E30500">
        <w:t xml:space="preserve">as the first point of contact to resolve any disputes between and/or among Contractors. </w:t>
      </w:r>
    </w:p>
    <w:p w14:paraId="4B4E7D23" w14:textId="080A6864" w:rsidR="002A6BAF" w:rsidRPr="00E30500" w:rsidRDefault="002A6BAF" w:rsidP="00E30500">
      <w:pPr>
        <w:pStyle w:val="BodyText"/>
      </w:pPr>
      <w:r w:rsidRPr="00E30500">
        <w:t>Gainwell will adopt the Delivery Integration processes at the appropriate time as we have done with several other CalSAWS processes. As we participate in the Delivery Integration process, we will suggest process improvements or refinements for consideration by the Consortium and the Delivery Integration Team.</w:t>
      </w:r>
    </w:p>
    <w:p w14:paraId="52C60A14" w14:textId="3D4470FE" w:rsidR="00C11A78" w:rsidRDefault="002E465D" w:rsidP="00C11A78">
      <w:pPr>
        <w:pStyle w:val="BodyText"/>
      </w:pPr>
      <w:r>
        <w:rPr>
          <w:noProof/>
        </w:rPr>
        <w:drawing>
          <wp:anchor distT="0" distB="0" distL="114300" distR="114300" simplePos="0" relativeHeight="251658253" behindDoc="0" locked="0" layoutInCell="1" allowOverlap="1" wp14:anchorId="4B5E10F9" wp14:editId="089D5E46">
            <wp:simplePos x="0" y="0"/>
            <wp:positionH relativeFrom="margin">
              <wp:align>right</wp:align>
            </wp:positionH>
            <wp:positionV relativeFrom="paragraph">
              <wp:posOffset>130</wp:posOffset>
            </wp:positionV>
            <wp:extent cx="2358188" cy="5002836"/>
            <wp:effectExtent l="0" t="0" r="4445" b="7620"/>
            <wp:wrapSquare wrapText="bothSides"/>
            <wp:docPr id="95298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58188" cy="5002836"/>
                    </a:xfrm>
                    <a:prstGeom prst="rect">
                      <a:avLst/>
                    </a:prstGeom>
                    <a:noFill/>
                  </pic:spPr>
                </pic:pic>
              </a:graphicData>
            </a:graphic>
            <wp14:sizeRelH relativeFrom="page">
              <wp14:pctWidth>0</wp14:pctWidth>
            </wp14:sizeRelH>
            <wp14:sizeRelV relativeFrom="page">
              <wp14:pctHeight>0</wp14:pctHeight>
            </wp14:sizeRelV>
          </wp:anchor>
        </w:drawing>
      </w:r>
      <w:r w:rsidR="00C11A78">
        <w:t xml:space="preserve">Successful coordination begins with understanding, leadership, and communication. We understand our scope of work in relation to that of other contractors, and this helps us avoid problems such as scope gaps or overlap. Problem avoidance requires understanding the scope of work and the perspectives of other contractors. </w:t>
      </w:r>
      <w:r w:rsidR="00E0083B">
        <w:t>An example of this approach is provided in the callout box on the right.</w:t>
      </w:r>
    </w:p>
    <w:p w14:paraId="141DFA8A" w14:textId="138C1C9E" w:rsidR="00C11A78" w:rsidRDefault="00C11A78" w:rsidP="00C11A78">
      <w:pPr>
        <w:pStyle w:val="BodyText"/>
      </w:pPr>
      <w:r>
        <w:t xml:space="preserve">While the importance of a collaborative approach through understanding, leadership, and communication cannot be overstated, we also take tactical steps to coordinate with other contractors and the CalSAWS Delivery Integration Team. </w:t>
      </w:r>
      <w:r w:rsidR="00E0083B">
        <w:t>These include steps</w:t>
      </w:r>
      <w:r>
        <w:t xml:space="preserve"> such as understanding each contractor’s scope and responsibilities; verifying that dependencies on other contractors are identified and integrated into the CalSAWS Master Work Plan</w:t>
      </w:r>
      <w:r w:rsidR="00E30B29">
        <w:t xml:space="preserve">, </w:t>
      </w:r>
      <w:r>
        <w:t>and identifying gaps, overlaps, or conflicts between contractor scope.</w:t>
      </w:r>
    </w:p>
    <w:p w14:paraId="5D2147D6" w14:textId="77E9B692" w:rsidR="00C11A78" w:rsidRDefault="00C11A78" w:rsidP="00C11A78">
      <w:pPr>
        <w:pStyle w:val="BodyText"/>
      </w:pPr>
      <w:r>
        <w:t xml:space="preserve">Our </w:t>
      </w:r>
      <w:r w:rsidR="00F90414">
        <w:t xml:space="preserve">Gainwell BenefitsCal Leadership team, including our PMO Lead, </w:t>
      </w:r>
      <w:r w:rsidR="00A3331C">
        <w:t>Application</w:t>
      </w:r>
      <w:r>
        <w:t xml:space="preserve"> Manager </w:t>
      </w:r>
      <w:r w:rsidR="00A3331C">
        <w:t>and Product Manager</w:t>
      </w:r>
      <w:r w:rsidR="00F90414">
        <w:t>,</w:t>
      </w:r>
      <w:r>
        <w:t xml:space="preserve"> </w:t>
      </w:r>
      <w:r w:rsidR="00A3331C">
        <w:t>are</w:t>
      </w:r>
      <w:r>
        <w:t xml:space="preserve"> an important part of coordinating with other contractors. </w:t>
      </w:r>
      <w:r w:rsidR="00A3331C">
        <w:t xml:space="preserve">Our </w:t>
      </w:r>
      <w:r w:rsidR="00F90414">
        <w:t xml:space="preserve">Gainwell </w:t>
      </w:r>
      <w:r w:rsidR="00A3331C">
        <w:t xml:space="preserve">BenefitsCal </w:t>
      </w:r>
      <w:r w:rsidR="00F90414">
        <w:t>L</w:t>
      </w:r>
      <w:r w:rsidR="00A3331C">
        <w:t>eadership team</w:t>
      </w:r>
      <w:r>
        <w:t xml:space="preserve"> will:</w:t>
      </w:r>
    </w:p>
    <w:p w14:paraId="60CDD66D" w14:textId="41DC6856" w:rsidR="00C11A78" w:rsidRDefault="00C11A78" w:rsidP="00194FBF">
      <w:pPr>
        <w:pStyle w:val="CvrLtrBullet1Double"/>
      </w:pPr>
      <w:r>
        <w:lastRenderedPageBreak/>
        <w:t xml:space="preserve">Collaborate with other involved contractors to create agreement on and </w:t>
      </w:r>
      <w:r w:rsidRPr="00600536">
        <w:rPr>
          <w:b/>
          <w:bCs w:val="0"/>
        </w:rPr>
        <w:t xml:space="preserve">document the </w:t>
      </w:r>
      <w:r w:rsidR="00A3331C" w:rsidRPr="00600536">
        <w:rPr>
          <w:b/>
          <w:bCs w:val="0"/>
        </w:rPr>
        <w:t xml:space="preserve">touchpoints and corresponding </w:t>
      </w:r>
      <w:r w:rsidRPr="00600536">
        <w:rPr>
          <w:b/>
          <w:bCs w:val="0"/>
        </w:rPr>
        <w:t>responsibilities of each contractor</w:t>
      </w:r>
      <w:r>
        <w:t xml:space="preserve"> to supply ongoing M&amp;O services as well as implementation of newly proposed project</w:t>
      </w:r>
      <w:r w:rsidR="00C65E32">
        <w:t>s</w:t>
      </w:r>
    </w:p>
    <w:p w14:paraId="53A7ECD6" w14:textId="4E38D22F" w:rsidR="00C11A78" w:rsidRDefault="00C11A78" w:rsidP="00194FBF">
      <w:pPr>
        <w:pStyle w:val="CvrLtrBullet1Double"/>
      </w:pPr>
      <w:r>
        <w:t xml:space="preserve">Verify that our </w:t>
      </w:r>
      <w:r w:rsidR="00C65E32">
        <w:t>BenefitsCal</w:t>
      </w:r>
      <w:r>
        <w:t xml:space="preserve"> project </w:t>
      </w:r>
      <w:r w:rsidR="0066276E">
        <w:t>SCR</w:t>
      </w:r>
      <w:r>
        <w:t xml:space="preserve"> includes our scope and responsibilities along with </w:t>
      </w:r>
      <w:r w:rsidRPr="00600536">
        <w:rPr>
          <w:b/>
          <w:bCs w:val="0"/>
        </w:rPr>
        <w:t>identification of other contractor dependencies</w:t>
      </w:r>
    </w:p>
    <w:p w14:paraId="6C35B464" w14:textId="77777777" w:rsidR="00C11A78" w:rsidRPr="00F75B99" w:rsidRDefault="00C11A78" w:rsidP="00194FBF">
      <w:pPr>
        <w:pStyle w:val="CvrLtrBullet1Double"/>
        <w:rPr>
          <w:b/>
          <w:bCs w:val="0"/>
        </w:rPr>
      </w:pPr>
      <w:r>
        <w:t xml:space="preserve">Review the statements of work of each involved contractor and </w:t>
      </w:r>
      <w:r w:rsidRPr="00F75B99">
        <w:rPr>
          <w:b/>
          <w:bCs w:val="0"/>
        </w:rPr>
        <w:t>identify any possible service gaps, conflicts, or overlaps</w:t>
      </w:r>
    </w:p>
    <w:p w14:paraId="63565AAF" w14:textId="77777777" w:rsidR="00C11A78" w:rsidRDefault="00C11A78" w:rsidP="00194FBF">
      <w:pPr>
        <w:pStyle w:val="CvrLtrBullet1Double"/>
      </w:pPr>
      <w:r>
        <w:t xml:space="preserve">Collaborate with other involved contractors to jointly develop, for presentation to the Delivery Integration Office, </w:t>
      </w:r>
      <w:r w:rsidRPr="003B0D22">
        <w:rPr>
          <w:b/>
          <w:bCs w:val="0"/>
        </w:rPr>
        <w:t>recommendations to resolve any service gaps, conflicts, or overlaps</w:t>
      </w:r>
    </w:p>
    <w:p w14:paraId="02E1DD3F" w14:textId="77FDFC28" w:rsidR="00C11A78" w:rsidRDefault="00C11A78" w:rsidP="00194FBF">
      <w:pPr>
        <w:pStyle w:val="CvrLtrBullet1Double"/>
      </w:pPr>
      <w:r w:rsidRPr="003B0D22">
        <w:rPr>
          <w:b/>
          <w:bCs w:val="0"/>
        </w:rPr>
        <w:t>Coordinate the timing and entry/exit criteria</w:t>
      </w:r>
      <w:r w:rsidRPr="003B0D22">
        <w:t xml:space="preserve"> associated with design, build, test, and delivery across contractors</w:t>
      </w:r>
      <w:r>
        <w:t xml:space="preserve"> to implement a change or add a capability</w:t>
      </w:r>
      <w:r w:rsidR="0081370F">
        <w:t xml:space="preserve"> that has cross-system impacts</w:t>
      </w:r>
    </w:p>
    <w:p w14:paraId="463C42C4" w14:textId="77777777" w:rsidR="00F90414" w:rsidRDefault="00F90414" w:rsidP="00F90414">
      <w:pPr>
        <w:pStyle w:val="RightSidebarHeading"/>
        <w:framePr w:wrap="around" w:hAnchor="page" w:x="8139" w:y="1"/>
      </w:pPr>
      <w:r>
        <w:t>Leadership and Collaboration in Action</w:t>
      </w:r>
    </w:p>
    <w:p w14:paraId="10DA214A" w14:textId="77777777" w:rsidR="00F90414" w:rsidRDefault="00F90414" w:rsidP="00F90414">
      <w:pPr>
        <w:pStyle w:val="RightSidebarText"/>
        <w:framePr w:wrap="around" w:hAnchor="page" w:x="8139" w:y="1"/>
      </w:pPr>
      <w:r>
        <w:t xml:space="preserve">Through our service delivery to the Consortium, we support the Counties’ efforts and keeps their best interests in mind. </w:t>
      </w:r>
    </w:p>
    <w:p w14:paraId="1B3BBD52" w14:textId="77777777" w:rsidR="00F90414" w:rsidRDefault="00F90414" w:rsidP="00F90414">
      <w:pPr>
        <w:pStyle w:val="RightSidebarText"/>
        <w:framePr w:wrap="around" w:hAnchor="page" w:x="8139" w:y="1"/>
      </w:pPr>
      <w:r>
        <w:t xml:space="preserve">During the CalWIN migration effort, we were asked to bring leadership to organizational change management delivery issues. </w:t>
      </w:r>
    </w:p>
    <w:p w14:paraId="5DDAB76C" w14:textId="77777777" w:rsidR="00F90414" w:rsidRDefault="00F90414" w:rsidP="00F90414">
      <w:pPr>
        <w:pStyle w:val="RightSidebarText"/>
        <w:framePr w:wrap="around" w:hAnchor="page" w:x="8139" w:y="1"/>
      </w:pPr>
      <w:r>
        <w:t>We suggested successful solutions and led multi-contractor and Consortium teams to develop delivery plans and gain consensus among the joint organizations.</w:t>
      </w:r>
    </w:p>
    <w:p w14:paraId="2DF15C0E" w14:textId="1253746F" w:rsidR="00C11A78" w:rsidRDefault="0081370F" w:rsidP="00FA51BD">
      <w:pPr>
        <w:pStyle w:val="Bullet1Double"/>
        <w:numPr>
          <w:ilvl w:val="0"/>
          <w:numId w:val="33"/>
        </w:numPr>
        <w:tabs>
          <w:tab w:val="clear" w:pos="1800"/>
        </w:tabs>
        <w:ind w:left="288" w:hanging="288"/>
      </w:pPr>
      <w:r w:rsidRPr="003B0D22">
        <w:rPr>
          <w:b/>
          <w:bCs w:val="0"/>
        </w:rPr>
        <w:t>Provide</w:t>
      </w:r>
      <w:r w:rsidR="00C11A78" w:rsidRPr="003B0D22">
        <w:rPr>
          <w:b/>
          <w:bCs w:val="0"/>
        </w:rPr>
        <w:t xml:space="preserve"> input </w:t>
      </w:r>
      <w:r w:rsidRPr="003B0D22">
        <w:rPr>
          <w:b/>
          <w:bCs w:val="0"/>
        </w:rPr>
        <w:t xml:space="preserve">to </w:t>
      </w:r>
      <w:r w:rsidR="00C11A78" w:rsidRPr="003B0D22">
        <w:rPr>
          <w:b/>
          <w:bCs w:val="0"/>
        </w:rPr>
        <w:t>and review the integrated, consolidated CalSAWS Master Work Plan</w:t>
      </w:r>
      <w:r w:rsidR="00C11A78">
        <w:t>, resolving conflicting tasks, priorities, and resources</w:t>
      </w:r>
    </w:p>
    <w:p w14:paraId="1F655856" w14:textId="77777777" w:rsidR="00C11A78" w:rsidRDefault="00C11A78" w:rsidP="00194FBF">
      <w:pPr>
        <w:pStyle w:val="CvrLtrBullet1Double"/>
      </w:pPr>
      <w:r>
        <w:t xml:space="preserve">Act as the </w:t>
      </w:r>
      <w:r w:rsidRPr="003B0D22">
        <w:rPr>
          <w:b/>
          <w:bCs w:val="0"/>
        </w:rPr>
        <w:t>first point of contact to resolve any concerns</w:t>
      </w:r>
      <w:r>
        <w:t xml:space="preserve"> between Gainwell and another contractor</w:t>
      </w:r>
    </w:p>
    <w:p w14:paraId="0DFA9E28" w14:textId="64410812" w:rsidR="00C11A78" w:rsidRDefault="00C11A78" w:rsidP="00194FBF">
      <w:pPr>
        <w:pStyle w:val="CvrLtrBullet1Double"/>
      </w:pPr>
      <w:r w:rsidRPr="005B652A">
        <w:rPr>
          <w:b/>
          <w:bCs w:val="0"/>
        </w:rPr>
        <w:t>Escalate any concerns between Gainwell and another contractor</w:t>
      </w:r>
      <w:r>
        <w:t xml:space="preserve"> that were not resolved between </w:t>
      </w:r>
      <w:r w:rsidR="0081370F">
        <w:t>our leadership team</w:t>
      </w:r>
      <w:r>
        <w:t xml:space="preserve"> and the other contractor(s) Delivery Integration Manager</w:t>
      </w:r>
    </w:p>
    <w:p w14:paraId="62921FDF" w14:textId="77777777" w:rsidR="00C11A78" w:rsidRPr="005B652A" w:rsidRDefault="00C11A78" w:rsidP="00194FBF">
      <w:pPr>
        <w:pStyle w:val="CvrLtrBullet1Double"/>
        <w:rPr>
          <w:b/>
          <w:bCs w:val="0"/>
        </w:rPr>
      </w:pPr>
      <w:r>
        <w:t xml:space="preserve">Participate in execution of </w:t>
      </w:r>
      <w:r w:rsidRPr="005B652A">
        <w:t xml:space="preserve">the </w:t>
      </w:r>
      <w:r w:rsidRPr="005B652A">
        <w:rPr>
          <w:b/>
          <w:bCs w:val="0"/>
        </w:rPr>
        <w:t>CalSAWS Governance Plan</w:t>
      </w:r>
    </w:p>
    <w:p w14:paraId="4971661B" w14:textId="77777777" w:rsidR="00B610A9" w:rsidRDefault="00B610A9" w:rsidP="00C02CC3">
      <w:pPr>
        <w:pStyle w:val="BodyText"/>
      </w:pPr>
      <w:r>
        <w:t>The</w:t>
      </w:r>
      <w:r w:rsidRPr="53870BFB">
        <w:t xml:space="preserve"> key to successful coordination with other contractors and the CalSAWS Delivery Integration Team begins with understanding, leadership, and communication. </w:t>
      </w:r>
      <w:r w:rsidRPr="00E30500">
        <w:rPr>
          <w:b/>
          <w:bCs/>
        </w:rPr>
        <w:t>Problem avoidance begins with understanding the scope of work and perspectives of the other contractors.</w:t>
      </w:r>
      <w:r w:rsidRPr="53870BFB">
        <w:t xml:space="preserve"> </w:t>
      </w:r>
    </w:p>
    <w:p w14:paraId="6410D303" w14:textId="0AB1546A" w:rsidR="00EC625C" w:rsidRDefault="00EC625C" w:rsidP="00C02CC3">
      <w:pPr>
        <w:pStyle w:val="BodyText"/>
      </w:pPr>
      <w:r>
        <w:t xml:space="preserve">Understanding the scope of work </w:t>
      </w:r>
      <w:r w:rsidR="00851389">
        <w:t xml:space="preserve">begins in Transition by understanding the Roles and Responsibilities identified between the BenefitsCal incumbent contractor and the other contractors. This serves as a starting point </w:t>
      </w:r>
      <w:r w:rsidR="00D173F0">
        <w:t xml:space="preserve">in </w:t>
      </w:r>
      <w:r w:rsidR="00851389">
        <w:t>understand</w:t>
      </w:r>
      <w:r w:rsidR="00D173F0">
        <w:t>ing</w:t>
      </w:r>
      <w:r w:rsidR="00F53726">
        <w:t xml:space="preserve"> how the scope of work and interactions are </w:t>
      </w:r>
      <w:r w:rsidR="003E2F70">
        <w:t xml:space="preserve">currently </w:t>
      </w:r>
      <w:r w:rsidR="00F53726">
        <w:t>handled.</w:t>
      </w:r>
      <w:r w:rsidR="00347C7A">
        <w:t xml:space="preserve"> If documentation is not currently available:</w:t>
      </w:r>
    </w:p>
    <w:p w14:paraId="0C3B26E4" w14:textId="77777777" w:rsidR="00D609AF" w:rsidRPr="00D609AF" w:rsidRDefault="00D609AF" w:rsidP="00194FBF">
      <w:pPr>
        <w:pStyle w:val="CvrLtrBullet1Double"/>
      </w:pPr>
      <w:r w:rsidRPr="00D609AF">
        <w:t>During facilitated knowledge transfer sessions, create initial Roles and Responsibilities documentation</w:t>
      </w:r>
    </w:p>
    <w:p w14:paraId="544FAA94" w14:textId="047F28A9" w:rsidR="00D609AF" w:rsidRPr="00D609AF" w:rsidRDefault="00CB3C82" w:rsidP="00194FBF">
      <w:pPr>
        <w:pStyle w:val="CvrLtrBullet1Double"/>
      </w:pPr>
      <w:r>
        <w:t>Create</w:t>
      </w:r>
      <w:r w:rsidR="00D609AF" w:rsidRPr="00D609AF">
        <w:t xml:space="preserve"> comprehensive RACI charts based on project agreements, understanding and contractual requirements</w:t>
      </w:r>
    </w:p>
    <w:p w14:paraId="0F4FE0FC" w14:textId="5E86034C" w:rsidR="00D609AF" w:rsidRDefault="00D609AF" w:rsidP="00194FBF">
      <w:pPr>
        <w:pStyle w:val="CvrLtrBullet1Double"/>
      </w:pPr>
      <w:r w:rsidRPr="00D609AF">
        <w:t xml:space="preserve">Participate in review of deliverables, such as the </w:t>
      </w:r>
      <w:r w:rsidR="00CB3C82">
        <w:t xml:space="preserve">Services Plan </w:t>
      </w:r>
      <w:r w:rsidRPr="00D609AF">
        <w:t>to understand where gaps may occur</w:t>
      </w:r>
    </w:p>
    <w:p w14:paraId="04425D4F" w14:textId="411E9C54" w:rsidR="0040577E" w:rsidRPr="00D609AF" w:rsidRDefault="00A36268" w:rsidP="00FB439D">
      <w:pPr>
        <w:pStyle w:val="BodyText"/>
      </w:pPr>
      <w:r>
        <w:lastRenderedPageBreak/>
        <w:t>These</w:t>
      </w:r>
      <w:r w:rsidR="00FB439D">
        <w:t xml:space="preserve"> steps</w:t>
      </w:r>
      <w:r>
        <w:t xml:space="preserve"> are</w:t>
      </w:r>
      <w:r w:rsidR="00FB439D">
        <w:t xml:space="preserve"> conducted with the BenefitsCal incumbent contractor</w:t>
      </w:r>
      <w:r w:rsidR="00E01C2B">
        <w:t xml:space="preserve"> to obtain a foundational understanding of the current roles and responsibilitie</w:t>
      </w:r>
      <w:r>
        <w:t>s. Additionally</w:t>
      </w:r>
      <w:r w:rsidR="00FB439D">
        <w:t xml:space="preserve">, the following steps will be </w:t>
      </w:r>
      <w:r>
        <w:t>coordinated</w:t>
      </w:r>
      <w:r w:rsidR="00E01C2B">
        <w:t xml:space="preserve"> </w:t>
      </w:r>
      <w:r w:rsidR="00FB439D">
        <w:t>with the other involved contractors:</w:t>
      </w:r>
    </w:p>
    <w:p w14:paraId="7A75BA42" w14:textId="1ABD4834" w:rsidR="00EC625C" w:rsidRPr="00EC625C" w:rsidRDefault="00EC625C" w:rsidP="00194FBF">
      <w:pPr>
        <w:pStyle w:val="CvrLtrBullet1Double"/>
      </w:pPr>
      <w:r w:rsidRPr="00EC625C">
        <w:t xml:space="preserve">Review individual Roles and Responsibilities in detail with the </w:t>
      </w:r>
      <w:r w:rsidR="00011518">
        <w:t>other</w:t>
      </w:r>
      <w:r w:rsidRPr="00EC625C">
        <w:t xml:space="preserve"> contractor</w:t>
      </w:r>
      <w:r w:rsidR="00011518">
        <w:t>s</w:t>
      </w:r>
    </w:p>
    <w:p w14:paraId="11776267" w14:textId="77777777" w:rsidR="00EC625C" w:rsidRPr="00EC625C" w:rsidRDefault="00EC625C" w:rsidP="00194FBF">
      <w:pPr>
        <w:pStyle w:val="CvrLtrBullet1Double"/>
      </w:pPr>
      <w:r w:rsidRPr="00EC625C">
        <w:t>Identify integration points and dependencies</w:t>
      </w:r>
      <w:r w:rsidRPr="00EC625C">
        <w:rPr>
          <w:b/>
        </w:rPr>
        <w:t xml:space="preserve"> </w:t>
      </w:r>
      <w:r w:rsidRPr="00EC625C">
        <w:t>to understand timing and avoid gaps or overlaps</w:t>
      </w:r>
    </w:p>
    <w:p w14:paraId="1897F9BB" w14:textId="77777777" w:rsidR="00EC625C" w:rsidRPr="00EC625C" w:rsidRDefault="00EC625C" w:rsidP="00194FBF">
      <w:pPr>
        <w:pStyle w:val="CvrLtrBullet1Double"/>
      </w:pPr>
      <w:r w:rsidRPr="00EC625C">
        <w:t>Update Roles and Responsibilities and RACI charts</w:t>
      </w:r>
    </w:p>
    <w:p w14:paraId="19542EDD" w14:textId="77777777" w:rsidR="00EC625C" w:rsidRPr="00EC625C" w:rsidRDefault="00EC625C" w:rsidP="00194FBF">
      <w:pPr>
        <w:pStyle w:val="CvrLtrBullet1Double"/>
      </w:pPr>
      <w:r w:rsidRPr="00EC625C">
        <w:t>Coordinate the timing and entry/exit criteria associated with design, build, test, and delivery across contractors</w:t>
      </w:r>
    </w:p>
    <w:p w14:paraId="4D96830A" w14:textId="77777777" w:rsidR="00EC625C" w:rsidRDefault="00EC625C" w:rsidP="00194FBF">
      <w:pPr>
        <w:pStyle w:val="CvrLtrBullet1Double"/>
      </w:pPr>
      <w:r w:rsidRPr="00EC625C">
        <w:t>Build out Work Plans delineating responsibilities and timelines including “gives” and “gets”</w:t>
      </w:r>
    </w:p>
    <w:p w14:paraId="3795524D" w14:textId="6E036521" w:rsidR="00A211FA" w:rsidRPr="00EC625C" w:rsidRDefault="00A211FA" w:rsidP="00194FBF">
      <w:pPr>
        <w:pStyle w:val="CvrLtrBullet1Double"/>
      </w:pPr>
      <w:r w:rsidRPr="00EC625C">
        <w:t>Work collaboratively to mutually resolve discrepancies in tasks and timing</w:t>
      </w:r>
    </w:p>
    <w:p w14:paraId="1712C610" w14:textId="46451A8B" w:rsidR="00744B1D" w:rsidRDefault="00B610A9" w:rsidP="00B767A4">
      <w:pPr>
        <w:pStyle w:val="Subheading"/>
        <w:rPr>
          <w:b w:val="0"/>
          <w:bCs/>
        </w:rPr>
      </w:pPr>
      <w:r w:rsidRPr="53870BFB">
        <w:t xml:space="preserve">Projects </w:t>
      </w:r>
    </w:p>
    <w:p w14:paraId="46D2D7E5" w14:textId="59C5DF42" w:rsidR="00B610A9" w:rsidRDefault="00B610A9" w:rsidP="00C02CC3">
      <w:pPr>
        <w:pStyle w:val="BodyText"/>
      </w:pPr>
      <w:r w:rsidRPr="53870BFB">
        <w:t xml:space="preserve">For change request project work, joint scope of work development identifies touchpoints and handoffs between </w:t>
      </w:r>
      <w:r>
        <w:t xml:space="preserve">the BenefitsCal team and </w:t>
      </w:r>
      <w:r w:rsidRPr="53870BFB">
        <w:t xml:space="preserve">the Infrastructure and M&amp;E teams at a high level. Using the high-level touchpoints, specific tasks that are cross-contractor dependencies are identified. These dependencies are then included in the project plan as “gives” and “gets.” </w:t>
      </w:r>
    </w:p>
    <w:p w14:paraId="21B149EE" w14:textId="77777777" w:rsidR="00B610A9" w:rsidRDefault="00B610A9" w:rsidP="00C02CC3">
      <w:pPr>
        <w:pStyle w:val="BodyText"/>
      </w:pPr>
      <w:r w:rsidRPr="53870BFB">
        <w:t xml:space="preserve">For example, if the </w:t>
      </w:r>
      <w:r>
        <w:t>BenefitsCal</w:t>
      </w:r>
      <w:r w:rsidRPr="53870BFB">
        <w:t xml:space="preserve"> team </w:t>
      </w:r>
      <w:r>
        <w:t>has a dependency on a CalSAWS system change entering system test, the BenefitsCal team</w:t>
      </w:r>
      <w:r w:rsidRPr="53870BFB">
        <w:t xml:space="preserve"> has a task in their plan to “get” the </w:t>
      </w:r>
      <w:r>
        <w:t>change based on the M&amp;E Contractor’s</w:t>
      </w:r>
      <w:r w:rsidRPr="53870BFB">
        <w:t xml:space="preserve"> corresponding task to “give” </w:t>
      </w:r>
      <w:r>
        <w:t>the functionality through a release into system test</w:t>
      </w:r>
      <w:r w:rsidRPr="53870BFB">
        <w:t xml:space="preserve">. During joint project plan development, both contractors set this task to the same mutually agreed-upon date, which sets expectations and allows both contractors to monitor completion of the task. </w:t>
      </w:r>
    </w:p>
    <w:p w14:paraId="296DEBDB" w14:textId="5CC742FF" w:rsidR="00B610A9" w:rsidRDefault="00B610A9" w:rsidP="00C02CC3">
      <w:pPr>
        <w:pStyle w:val="BodyText"/>
      </w:pPr>
      <w:r w:rsidRPr="53870BFB">
        <w:t xml:space="preserve">For any project with cross-contractor dependencies, the </w:t>
      </w:r>
      <w:r>
        <w:t xml:space="preserve">other </w:t>
      </w:r>
      <w:r w:rsidR="006D47C3">
        <w:t>c</w:t>
      </w:r>
      <w:r>
        <w:t xml:space="preserve">ontractor and Consortium </w:t>
      </w:r>
      <w:r w:rsidRPr="53870BFB">
        <w:t xml:space="preserve">Delivery Integration Managers are included in the project during estimation and design to understand the dependencies and prepare to monitor the delivery. The Delivery Integration </w:t>
      </w:r>
      <w:r w:rsidR="00F7479C">
        <w:t>Team</w:t>
      </w:r>
      <w:r w:rsidRPr="53870BFB">
        <w:t xml:space="preserve"> serve</w:t>
      </w:r>
      <w:r w:rsidR="00F7479C">
        <w:t>s</w:t>
      </w:r>
      <w:r w:rsidRPr="53870BFB">
        <w:t xml:space="preserve"> as the first escalation point for any delivery concerns between the contractors.</w:t>
      </w:r>
    </w:p>
    <w:p w14:paraId="1ADDA8D2" w14:textId="025128BB" w:rsidR="00C11A78" w:rsidRDefault="00C11A78" w:rsidP="00C11A78">
      <w:pPr>
        <w:pStyle w:val="BodyText"/>
      </w:pPr>
      <w:r>
        <w:t>Our project managers</w:t>
      </w:r>
      <w:r w:rsidR="0081370F">
        <w:t xml:space="preserve"> also</w:t>
      </w:r>
      <w:r>
        <w:t xml:space="preserve"> play a key role in identifying cross-contractor tasks. Our project managers maintain project plans for System Change Requests (SCRs) to enable active management and mutual understanding of the status. Each project manager is responsible for identifying dependencies with other contractors. </w:t>
      </w:r>
    </w:p>
    <w:p w14:paraId="44A24EF7" w14:textId="2C8A0FA8" w:rsidR="00C11A78" w:rsidRDefault="00C11A78" w:rsidP="00C11A78">
      <w:pPr>
        <w:pStyle w:val="BodyText"/>
      </w:pPr>
      <w:r>
        <w:t xml:space="preserve">Projects with identified dependencies on other contractors </w:t>
      </w:r>
      <w:r w:rsidR="00626A3D">
        <w:t>are</w:t>
      </w:r>
      <w:r>
        <w:t xml:space="preserve"> reported to the Gainwell </w:t>
      </w:r>
      <w:r w:rsidR="00626A3D">
        <w:t xml:space="preserve">BenefitsCal </w:t>
      </w:r>
      <w:r w:rsidR="00F90414">
        <w:t>L</w:t>
      </w:r>
      <w:r w:rsidR="00626A3D">
        <w:t>eadership team</w:t>
      </w:r>
      <w:r>
        <w:t xml:space="preserve"> for awareness, as shown in </w:t>
      </w:r>
      <w:r w:rsidR="006B1731">
        <w:t>the following figure</w:t>
      </w:r>
      <w:r>
        <w:t xml:space="preserve">. </w:t>
      </w:r>
    </w:p>
    <w:p w14:paraId="2CA826CC" w14:textId="77777777" w:rsidR="00761C2D" w:rsidRPr="006B1731" w:rsidRDefault="00761C2D" w:rsidP="004339C5">
      <w:pPr>
        <w:pStyle w:val="FigureCaptionAuto"/>
      </w:pPr>
      <w:bookmarkStart w:id="33" w:name="_Toc173187512"/>
      <w:r w:rsidRPr="006B1731">
        <w:lastRenderedPageBreak/>
        <w:t>Project Manager Role in Cross-Contractor Coordination</w:t>
      </w:r>
      <w:bookmarkEnd w:id="33"/>
    </w:p>
    <w:p w14:paraId="4A7B0C13" w14:textId="68278DC1" w:rsidR="00C11A78" w:rsidRDefault="00BC17F1" w:rsidP="00C11A78">
      <w:pPr>
        <w:pStyle w:val="BodyText"/>
        <w:jc w:val="center"/>
      </w:pPr>
      <w:r>
        <w:rPr>
          <w:noProof/>
        </w:rPr>
        <w:drawing>
          <wp:inline distT="0" distB="0" distL="0" distR="0" wp14:anchorId="607961B3" wp14:editId="35A077FA">
            <wp:extent cx="5394960" cy="4465320"/>
            <wp:effectExtent l="0" t="0" r="0" b="0"/>
            <wp:docPr id="126872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4960" cy="4465320"/>
                    </a:xfrm>
                    <a:prstGeom prst="rect">
                      <a:avLst/>
                    </a:prstGeom>
                    <a:noFill/>
                  </pic:spPr>
                </pic:pic>
              </a:graphicData>
            </a:graphic>
          </wp:inline>
        </w:drawing>
      </w:r>
    </w:p>
    <w:p w14:paraId="6D8B1808" w14:textId="50002DC4" w:rsidR="00C11A78" w:rsidRDefault="00C11A78" w:rsidP="00C11A78">
      <w:pPr>
        <w:pStyle w:val="BodyText"/>
      </w:pPr>
      <w:r>
        <w:t xml:space="preserve">The Gainwell </w:t>
      </w:r>
      <w:r w:rsidR="00027524">
        <w:t>p</w:t>
      </w:r>
      <w:r>
        <w:t xml:space="preserve">roject </w:t>
      </w:r>
      <w:r w:rsidR="00027524">
        <w:t>m</w:t>
      </w:r>
      <w:r>
        <w:t>anager</w:t>
      </w:r>
      <w:r w:rsidR="00027524">
        <w:t>s</w:t>
      </w:r>
      <w:r>
        <w:t xml:space="preserve"> also discuss concerns regarding cross-contractor dependencies with the Gainwell </w:t>
      </w:r>
      <w:r w:rsidR="00BC17F1">
        <w:t xml:space="preserve">PMO </w:t>
      </w:r>
      <w:r w:rsidR="00027524">
        <w:t>Lead</w:t>
      </w:r>
      <w:r>
        <w:t>, who in turn coordinates with the larger Delivery Integration Team to assist in resolving the concern.</w:t>
      </w:r>
    </w:p>
    <w:p w14:paraId="0C25D0AA" w14:textId="628FD579" w:rsidR="00C11A78" w:rsidRDefault="00C11A78" w:rsidP="00C11A78">
      <w:pPr>
        <w:pStyle w:val="BodyText"/>
      </w:pPr>
      <w:r>
        <w:t>Our staff coordinate with other co</w:t>
      </w:r>
      <w:r w:rsidDel="006F096D">
        <w:t>n</w:t>
      </w:r>
      <w:r>
        <w:t xml:space="preserve">tractors during deliverable development. Like concerns that arise with cross-contractor task dependencies, cross-contractor </w:t>
      </w:r>
      <w:r w:rsidR="00720213">
        <w:t xml:space="preserve">deliverable </w:t>
      </w:r>
      <w:r>
        <w:t xml:space="preserve">concerns are escalated to the </w:t>
      </w:r>
      <w:r w:rsidR="00027524">
        <w:t>Gainwell PMO Lead</w:t>
      </w:r>
      <w:r>
        <w:t xml:space="preserve"> for coordination with the CalSAWS Delivery Integration Team.</w:t>
      </w:r>
    </w:p>
    <w:p w14:paraId="775CBA11" w14:textId="714405BE" w:rsidR="00D530DD" w:rsidRDefault="00F96AD1" w:rsidP="00C11A78">
      <w:pPr>
        <w:pStyle w:val="BodyText"/>
      </w:pPr>
      <w:r>
        <w:t xml:space="preserve">The following figure </w:t>
      </w:r>
      <w:r w:rsidR="00BF0959">
        <w:t>provides</w:t>
      </w:r>
      <w:r w:rsidR="003A2757">
        <w:t xml:space="preserve"> identified goal</w:t>
      </w:r>
      <w:r w:rsidR="00E47334">
        <w:t>s</w:t>
      </w:r>
      <w:r w:rsidR="003A2757">
        <w:t xml:space="preserve"> of the Delivery Integration </w:t>
      </w:r>
      <w:r w:rsidR="009B3368">
        <w:t>T</w:t>
      </w:r>
      <w:r w:rsidR="003A2757">
        <w:t>eam</w:t>
      </w:r>
      <w:r w:rsidR="00D530DD">
        <w:t xml:space="preserve"> related to SCRs. The right side of the diagram lists potential actions that could be taken in collaboration with the Consortium and the other </w:t>
      </w:r>
      <w:r w:rsidR="0087406D">
        <w:t>c</w:t>
      </w:r>
      <w:r w:rsidR="00D530DD">
        <w:t>ontractors to help achieve the goal</w:t>
      </w:r>
      <w:r w:rsidR="009965DF">
        <w:t xml:space="preserve">. </w:t>
      </w:r>
    </w:p>
    <w:p w14:paraId="166E36C8" w14:textId="77777777" w:rsidR="00761C2D" w:rsidRPr="006B1731" w:rsidRDefault="00761C2D" w:rsidP="004339C5">
      <w:pPr>
        <w:pStyle w:val="FigureCaptionAuto"/>
      </w:pPr>
      <w:bookmarkStart w:id="34" w:name="_Toc173187513"/>
      <w:r>
        <w:lastRenderedPageBreak/>
        <w:t>Delivery Integration Team Goals and Actions Related to SCRs</w:t>
      </w:r>
      <w:bookmarkEnd w:id="34"/>
    </w:p>
    <w:p w14:paraId="14C506B3" w14:textId="77777777" w:rsidR="00340077" w:rsidRDefault="00D530DD" w:rsidP="00C11A78">
      <w:pPr>
        <w:pStyle w:val="BodyText"/>
        <w:rPr>
          <w:sz w:val="18"/>
          <w:szCs w:val="18"/>
        </w:rPr>
      </w:pPr>
      <w:r w:rsidRPr="00964074">
        <w:rPr>
          <w:noProof/>
          <w:sz w:val="18"/>
          <w:szCs w:val="18"/>
          <w14:ligatures w14:val="standardContextual"/>
        </w:rPr>
        <w:drawing>
          <wp:inline distT="0" distB="0" distL="0" distR="0" wp14:anchorId="31C03FF4" wp14:editId="4B6CB773">
            <wp:extent cx="5486400" cy="3452884"/>
            <wp:effectExtent l="0" t="19050" r="76200" b="14605"/>
            <wp:docPr id="747641510"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633B5A7" w14:textId="2E3C02D9" w:rsidR="008D337C" w:rsidRDefault="008D337C" w:rsidP="008D337C">
      <w:pPr>
        <w:pStyle w:val="BodyText"/>
      </w:pPr>
      <w:r>
        <w:t xml:space="preserve">To </w:t>
      </w:r>
      <w:r w:rsidR="00FC5198">
        <w:t>confirm</w:t>
      </w:r>
      <w:r w:rsidRPr="00A7028F">
        <w:t xml:space="preserve"> understanding and agreement of the </w:t>
      </w:r>
      <w:r>
        <w:t xml:space="preserve">scope of work and the </w:t>
      </w:r>
      <w:r w:rsidRPr="00A7028F">
        <w:t xml:space="preserve">roles and responsibilities of each </w:t>
      </w:r>
      <w:r w:rsidR="00EF6942">
        <w:t>c</w:t>
      </w:r>
      <w:r w:rsidRPr="00A7028F">
        <w:t>ontractor</w:t>
      </w:r>
      <w:r w:rsidR="00D23C2A">
        <w:t>,</w:t>
      </w:r>
      <w:r w:rsidR="0075404A">
        <w:t xml:space="preserve"> it is important to consider the types of concerns that arise</w:t>
      </w:r>
      <w:r>
        <w:t>. Scope and responsibility concerns usually fall into the area of scope redundancies or scope gaps and ambiguities, as described below.</w:t>
      </w:r>
    </w:p>
    <w:p w14:paraId="68CCA673" w14:textId="7786B214" w:rsidR="008D337C" w:rsidRPr="00114406" w:rsidRDefault="008D337C" w:rsidP="008D337C">
      <w:pPr>
        <w:pStyle w:val="BodyText"/>
        <w:rPr>
          <w:b/>
          <w:szCs w:val="22"/>
        </w:rPr>
      </w:pPr>
      <w:r w:rsidRPr="000A1406">
        <w:rPr>
          <w:b/>
          <w:bCs/>
          <w:szCs w:val="22"/>
        </w:rPr>
        <w:t xml:space="preserve">Identifying and </w:t>
      </w:r>
      <w:r w:rsidR="0075404A">
        <w:rPr>
          <w:b/>
          <w:bCs/>
          <w:szCs w:val="22"/>
        </w:rPr>
        <w:t xml:space="preserve">Resolving </w:t>
      </w:r>
      <w:r w:rsidRPr="000A1406">
        <w:rPr>
          <w:b/>
          <w:szCs w:val="22"/>
        </w:rPr>
        <w:t xml:space="preserve">Scope Redundancies. </w:t>
      </w:r>
      <w:r w:rsidRPr="002B2EAF">
        <w:rPr>
          <w:szCs w:val="22"/>
        </w:rPr>
        <w:t>To successfully support th</w:t>
      </w:r>
      <w:r w:rsidRPr="002176E9">
        <w:rPr>
          <w:szCs w:val="22"/>
        </w:rPr>
        <w:t xml:space="preserve">e </w:t>
      </w:r>
      <w:r w:rsidR="001F1A07">
        <w:rPr>
          <w:szCs w:val="22"/>
        </w:rPr>
        <w:t>BenefitsCal users</w:t>
      </w:r>
      <w:r w:rsidRPr="002176E9">
        <w:rPr>
          <w:szCs w:val="22"/>
        </w:rPr>
        <w:t xml:space="preserve">, each contractor must </w:t>
      </w:r>
      <w:r w:rsidRPr="000A1406">
        <w:rPr>
          <w:szCs w:val="22"/>
        </w:rPr>
        <w:t>meet the requirements of the Consortium as included in their respective statements of work or change requests</w:t>
      </w:r>
      <w:r>
        <w:rPr>
          <w:szCs w:val="22"/>
        </w:rPr>
        <w:t>. H</w:t>
      </w:r>
      <w:r w:rsidRPr="000A1406">
        <w:rPr>
          <w:szCs w:val="22"/>
        </w:rPr>
        <w:t>owever</w:t>
      </w:r>
      <w:r>
        <w:rPr>
          <w:szCs w:val="22"/>
        </w:rPr>
        <w:t>,</w:t>
      </w:r>
      <w:r w:rsidRPr="000A1406">
        <w:rPr>
          <w:szCs w:val="22"/>
        </w:rPr>
        <w:t xml:space="preserve"> if two or more contractors have overlapping scope, one or more scope(s) of work </w:t>
      </w:r>
      <w:r>
        <w:rPr>
          <w:szCs w:val="22"/>
        </w:rPr>
        <w:t xml:space="preserve">must be adjusted </w:t>
      </w:r>
      <w:r w:rsidRPr="000A1406">
        <w:rPr>
          <w:szCs w:val="22"/>
        </w:rPr>
        <w:t>to eliminate the redundancy.</w:t>
      </w:r>
    </w:p>
    <w:p w14:paraId="0E1A815E" w14:textId="77777777" w:rsidR="008D337C" w:rsidRDefault="008D337C" w:rsidP="008D337C">
      <w:pPr>
        <w:pStyle w:val="BodyText"/>
      </w:pPr>
      <w:r>
        <w:t>Avoidance of potential redundancies in scope is obviously preferred. Techniques for avoidance of the situation include the following:</w:t>
      </w:r>
    </w:p>
    <w:p w14:paraId="29E1A2BB" w14:textId="77777777" w:rsidR="008D337C" w:rsidRDefault="008D337C" w:rsidP="00194FBF">
      <w:pPr>
        <w:pStyle w:val="CvrLtrBullet1Double"/>
      </w:pPr>
      <w:r w:rsidRPr="00C67F1C">
        <w:rPr>
          <w:b/>
        </w:rPr>
        <w:t>Scope of Work Development</w:t>
      </w:r>
      <w:r>
        <w:rPr>
          <w:b/>
        </w:rPr>
        <w:t xml:space="preserve">. </w:t>
      </w:r>
      <w:r>
        <w:t>Each contractor needs a scope of work that clearly identifies their responsibilities. However, for projects or areas of scope that involve touchpoints, handoffs, and cross-contractor dependencies, each contractor’s scope of work should be developed jointly by the contractors with delineation of where a contractor has something they need to “get” from another party or something they will be giving to another party. This concept would further extend into joint planning as each contractor develops their individual project plans.</w:t>
      </w:r>
    </w:p>
    <w:p w14:paraId="502CA085" w14:textId="77777777" w:rsidR="008D337C" w:rsidRDefault="008D337C" w:rsidP="00194FBF">
      <w:pPr>
        <w:pStyle w:val="CvrLtrBullet1Double"/>
      </w:pPr>
      <w:r>
        <w:rPr>
          <w:b/>
        </w:rPr>
        <w:t xml:space="preserve">Joint Architecture Review. </w:t>
      </w:r>
      <w:r>
        <w:t xml:space="preserve">Each involved contractor participates in a Joint Architecture Review to verify that the project fits into the overall CalSAWS target architecture and gain a joint understanding of the fit of the project into the overall </w:t>
      </w:r>
      <w:r>
        <w:lastRenderedPageBreak/>
        <w:t>architecture. This concept would further extend into joint planning as each contractor develops their solution components.</w:t>
      </w:r>
    </w:p>
    <w:p w14:paraId="5B16FE2F" w14:textId="4F46129A" w:rsidR="008D337C" w:rsidRDefault="008D337C" w:rsidP="00194FBF">
      <w:pPr>
        <w:pStyle w:val="CvrLtrBullet1Double"/>
      </w:pPr>
      <w:r w:rsidRPr="00C67F1C">
        <w:rPr>
          <w:b/>
        </w:rPr>
        <w:t xml:space="preserve">Delivery Integration </w:t>
      </w:r>
      <w:r w:rsidR="007671CD">
        <w:rPr>
          <w:b/>
        </w:rPr>
        <w:t>Team</w:t>
      </w:r>
      <w:r>
        <w:rPr>
          <w:b/>
        </w:rPr>
        <w:t>.</w:t>
      </w:r>
      <w:r>
        <w:t xml:space="preserve"> </w:t>
      </w:r>
      <w:r w:rsidR="001B1ECA">
        <w:t xml:space="preserve">Coordination with the Delivery Integration Team helps to </w:t>
      </w:r>
      <w:r>
        <w:t>verify</w:t>
      </w:r>
      <w:r w:rsidR="001B1ECA">
        <w:t xml:space="preserve"> </w:t>
      </w:r>
      <w:r>
        <w:t>that the “puzzle</w:t>
      </w:r>
      <w:r w:rsidR="00D151FD">
        <w:t xml:space="preserve"> pieces</w:t>
      </w:r>
      <w:r>
        <w:t xml:space="preserve"> fit together” to create a complete project or service delivery. For project</w:t>
      </w:r>
      <w:r w:rsidR="005E5C0F">
        <w:t>s</w:t>
      </w:r>
      <w:r>
        <w:t xml:space="preserve"> with cross-contractor dependencies, the Delivery Integration </w:t>
      </w:r>
      <w:r w:rsidR="001B1ECA">
        <w:t xml:space="preserve">Team </w:t>
      </w:r>
      <w:r>
        <w:t xml:space="preserve">would be included in the project during estimation and design to understand the dependencies and prepare to monitor the delivery. </w:t>
      </w:r>
    </w:p>
    <w:p w14:paraId="1C22322F" w14:textId="0DF75FA8" w:rsidR="008D337C" w:rsidRDefault="008D337C" w:rsidP="00194FBF">
      <w:pPr>
        <w:pStyle w:val="CvrLtrBullet1Double"/>
      </w:pPr>
      <w:r w:rsidRPr="00C67F1C">
        <w:rPr>
          <w:b/>
        </w:rPr>
        <w:t>Multi</w:t>
      </w:r>
      <w:r>
        <w:rPr>
          <w:b/>
        </w:rPr>
        <w:t>-</w:t>
      </w:r>
      <w:r w:rsidRPr="00C67F1C">
        <w:rPr>
          <w:b/>
        </w:rPr>
        <w:t>Contractor Governance</w:t>
      </w:r>
      <w:r>
        <w:rPr>
          <w:b/>
        </w:rPr>
        <w:t>.</w:t>
      </w:r>
      <w:r>
        <w:t xml:space="preserve"> Each contractor should participate in the defined governance process for resolving situations that may arise between the parties. This governance process should have governance levels that include the involved contractors only and governance levels that include the Consortium starting with the Delivery Integration </w:t>
      </w:r>
      <w:r w:rsidR="006628C0">
        <w:t>Team</w:t>
      </w:r>
      <w:r>
        <w:t xml:space="preserve">. </w:t>
      </w:r>
    </w:p>
    <w:p w14:paraId="66EBF822" w14:textId="77777777" w:rsidR="008D337C" w:rsidRDefault="008D337C" w:rsidP="008D337C">
      <w:pPr>
        <w:pStyle w:val="BodyText"/>
      </w:pPr>
      <w:r>
        <w:t>If there are redundancies in the scope of work, a determination of which party will deliver should be based on criteria that include each contractor’s situation related to:</w:t>
      </w:r>
    </w:p>
    <w:p w14:paraId="7A91AB16" w14:textId="14D2AFE7" w:rsidR="00A97DB2" w:rsidRDefault="00A97DB2" w:rsidP="008C4DF3">
      <w:pPr>
        <w:pStyle w:val="BodyText"/>
        <w:ind w:left="360"/>
      </w:pPr>
      <w:r w:rsidRPr="00800660">
        <w:rPr>
          <w:noProof/>
          <w14:ligatures w14:val="standardContextual"/>
        </w:rPr>
        <w:drawing>
          <wp:inline distT="0" distB="0" distL="0" distR="0" wp14:anchorId="71B2EB82" wp14:editId="5BC75DB9">
            <wp:extent cx="5309507" cy="3333750"/>
            <wp:effectExtent l="38100" t="38100" r="62865" b="0"/>
            <wp:docPr id="438017763"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14762815" w14:textId="358205EE" w:rsidR="008D337C" w:rsidRPr="000A1406" w:rsidRDefault="008D337C" w:rsidP="008D337C">
      <w:pPr>
        <w:pStyle w:val="BodyText"/>
        <w:rPr>
          <w:b/>
        </w:rPr>
      </w:pPr>
      <w:r w:rsidRPr="5F0CA245">
        <w:rPr>
          <w:b/>
        </w:rPr>
        <w:t xml:space="preserve">Identifying and </w:t>
      </w:r>
      <w:r w:rsidR="003B62D4">
        <w:rPr>
          <w:b/>
        </w:rPr>
        <w:t>Resolving</w:t>
      </w:r>
      <w:r>
        <w:t xml:space="preserve"> </w:t>
      </w:r>
      <w:r w:rsidRPr="5F0CA245">
        <w:rPr>
          <w:b/>
        </w:rPr>
        <w:t xml:space="preserve">Scope Gaps and Ambiguities. </w:t>
      </w:r>
      <w:r>
        <w:t>Avoidance of gaps and ambiguities through the techniques of joint development of the individual scopes of work</w:t>
      </w:r>
      <w:r w:rsidR="00C21F8B">
        <w:t>, coordination with the Delivery Integration Team</w:t>
      </w:r>
      <w:r>
        <w:t xml:space="preserve"> and multi-contractor governance is preferable. While these techniques along with clear business requirements can assist with minimizing scope gaps and ambiguities, in a large-scale operation with multiple contractors, gaps or confusion will occur as to where each contractor’s responsibility starts and ends.</w:t>
      </w:r>
    </w:p>
    <w:p w14:paraId="13EC6E25" w14:textId="5327459F" w:rsidR="008D337C" w:rsidRDefault="008D337C" w:rsidP="008D337C">
      <w:pPr>
        <w:pStyle w:val="BodyText"/>
      </w:pPr>
      <w:r>
        <w:t xml:space="preserve">Addressing these gaps and/or ambiguities requires contractors with a level of delivery maturity and an effective governance process. We suggest a first governance level </w:t>
      </w:r>
      <w:r>
        <w:lastRenderedPageBreak/>
        <w:t>that involves an agreed-upon process where the individual contractors attempt to reach resolution or develop a resolution proposal. The top priority in determining a resolution should be delivering the right solution for</w:t>
      </w:r>
      <w:r w:rsidR="00C21F8B">
        <w:t xml:space="preserve"> BenefitsCal and</w:t>
      </w:r>
      <w:r>
        <w:t xml:space="preserve"> CalSAWS users. </w:t>
      </w:r>
    </w:p>
    <w:p w14:paraId="704A43FA" w14:textId="06B19434" w:rsidR="008D337C" w:rsidRPr="005B2DAE" w:rsidRDefault="008D337C" w:rsidP="008D337C">
      <w:pPr>
        <w:pStyle w:val="BodyText"/>
      </w:pPr>
      <w:r w:rsidRPr="005B2DAE">
        <w:t xml:space="preserve">The </w:t>
      </w:r>
      <w:r w:rsidR="00CB6B86">
        <w:t>leadership</w:t>
      </w:r>
      <w:r w:rsidRPr="005B2DAE">
        <w:t xml:space="preserve"> team </w:t>
      </w:r>
      <w:r>
        <w:t xml:space="preserve">for each contractor must </w:t>
      </w:r>
      <w:r w:rsidRPr="005B2DAE">
        <w:t xml:space="preserve">be responsible for instituting and supporting an environment of mutual collaboration among team members in support of the </w:t>
      </w:r>
      <w:r>
        <w:t>Consortium and Counties</w:t>
      </w:r>
      <w:r w:rsidRPr="005B2DAE">
        <w:t xml:space="preserve">. </w:t>
      </w:r>
      <w:r>
        <w:t>Relationship</w:t>
      </w:r>
      <w:r w:rsidRPr="005B2DAE">
        <w:t xml:space="preserve"> management between the organizations </w:t>
      </w:r>
      <w:r>
        <w:t>is</w:t>
      </w:r>
      <w:r w:rsidRPr="005B2DAE">
        <w:t xml:space="preserve"> critical. Any non-business barriers toward fostering collaboration can pose a risk to successful project completion. Personality conflicts between team members from competing companies, who should be working in a collaborative effort for </w:t>
      </w:r>
      <w:r>
        <w:t>the Consortium</w:t>
      </w:r>
      <w:r w:rsidRPr="005B2DAE">
        <w:t xml:space="preserve">, is an example of a non-project related issue that would trigger </w:t>
      </w:r>
      <w:r>
        <w:t>the multi-contractor governance</w:t>
      </w:r>
      <w:r w:rsidRPr="005B2DAE">
        <w:t xml:space="preserve">. </w:t>
      </w:r>
    </w:p>
    <w:p w14:paraId="6C1EB30C" w14:textId="11C1A607" w:rsidR="008D337C" w:rsidRDefault="008D337C" w:rsidP="008D337C">
      <w:pPr>
        <w:pStyle w:val="BodyText"/>
      </w:pPr>
      <w:r>
        <w:t xml:space="preserve">If the contractors cannot resolve the situation or believe neither scope of work included the tasks under discussion, the multi-contractor governance level including the Consortium would be engaged; i.e., escalation to the Delivery Integration </w:t>
      </w:r>
      <w:r w:rsidR="00C5778B">
        <w:t>Team</w:t>
      </w:r>
      <w:r>
        <w:t xml:space="preserve">. </w:t>
      </w:r>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D7021D" w14:paraId="512B055F" w14:textId="77777777">
        <w:tc>
          <w:tcPr>
            <w:tcW w:w="9350" w:type="dxa"/>
            <w:shd w:val="clear" w:color="auto" w:fill="EBEDF5"/>
          </w:tcPr>
          <w:tbl>
            <w:tblPr>
              <w:tblW w:w="9072" w:type="dxa"/>
              <w:tblLook w:val="04A0" w:firstRow="1" w:lastRow="0" w:firstColumn="1" w:lastColumn="0" w:noHBand="0" w:noVBand="1"/>
            </w:tblPr>
            <w:tblGrid>
              <w:gridCol w:w="990"/>
              <w:gridCol w:w="8082"/>
            </w:tblGrid>
            <w:tr w:rsidR="00D7021D" w:rsidRPr="00A7028F" w14:paraId="243D510F" w14:textId="77777777" w:rsidTr="00D72FDB">
              <w:trPr>
                <w:trHeight w:val="300"/>
              </w:trPr>
              <w:tc>
                <w:tcPr>
                  <w:tcW w:w="990" w:type="dxa"/>
                  <w:shd w:val="clear" w:color="auto" w:fill="auto"/>
                  <w:noWrap/>
                </w:tcPr>
                <w:p w14:paraId="61A6AB9B" w14:textId="77777777" w:rsidR="00D7021D" w:rsidRPr="00A7028F" w:rsidRDefault="00D7021D" w:rsidP="00A84DF7">
                  <w:pPr>
                    <w:pStyle w:val="ReqNo"/>
                    <w:framePr w:wrap="around"/>
                  </w:pPr>
                </w:p>
              </w:tc>
              <w:tc>
                <w:tcPr>
                  <w:tcW w:w="8082" w:type="dxa"/>
                  <w:shd w:val="clear" w:color="auto" w:fill="auto"/>
                </w:tcPr>
                <w:p w14:paraId="5212546A" w14:textId="77777777" w:rsidR="00D7021D" w:rsidRPr="00A7028F" w:rsidRDefault="00D7021D" w:rsidP="00D72FDB">
                  <w:pPr>
                    <w:pStyle w:val="BodyText0"/>
                    <w:framePr w:wrap="around"/>
                  </w:pPr>
                  <w:r w:rsidRPr="00A7028F">
                    <w:t xml:space="preserve">Describe your approach to working and collaborating with the CalSAWS </w:t>
                  </w:r>
                  <w:r>
                    <w:t>M&amp;O</w:t>
                  </w:r>
                  <w:r w:rsidRPr="00A7028F">
                    <w:t xml:space="preserve"> Contractor</w:t>
                  </w:r>
                  <w:r>
                    <w:t>(s)</w:t>
                  </w:r>
                  <w:r w:rsidRPr="00A7028F">
                    <w:t xml:space="preserve"> to perform shared services, such as security, and supporting </w:t>
                  </w:r>
                  <w:r>
                    <w:t>services such as Service Desk, production operations and system performance</w:t>
                  </w:r>
                  <w:r w:rsidRPr="00A7028F">
                    <w:t>.</w:t>
                  </w:r>
                </w:p>
              </w:tc>
            </w:tr>
          </w:tbl>
          <w:p w14:paraId="5F5B6B2A" w14:textId="77777777" w:rsidR="00D7021D" w:rsidRDefault="00D7021D">
            <w:pPr>
              <w:pStyle w:val="BodyText0"/>
              <w:framePr w:hSpace="0" w:wrap="auto" w:vAnchor="margin" w:yAlign="inline"/>
              <w:suppressOverlap w:val="0"/>
            </w:pPr>
          </w:p>
        </w:tc>
      </w:tr>
    </w:tbl>
    <w:p w14:paraId="1C70B441" w14:textId="7C3798D1" w:rsidR="00B91A57" w:rsidRDefault="00BE1066" w:rsidP="00B91A57">
      <w:pPr>
        <w:pStyle w:val="BodyText"/>
      </w:pPr>
      <w:r>
        <w:rPr>
          <w:noProof/>
        </w:rPr>
        <w:drawing>
          <wp:anchor distT="0" distB="0" distL="114300" distR="114300" simplePos="0" relativeHeight="251658257" behindDoc="0" locked="0" layoutInCell="1" allowOverlap="1" wp14:anchorId="5D26EEAE" wp14:editId="5C7F2D39">
            <wp:simplePos x="0" y="0"/>
            <wp:positionH relativeFrom="column">
              <wp:posOffset>3727353</wp:posOffset>
            </wp:positionH>
            <wp:positionV relativeFrom="paragraph">
              <wp:posOffset>1210163</wp:posOffset>
            </wp:positionV>
            <wp:extent cx="2203450" cy="800100"/>
            <wp:effectExtent l="0" t="0" r="6350" b="0"/>
            <wp:wrapSquare wrapText="bothSides"/>
            <wp:docPr id="861092793" name="Picture 1" descr="A logo with a green circl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092793" name="Picture 1" descr="A logo with a green circle and black tex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03450" cy="800100"/>
                    </a:xfrm>
                    <a:prstGeom prst="rect">
                      <a:avLst/>
                    </a:prstGeom>
                    <a:noFill/>
                  </pic:spPr>
                </pic:pic>
              </a:graphicData>
            </a:graphic>
          </wp:anchor>
        </w:drawing>
      </w:r>
      <w:r w:rsidR="00B91A57">
        <w:t>Similar to the coordination with other contractors and the CalSAWS Delivery Integration Team, the key to successful coordination with the</w:t>
      </w:r>
      <w:r w:rsidR="00F15821">
        <w:t xml:space="preserve"> CalSAWS M&amp;E and Infrastructure</w:t>
      </w:r>
      <w:r w:rsidR="00B91A57">
        <w:t xml:space="preserve"> </w:t>
      </w:r>
      <w:r w:rsidR="00ED7712">
        <w:t>c</w:t>
      </w:r>
      <w:r w:rsidR="00B91A57">
        <w:t>ontractor</w:t>
      </w:r>
      <w:r w:rsidR="00F15821">
        <w:t>s</w:t>
      </w:r>
      <w:r w:rsidR="00B91A57">
        <w:t xml:space="preserve"> begins with understanding, leadership, and communication. </w:t>
      </w:r>
      <w:r w:rsidR="00D338C8">
        <w:t>Successful collaboration also requires an</w:t>
      </w:r>
      <w:r w:rsidR="00B91A57">
        <w:t xml:space="preserve"> understanding the </w:t>
      </w:r>
      <w:r w:rsidR="00DB3183">
        <w:t xml:space="preserve">shared services </w:t>
      </w:r>
      <w:r w:rsidR="00B91A57">
        <w:t xml:space="preserve">scope of work and perspectives of the </w:t>
      </w:r>
      <w:r w:rsidR="00DB3183">
        <w:t>other contractors</w:t>
      </w:r>
      <w:r w:rsidR="00B91A57">
        <w:t xml:space="preserve">. </w:t>
      </w:r>
    </w:p>
    <w:p w14:paraId="27B32E8A" w14:textId="488D5908" w:rsidR="00C175DE" w:rsidRDefault="00C175DE" w:rsidP="00F028C0">
      <w:pPr>
        <w:pStyle w:val="BodyText"/>
        <w:keepNext/>
        <w:rPr>
          <w:b/>
          <w:bCs/>
        </w:rPr>
      </w:pPr>
      <w:r>
        <w:rPr>
          <w:b/>
          <w:bCs/>
        </w:rPr>
        <w:lastRenderedPageBreak/>
        <w:t>Approach</w:t>
      </w:r>
    </w:p>
    <w:p w14:paraId="7DDE07A1" w14:textId="4E447AA2" w:rsidR="00930553" w:rsidRDefault="00930553" w:rsidP="00F028C0">
      <w:pPr>
        <w:pStyle w:val="BodyText"/>
        <w:keepNext/>
      </w:pPr>
      <w:r w:rsidRPr="00930553">
        <w:t>There</w:t>
      </w:r>
      <w:r>
        <w:t xml:space="preserve"> are </w:t>
      </w:r>
      <w:r w:rsidR="00A1286E">
        <w:t>several</w:t>
      </w:r>
      <w:r>
        <w:t xml:space="preserve"> techniques for working and collaborating with the CalSAWS M&amp;O Contractors</w:t>
      </w:r>
      <w:r w:rsidR="00A1286E">
        <w:t>,</w:t>
      </w:r>
      <w:r>
        <w:t xml:space="preserve"> such as those shown on the following figure.</w:t>
      </w:r>
    </w:p>
    <w:p w14:paraId="1FB70CDD" w14:textId="3BD44347" w:rsidR="008C0D65" w:rsidRPr="006B1731" w:rsidRDefault="008C0D65" w:rsidP="004339C5">
      <w:pPr>
        <w:pStyle w:val="FigureCaptionAuto"/>
      </w:pPr>
      <w:r w:rsidRPr="008C0D65">
        <w:t xml:space="preserve"> </w:t>
      </w:r>
      <w:bookmarkStart w:id="35" w:name="_Toc173187514"/>
      <w:r>
        <w:t>Collaboration Techniques</w:t>
      </w:r>
      <w:bookmarkEnd w:id="35"/>
    </w:p>
    <w:p w14:paraId="1AA75195" w14:textId="5925CDBD" w:rsidR="007E2633" w:rsidRDefault="004D46CB" w:rsidP="00B91A57">
      <w:pPr>
        <w:pStyle w:val="BodyText"/>
      </w:pPr>
      <w:r>
        <w:rPr>
          <w:noProof/>
        </w:rPr>
        <mc:AlternateContent>
          <mc:Choice Requires="wps">
            <w:drawing>
              <wp:anchor distT="0" distB="0" distL="114300" distR="114300" simplePos="0" relativeHeight="251658254" behindDoc="0" locked="0" layoutInCell="1" allowOverlap="1" wp14:anchorId="18ABD30C" wp14:editId="138C808A">
                <wp:simplePos x="0" y="0"/>
                <wp:positionH relativeFrom="column">
                  <wp:posOffset>1309370</wp:posOffset>
                </wp:positionH>
                <wp:positionV relativeFrom="paragraph">
                  <wp:posOffset>1556103</wp:posOffset>
                </wp:positionV>
                <wp:extent cx="3152442" cy="1029335"/>
                <wp:effectExtent l="0" t="0" r="0" b="5080"/>
                <wp:wrapNone/>
                <wp:docPr id="1347671538" name="Text Box 1"/>
                <wp:cNvGraphicFramePr/>
                <a:graphic xmlns:a="http://schemas.openxmlformats.org/drawingml/2006/main">
                  <a:graphicData uri="http://schemas.microsoft.com/office/word/2010/wordprocessingShape">
                    <wps:wsp>
                      <wps:cNvSpPr txBox="1"/>
                      <wps:spPr>
                        <a:xfrm>
                          <a:off x="0" y="0"/>
                          <a:ext cx="3152442" cy="1029335"/>
                        </a:xfrm>
                        <a:prstGeom prst="rect">
                          <a:avLst/>
                        </a:prstGeom>
                        <a:noFill/>
                        <a:ln>
                          <a:noFill/>
                        </a:ln>
                      </wps:spPr>
                      <wps:txbx>
                        <w:txbxContent>
                          <w:p w14:paraId="6EC1974A" w14:textId="77777777" w:rsidR="00C175DE" w:rsidRPr="00C175DE" w:rsidRDefault="00C175DE" w:rsidP="00C175DE">
                            <w:pPr>
                              <w:jc w:val="center"/>
                              <w:rPr>
                                <w:bCs/>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175DE">
                              <w:rPr>
                                <w:bCs/>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Multi-Contractor Collaboration Techniques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8ABD30C" id="_x0000_t202" coordsize="21600,21600" o:spt="202" path="m,l,21600r21600,l21600,xe">
                <v:stroke joinstyle="miter"/>
                <v:path gradientshapeok="t" o:connecttype="rect"/>
              </v:shapetype>
              <v:shape id="Text Box 1" o:spid="_x0000_s1026" type="#_x0000_t202" style="position:absolute;margin-left:103.1pt;margin-top:122.55pt;width:248.2pt;height:81.05pt;z-index:25165825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" filled="f" stroked="f">
                <v:textbox style="mso-fit-shape-to-text:t">
                  <w:txbxContent>
                    <w:p w14:paraId="6EC1974A" w14:textId="77777777" w:rsidR="00C175DE" w:rsidRPr="00C175DE" w:rsidRDefault="00C175DE" w:rsidP="00C175DE">
                      <w:pPr>
                        <w:jc w:val="center"/>
                        <w:rPr>
                          <w:bCs/>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175DE">
                        <w:rPr>
                          <w:bCs/>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Multi-Contractor Collaboration Techniques</w:t>
                      </w:r>
                    </w:p>
                  </w:txbxContent>
                </v:textbox>
              </v:shape>
            </w:pict>
          </mc:Fallback>
        </mc:AlternateContent>
      </w:r>
      <w:r w:rsidR="00930553">
        <w:rPr>
          <w:noProof/>
          <w14:ligatures w14:val="standardContextual"/>
        </w:rPr>
        <w:drawing>
          <wp:inline distT="0" distB="0" distL="0" distR="0" wp14:anchorId="76AEDA1B" wp14:editId="4A6AFAE3">
            <wp:extent cx="5767754" cy="4265335"/>
            <wp:effectExtent l="0" t="0" r="0" b="20955"/>
            <wp:docPr id="13922537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14:paraId="34E96115" w14:textId="63A611B6" w:rsidR="008C4DF3" w:rsidRPr="008C4DF3" w:rsidRDefault="008C4DF3" w:rsidP="008C4DF3">
      <w:pPr>
        <w:pStyle w:val="BodyText"/>
      </w:pPr>
      <w:r>
        <w:t>Each of these multi-contractor collaboration techniques is further described in the following paragraphs.</w:t>
      </w:r>
    </w:p>
    <w:p w14:paraId="61230A45" w14:textId="3A2CDA9E" w:rsidR="006C6431" w:rsidRDefault="006A524E" w:rsidP="006A524E">
      <w:pPr>
        <w:pStyle w:val="Subheading"/>
      </w:pPr>
      <w:r>
        <w:t xml:space="preserve">1. </w:t>
      </w:r>
      <w:r w:rsidR="00C175DE" w:rsidRPr="006C6431">
        <w:t>Define Roles and Responsibilities</w:t>
      </w:r>
      <w:r w:rsidR="006C6431" w:rsidRPr="006C6431">
        <w:t xml:space="preserve"> </w:t>
      </w:r>
    </w:p>
    <w:p w14:paraId="1721C0AE" w14:textId="342166C7" w:rsidR="00D50415" w:rsidRDefault="00E51DC9" w:rsidP="006C6431">
      <w:pPr>
        <w:pStyle w:val="BodyText"/>
      </w:pPr>
      <w:r w:rsidRPr="53870BFB">
        <w:t>Problem avoidance begins with understanding the scope of work</w:t>
      </w:r>
      <w:r>
        <w:t xml:space="preserve">, roles and responsibilities </w:t>
      </w:r>
      <w:r w:rsidRPr="53870BFB">
        <w:t xml:space="preserve">and perspectives of the </w:t>
      </w:r>
      <w:r>
        <w:t xml:space="preserve">other </w:t>
      </w:r>
      <w:r w:rsidR="00EE568B">
        <w:t>c</w:t>
      </w:r>
      <w:r w:rsidRPr="53870BFB">
        <w:t>ontractor</w:t>
      </w:r>
      <w:r>
        <w:t>s</w:t>
      </w:r>
      <w:r w:rsidRPr="53870BFB">
        <w:t xml:space="preserve">. </w:t>
      </w:r>
      <w:r>
        <w:t xml:space="preserve">This involves creating or updating existing roles and responsibilities documentation, creating a RACI chart and participating in reviews of </w:t>
      </w:r>
      <w:r w:rsidR="002004E0">
        <w:t xml:space="preserve">deliverables that </w:t>
      </w:r>
      <w:r w:rsidR="0014460F">
        <w:t xml:space="preserve">document </w:t>
      </w:r>
      <w:r w:rsidR="00D50415">
        <w:t>cross contractor processes such as the various Service Plans.</w:t>
      </w:r>
    </w:p>
    <w:p w14:paraId="792E994F" w14:textId="1D606C26" w:rsidR="008D168F" w:rsidRDefault="006C6431" w:rsidP="006C6431">
      <w:pPr>
        <w:pStyle w:val="BodyText"/>
      </w:pPr>
      <w:r>
        <w:t xml:space="preserve">Our Gainwell Leadership team works closely with the CalSAWS M&amp;E and Infrastructure Delivery Integration Managers and the entire CalSAWS Delivery Integration Team to create a mutual understanding of the scope and </w:t>
      </w:r>
      <w:r w:rsidR="00FF277A">
        <w:t>roles and responsibilities</w:t>
      </w:r>
      <w:r>
        <w:t xml:space="preserve"> related to ongoing operations.</w:t>
      </w:r>
    </w:p>
    <w:p w14:paraId="69071B20" w14:textId="020E62F3" w:rsidR="00C513DB" w:rsidRPr="00C513DB" w:rsidRDefault="006A524E" w:rsidP="006A524E">
      <w:pPr>
        <w:pStyle w:val="Subheading"/>
      </w:pPr>
      <w:r>
        <w:lastRenderedPageBreak/>
        <w:t xml:space="preserve">2. </w:t>
      </w:r>
      <w:r w:rsidR="00C175DE" w:rsidRPr="00C513DB">
        <w:t>Establish Clear Communication Channels</w:t>
      </w:r>
      <w:r w:rsidR="00A13098" w:rsidRPr="00C513DB">
        <w:t xml:space="preserve"> </w:t>
      </w:r>
    </w:p>
    <w:p w14:paraId="430F32BF" w14:textId="7F17823A" w:rsidR="008F5655" w:rsidRDefault="00571F7D" w:rsidP="000F6384">
      <w:pPr>
        <w:pStyle w:val="BodyText"/>
      </w:pPr>
      <w:r>
        <w:t>Communication is key in multi-</w:t>
      </w:r>
      <w:r w:rsidR="00110713">
        <w:t>contractor</w:t>
      </w:r>
      <w:r>
        <w:t xml:space="preserve"> environments. To help foster solid communication, communication channels should be </w:t>
      </w:r>
      <w:r w:rsidR="005A01EC">
        <w:t>enabled</w:t>
      </w:r>
      <w:r>
        <w:t xml:space="preserve"> including </w:t>
      </w:r>
      <w:r w:rsidR="00110713">
        <w:t xml:space="preserve">standard collaboration tools. </w:t>
      </w:r>
      <w:r w:rsidR="008F5655">
        <w:t>Appropriate tools that are easy to access across Contractors increase the frequency of communication. For example, enabling Microsoft Teams chat across organizations allows individuals to reach out with questions or request clarifications in real time. Collaboration boards for situations in which idea generation is needed can also be effective ways to increase communication</w:t>
      </w:r>
    </w:p>
    <w:p w14:paraId="6AF5DA7A" w14:textId="2567CE98" w:rsidR="00C513DB" w:rsidRDefault="00110713" w:rsidP="000F6384">
      <w:pPr>
        <w:pStyle w:val="BodyText"/>
      </w:pPr>
      <w:r>
        <w:t>A regular meeting cadence should be established with joint meetings for planning or problem solving calendared as needed</w:t>
      </w:r>
      <w:r w:rsidR="007217C3">
        <w:t xml:space="preserve">. </w:t>
      </w:r>
      <w:r>
        <w:t xml:space="preserve">The established goal should be to </w:t>
      </w:r>
      <w:r w:rsidR="005A01EC">
        <w:t>promote prompt, accurate and effective information exchange while fostering mutual understanding.</w:t>
      </w:r>
      <w:r w:rsidR="000F6384">
        <w:t xml:space="preserve"> </w:t>
      </w:r>
    </w:p>
    <w:p w14:paraId="6BE1632D" w14:textId="43EBF0D2" w:rsidR="00FD7A58" w:rsidRDefault="00341FED" w:rsidP="00B91A57">
      <w:pPr>
        <w:pStyle w:val="BodyText"/>
      </w:pPr>
      <w:r>
        <w:rPr>
          <w:noProof/>
          <w14:ligatures w14:val="standardContextual"/>
        </w:rPr>
        <w:drawing>
          <wp:anchor distT="0" distB="0" distL="114300" distR="114300" simplePos="0" relativeHeight="251658258" behindDoc="0" locked="0" layoutInCell="1" allowOverlap="1" wp14:anchorId="44855E98" wp14:editId="306E3D3F">
            <wp:simplePos x="0" y="0"/>
            <wp:positionH relativeFrom="margin">
              <wp:align>left</wp:align>
            </wp:positionH>
            <wp:positionV relativeFrom="paragraph">
              <wp:posOffset>401592</wp:posOffset>
            </wp:positionV>
            <wp:extent cx="2374900" cy="1583055"/>
            <wp:effectExtent l="0" t="0" r="6350" b="0"/>
            <wp:wrapSquare wrapText="bothSides"/>
            <wp:docPr id="2024235533" name="Picture 6" descr="A group of people sitting around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35533" name="Picture 6" descr="A group of people sitting around a tabl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74900" cy="1583055"/>
                    </a:xfrm>
                    <a:prstGeom prst="rect">
                      <a:avLst/>
                    </a:prstGeom>
                  </pic:spPr>
                </pic:pic>
              </a:graphicData>
            </a:graphic>
            <wp14:sizeRelH relativeFrom="page">
              <wp14:pctWidth>0</wp14:pctWidth>
            </wp14:sizeRelH>
            <wp14:sizeRelV relativeFrom="page">
              <wp14:pctHeight>0</wp14:pctHeight>
            </wp14:sizeRelV>
          </wp:anchor>
        </w:drawing>
      </w:r>
      <w:r w:rsidR="000F6384">
        <w:t xml:space="preserve">Cross-contractor meetings play a role in preventing misunderstandings. </w:t>
      </w:r>
      <w:r w:rsidR="00FD7A58">
        <w:t xml:space="preserve">Increased communication among involved contractors creates mutual understanding of upcoming work and sets expectations among the parties. </w:t>
      </w:r>
      <w:r w:rsidR="000F6384">
        <w:t xml:space="preserve">For example, Gainwell and Accenture have a weekly touchpoint call to discuss upcoming correspondence projects and print calendars, answer questions, and address concerns. These cross-contractor meetings create a mutual understanding of the upcoming work and set expectations between the parties. </w:t>
      </w:r>
    </w:p>
    <w:p w14:paraId="192B6BC3" w14:textId="5AC7103B" w:rsidR="00C175DE" w:rsidRDefault="00FD7A58" w:rsidP="00B91A57">
      <w:pPr>
        <w:pStyle w:val="BodyText"/>
      </w:pPr>
      <w:r>
        <w:t>Regular Delivery Integrations meetings increase communication across all parties. These meetings, focused on integrating service, provide a forum to identify touchpoints, concerns, misunderstandings, and expectations</w:t>
      </w:r>
      <w:r w:rsidR="000F6384">
        <w:t>.</w:t>
      </w:r>
    </w:p>
    <w:p w14:paraId="57113CDA" w14:textId="0F6B451F" w:rsidR="004F1EAF" w:rsidRDefault="004F1EAF" w:rsidP="004F1EAF">
      <w:pPr>
        <w:pStyle w:val="BodyText"/>
      </w:pPr>
      <w:r>
        <w:t xml:space="preserve">When multiple parties work together, </w:t>
      </w:r>
      <w:r w:rsidR="008D433D">
        <w:t>miscommunications happen</w:t>
      </w:r>
      <w:r>
        <w:t xml:space="preserve">. </w:t>
      </w:r>
      <w:r w:rsidR="008D433D">
        <w:t xml:space="preserve">Miscommunication </w:t>
      </w:r>
      <w:r>
        <w:t xml:space="preserve">exists among individuals in the same organization but becomes a </w:t>
      </w:r>
      <w:r w:rsidR="003773C3">
        <w:t xml:space="preserve">greater problem </w:t>
      </w:r>
      <w:r>
        <w:t>when the communication crosses organizations. In the cross-organization situation, additional factors apply, such as organizational culture, preconceptions about the work involved or each party’s role, and standard terminology.</w:t>
      </w:r>
      <w:r w:rsidR="003773C3">
        <w:t xml:space="preserve"> To reduce the number of miscommunications with other </w:t>
      </w:r>
      <w:r w:rsidR="008137D3">
        <w:t>c</w:t>
      </w:r>
      <w:r w:rsidR="003773C3">
        <w:t>ontractors, Gainwell staff members frequently involved in cross-contractor communications are required to take courses to increase communication effectiveness. Additional coursework is also available to all Gainwell staff to improve their communication skills.</w:t>
      </w:r>
    </w:p>
    <w:p w14:paraId="43D63DC6" w14:textId="77777777" w:rsidR="00F028C0" w:rsidRDefault="00F028C0">
      <w:pPr>
        <w:spacing w:after="160" w:line="259" w:lineRule="auto"/>
        <w:rPr>
          <w:b/>
          <w:color w:val="2B3A44"/>
        </w:rPr>
      </w:pPr>
      <w:r>
        <w:br w:type="page"/>
      </w:r>
    </w:p>
    <w:p w14:paraId="07EC2E8D" w14:textId="1F7B39CA" w:rsidR="00C513DB" w:rsidRDefault="006A524E" w:rsidP="006A524E">
      <w:pPr>
        <w:pStyle w:val="Subheading"/>
      </w:pPr>
      <w:r>
        <w:lastRenderedPageBreak/>
        <w:t xml:space="preserve">3. </w:t>
      </w:r>
      <w:r w:rsidR="00C175DE" w:rsidRPr="00C513DB">
        <w:t>Define Touchpoints and Handoffs</w:t>
      </w:r>
      <w:r w:rsidR="00DD3398">
        <w:t xml:space="preserve"> </w:t>
      </w:r>
    </w:p>
    <w:p w14:paraId="03D2C7C1" w14:textId="6EF800E7" w:rsidR="00C513DB" w:rsidRDefault="00FD03AE" w:rsidP="00F028C0">
      <w:pPr>
        <w:pStyle w:val="BodyText"/>
        <w:keepNext/>
        <w:tabs>
          <w:tab w:val="left" w:pos="180"/>
        </w:tabs>
        <w:spacing w:before="200"/>
        <w:ind w:left="180" w:right="3870"/>
      </w:pPr>
      <w:r>
        <w:rPr>
          <w:noProof/>
          <w14:ligatures w14:val="standardContextual"/>
        </w:rPr>
        <w:drawing>
          <wp:anchor distT="0" distB="0" distL="114300" distR="114300" simplePos="0" relativeHeight="251658240" behindDoc="1" locked="0" layoutInCell="1" allowOverlap="1" wp14:anchorId="22D37042" wp14:editId="688EDCBE">
            <wp:simplePos x="0" y="0"/>
            <wp:positionH relativeFrom="margin">
              <wp:align>right</wp:align>
            </wp:positionH>
            <wp:positionV relativeFrom="paragraph">
              <wp:posOffset>32468</wp:posOffset>
            </wp:positionV>
            <wp:extent cx="5941585" cy="1638875"/>
            <wp:effectExtent l="0" t="0" r="2540" b="0"/>
            <wp:wrapNone/>
            <wp:docPr id="89377433" name="Picture 7" descr="A person and person kiss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7433" name="Picture 7" descr="A person and person kissing&#10;&#10;Description automatically generated"/>
                    <pic:cNvPicPr/>
                  </pic:nvPicPr>
                  <pic:blipFill>
                    <a:blip r:embed="rId39" cstate="print">
                      <a:alphaModFix amt="46000"/>
                      <a:extLst>
                        <a:ext uri="{28A0092B-C50C-407E-A947-70E740481C1C}">
                          <a14:useLocalDpi xmlns:a14="http://schemas.microsoft.com/office/drawing/2010/main" val="0"/>
                        </a:ext>
                      </a:extLst>
                    </a:blip>
                    <a:stretch>
                      <a:fillRect/>
                    </a:stretch>
                  </pic:blipFill>
                  <pic:spPr>
                    <a:xfrm>
                      <a:off x="0" y="0"/>
                      <a:ext cx="5941585" cy="1638875"/>
                    </a:xfrm>
                    <a:prstGeom prst="rect">
                      <a:avLst/>
                    </a:prstGeom>
                  </pic:spPr>
                </pic:pic>
              </a:graphicData>
            </a:graphic>
            <wp14:sizeRelH relativeFrom="page">
              <wp14:pctWidth>0</wp14:pctWidth>
            </wp14:sizeRelH>
            <wp14:sizeRelV relativeFrom="page">
              <wp14:pctHeight>0</wp14:pctHeight>
            </wp14:sizeRelV>
          </wp:anchor>
        </w:drawing>
      </w:r>
      <w:r w:rsidR="00DD3398">
        <w:t xml:space="preserve">During development of the BenefitsCal Services Plan and OWDs, we identify touchpoints and handoffs to perform shared services, such as security, with the CalSAWS M&amp;E and Infrastructure </w:t>
      </w:r>
      <w:r w:rsidR="00A94900">
        <w:t>c</w:t>
      </w:r>
      <w:r w:rsidR="00DD3398" w:rsidDel="003A06A4">
        <w:t>ontractor</w:t>
      </w:r>
      <w:r w:rsidR="00DD3398">
        <w:t xml:space="preserve">s. We also define the touchpoints and handoffs for supporting services such as the Service Desk, production operations, and system performance. </w:t>
      </w:r>
    </w:p>
    <w:p w14:paraId="64D644E5" w14:textId="75D4602D" w:rsidR="00C175DE" w:rsidRPr="00C513DB" w:rsidRDefault="00DD3398" w:rsidP="00B91A57">
      <w:pPr>
        <w:pStyle w:val="BodyText"/>
      </w:pPr>
      <w:r>
        <w:t>We used this technique successfully in our role as a subcontractor to Accenture for CalSAWS ongoing operations. In this role, we have specific responsibilities, such as providing the CalSAWS Service Desk, that result in touchpoints and handoffs with the Accenture team. Similarly in our role as the Central Print Contractor, we have identified touchpoints with Accenture in our ongoing processes. For example, the notification process includes the expectations of each party related to when and how a delay in print file generation will be communicated.</w:t>
      </w:r>
      <w:r w:rsidR="006C6431">
        <w:t xml:space="preserve"> </w:t>
      </w:r>
    </w:p>
    <w:p w14:paraId="6B73CDB1" w14:textId="54353317" w:rsidR="00C175DE" w:rsidRPr="00C513DB" w:rsidRDefault="006A524E" w:rsidP="006A524E">
      <w:pPr>
        <w:pStyle w:val="Subheading"/>
      </w:pPr>
      <w:r>
        <w:t xml:space="preserve">4. </w:t>
      </w:r>
      <w:r w:rsidR="00C175DE" w:rsidRPr="00C513DB">
        <w:t>Define Governance and Escalation Procedures</w:t>
      </w:r>
      <w:r w:rsidR="00A60325">
        <w:t xml:space="preserve"> </w:t>
      </w:r>
    </w:p>
    <w:p w14:paraId="50532674" w14:textId="7B5AD26C" w:rsidR="00A60325" w:rsidRDefault="00A60325" w:rsidP="00194FBF">
      <w:pPr>
        <w:pStyle w:val="BodyText"/>
      </w:pPr>
      <w:r>
        <w:t xml:space="preserve">Each Contractor should participate in the defined governance process for resolving situations that may arise between the parties. This governance process should have governance levels that include the involved </w:t>
      </w:r>
      <w:r w:rsidR="00A94900">
        <w:t>c</w:t>
      </w:r>
      <w:r>
        <w:t>ontractors only and governance levels that include the Consortium starting with the Delivery Integration Team</w:t>
      </w:r>
      <w:r w:rsidR="00606D4A">
        <w:t xml:space="preserve">. </w:t>
      </w:r>
    </w:p>
    <w:p w14:paraId="053E6764" w14:textId="57F55091" w:rsidR="001020A3" w:rsidRDefault="001020A3" w:rsidP="00194FBF">
      <w:pPr>
        <w:pStyle w:val="BodyText"/>
      </w:pPr>
      <w:r>
        <w:t>The Consortium has comprehensive governance processes</w:t>
      </w:r>
      <w:r w:rsidR="00456622">
        <w:t xml:space="preserve"> for managing the CalSAWS Project</w:t>
      </w:r>
      <w:r w:rsidR="005036BF">
        <w:t xml:space="preserve">. </w:t>
      </w:r>
      <w:r w:rsidR="005B2582">
        <w:t xml:space="preserve">By clarifying the governance and escalation path for cross contractor concerns through introduction of the Delivery Integration </w:t>
      </w:r>
      <w:r w:rsidR="008E1D4D">
        <w:t>T</w:t>
      </w:r>
      <w:r w:rsidR="005B2582">
        <w:t xml:space="preserve">eam, the proper process for resolving issues is available to all </w:t>
      </w:r>
      <w:r w:rsidR="001C3FEA">
        <w:t>c</w:t>
      </w:r>
      <w:r w:rsidR="005B2582">
        <w:t xml:space="preserve">ontractors </w:t>
      </w:r>
      <w:r w:rsidR="00DA477C">
        <w:t xml:space="preserve">comprising the CalSAWS </w:t>
      </w:r>
      <w:r w:rsidR="001C3FEA">
        <w:t>c</w:t>
      </w:r>
      <w:r w:rsidR="00DA477C">
        <w:t>ontractor ecosystem.</w:t>
      </w:r>
    </w:p>
    <w:p w14:paraId="0A53802E" w14:textId="719B85FE" w:rsidR="00C513DB" w:rsidRDefault="006A524E" w:rsidP="006A524E">
      <w:pPr>
        <w:pStyle w:val="Subheading"/>
      </w:pPr>
      <w:r>
        <w:t xml:space="preserve">5. </w:t>
      </w:r>
      <w:r w:rsidR="00C175DE" w:rsidRPr="00C513DB">
        <w:t>Standardize Processes When Applicable</w:t>
      </w:r>
      <w:r w:rsidR="005A01EC">
        <w:t xml:space="preserve"> </w:t>
      </w:r>
    </w:p>
    <w:p w14:paraId="18EA7E83" w14:textId="4FAA835F" w:rsidR="00D30D4A" w:rsidRDefault="000C0EA0" w:rsidP="00B91A57">
      <w:pPr>
        <w:pStyle w:val="BodyText"/>
      </w:pPr>
      <w:r>
        <w:t>To promote efficiency, create a common language, set expectation</w:t>
      </w:r>
      <w:r w:rsidR="002F26CE">
        <w:t>s,</w:t>
      </w:r>
      <w:r>
        <w:t xml:space="preserve"> and reduce errors, standardized processes should be employed across the contractors</w:t>
      </w:r>
      <w:r w:rsidR="00482789">
        <w:t xml:space="preserve">. </w:t>
      </w:r>
      <w:r>
        <w:t xml:space="preserve">Examples of standardized processes include onboarding, </w:t>
      </w:r>
      <w:r w:rsidR="00482789">
        <w:t>risk,</w:t>
      </w:r>
      <w:r>
        <w:t xml:space="preserve"> and issue management</w:t>
      </w:r>
      <w:r w:rsidR="005A441F">
        <w:t xml:space="preserve"> and other PMO processes</w:t>
      </w:r>
      <w:r w:rsidR="00E01FFC">
        <w:t xml:space="preserve">. </w:t>
      </w:r>
      <w:r w:rsidR="001A53D1">
        <w:t xml:space="preserve">Other standardized processes should be identified to </w:t>
      </w:r>
      <w:r w:rsidR="00F606B3">
        <w:t>prevent missed expectations</w:t>
      </w:r>
      <w:r w:rsidR="00446A57">
        <w:t xml:space="preserve"> such as incident management</w:t>
      </w:r>
      <w:r w:rsidR="008B2122">
        <w:t xml:space="preserve"> and problem management</w:t>
      </w:r>
      <w:r w:rsidR="00C95DFC">
        <w:t xml:space="preserve">. </w:t>
      </w:r>
    </w:p>
    <w:p w14:paraId="32A8D525" w14:textId="5F8ACB3F" w:rsidR="00C175DE" w:rsidRDefault="00696A4C" w:rsidP="00B91A57">
      <w:pPr>
        <w:pStyle w:val="BodyText"/>
      </w:pPr>
      <w:r>
        <w:t xml:space="preserve">The Consortium has set the use of CalSAWS processes as a goal for the </w:t>
      </w:r>
      <w:r w:rsidR="00645195">
        <w:t>contractors</w:t>
      </w:r>
      <w:r w:rsidR="006E4A72">
        <w:t xml:space="preserve"> </w:t>
      </w:r>
      <w:r w:rsidR="009E4ABD">
        <w:t>particularly in the area of PMO, Delivery Integration</w:t>
      </w:r>
      <w:r w:rsidR="00AF252C">
        <w:t>,</w:t>
      </w:r>
      <w:r w:rsidR="009E4ABD">
        <w:t xml:space="preserve"> and SCR processes.</w:t>
      </w:r>
    </w:p>
    <w:p w14:paraId="6378F984" w14:textId="77777777" w:rsidR="00D25221" w:rsidRDefault="00D25221">
      <w:pPr>
        <w:spacing w:after="160" w:line="259" w:lineRule="auto"/>
        <w:rPr>
          <w:b/>
          <w:color w:val="2B3A44"/>
        </w:rPr>
      </w:pPr>
      <w:r>
        <w:br w:type="page"/>
      </w:r>
    </w:p>
    <w:p w14:paraId="47C8FF2C" w14:textId="4E2A4128" w:rsidR="00D30D4A" w:rsidRPr="001C3FEA" w:rsidRDefault="00437CC4" w:rsidP="006A524E">
      <w:pPr>
        <w:pStyle w:val="Subheading"/>
      </w:pPr>
      <w:r>
        <w:rPr>
          <w:noProof/>
          <w14:ligatures w14:val="standardContextual"/>
        </w:rPr>
        <w:lastRenderedPageBreak/>
        <w:drawing>
          <wp:anchor distT="0" distB="0" distL="114300" distR="114300" simplePos="0" relativeHeight="251658259" behindDoc="1" locked="0" layoutInCell="1" allowOverlap="1" wp14:anchorId="40C25878" wp14:editId="79B9A35D">
            <wp:simplePos x="0" y="0"/>
            <wp:positionH relativeFrom="column">
              <wp:posOffset>-43815</wp:posOffset>
            </wp:positionH>
            <wp:positionV relativeFrom="paragraph">
              <wp:posOffset>256003</wp:posOffset>
            </wp:positionV>
            <wp:extent cx="5943600" cy="2633345"/>
            <wp:effectExtent l="0" t="0" r="0" b="0"/>
            <wp:wrapNone/>
            <wp:docPr id="918251284" name="Picture 8" descr="A person sitting at a desk with a person in front of 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51284" name="Picture 8" descr="A person sitting at a desk with a person in front of her&#10;&#10;Description automatically generated"/>
                    <pic:cNvPicPr/>
                  </pic:nvPicPr>
                  <pic:blipFill>
                    <a:blip r:embed="rId40" cstate="print">
                      <a:alphaModFix amt="70000"/>
                      <a:extLst>
                        <a:ext uri="{28A0092B-C50C-407E-A947-70E740481C1C}">
                          <a14:useLocalDpi xmlns:a14="http://schemas.microsoft.com/office/drawing/2010/main" val="0"/>
                        </a:ext>
                      </a:extLst>
                    </a:blip>
                    <a:stretch>
                      <a:fillRect/>
                    </a:stretch>
                  </pic:blipFill>
                  <pic:spPr>
                    <a:xfrm>
                      <a:off x="0" y="0"/>
                      <a:ext cx="5943600" cy="2633345"/>
                    </a:xfrm>
                    <a:prstGeom prst="rect">
                      <a:avLst/>
                    </a:prstGeom>
                  </pic:spPr>
                </pic:pic>
              </a:graphicData>
            </a:graphic>
          </wp:anchor>
        </w:drawing>
      </w:r>
      <w:r w:rsidR="006A524E">
        <w:t xml:space="preserve">6. </w:t>
      </w:r>
      <w:r w:rsidR="00C175DE" w:rsidRPr="001C3FEA">
        <w:t>Build Solid Relationships</w:t>
      </w:r>
      <w:r w:rsidR="008B2122" w:rsidRPr="001C3FEA">
        <w:t xml:space="preserve"> </w:t>
      </w:r>
    </w:p>
    <w:p w14:paraId="57ADE1F5" w14:textId="0143BFAE" w:rsidR="00D30D4A" w:rsidRDefault="008B2122" w:rsidP="00D25221">
      <w:pPr>
        <w:pStyle w:val="BodyText"/>
        <w:spacing w:before="360"/>
        <w:ind w:left="5760" w:right="187"/>
      </w:pPr>
      <w:r>
        <w:t>Fostering solid relationships between the contractors</w:t>
      </w:r>
      <w:r w:rsidR="009738FF">
        <w:t xml:space="preserve"> </w:t>
      </w:r>
      <w:r w:rsidR="00850E5A">
        <w:t>creates</w:t>
      </w:r>
      <w:r w:rsidR="003A23CC">
        <w:t xml:space="preserve"> a</w:t>
      </w:r>
      <w:r w:rsidR="00850E5A">
        <w:t xml:space="preserve"> </w:t>
      </w:r>
      <w:r w:rsidR="00CC433B">
        <w:t>culture</w:t>
      </w:r>
      <w:r w:rsidR="00850E5A">
        <w:t xml:space="preserve"> of </w:t>
      </w:r>
      <w:r w:rsidR="006B2C09">
        <w:t>collaboration and mutual understanding</w:t>
      </w:r>
      <w:r w:rsidR="00C95DFC">
        <w:t xml:space="preserve">. </w:t>
      </w:r>
      <w:r w:rsidR="008C7092">
        <w:t>By sharing relevant information and addressing concerns promptly</w:t>
      </w:r>
      <w:r w:rsidR="00D961AB">
        <w:t xml:space="preserve">, </w:t>
      </w:r>
      <w:r w:rsidR="00CC433B">
        <w:t>an</w:t>
      </w:r>
      <w:r w:rsidR="00D961AB">
        <w:t xml:space="preserve"> environment can be created where contractors are able to resolve issues through their relationships before they escalate. </w:t>
      </w:r>
    </w:p>
    <w:p w14:paraId="020F1524" w14:textId="77777777" w:rsidR="00D25221" w:rsidRDefault="00D25221" w:rsidP="00437CC4">
      <w:pPr>
        <w:pStyle w:val="BodyText"/>
        <w:keepNext/>
        <w:keepLines/>
      </w:pPr>
    </w:p>
    <w:p w14:paraId="6237983C" w14:textId="33092CF9" w:rsidR="00E81F62" w:rsidRPr="008B2122" w:rsidRDefault="006C6431" w:rsidP="00437CC4">
      <w:pPr>
        <w:pStyle w:val="BodyText"/>
        <w:keepNext/>
        <w:keepLines/>
      </w:pPr>
      <w:r>
        <w:t xml:space="preserve">We also designate members of our leadership team who coordinate with designated </w:t>
      </w:r>
      <w:r w:rsidR="00D30D4A">
        <w:t>CalSAWS M&amp;E and Infrastructure</w:t>
      </w:r>
      <w:r>
        <w:t xml:space="preserve"> </w:t>
      </w:r>
      <w:r w:rsidR="007E2D7D">
        <w:t>c</w:t>
      </w:r>
      <w:r>
        <w:t xml:space="preserve">ontractor staff. For example, our Security Manager is expected to meet regularly with the </w:t>
      </w:r>
      <w:r w:rsidR="00D30D4A">
        <w:t>other contractor</w:t>
      </w:r>
      <w:r>
        <w:t xml:space="preserve"> Security Manager</w:t>
      </w:r>
      <w:r w:rsidR="00D30D4A">
        <w:t>s</w:t>
      </w:r>
      <w:r>
        <w:t xml:space="preserve"> to discuss areas such as security enhancements, security incidents, and security monitoring findings. Similarly, our Application Manager coordinates with the Infrastructure Service Desk Lead to, for example, discuss Tier 3 process improvements or provide information to assist Service Desk analysts with first call resolution.</w:t>
      </w:r>
    </w:p>
    <w:p w14:paraId="729AA9DB" w14:textId="27C7109C" w:rsidR="00874945" w:rsidRDefault="00874945" w:rsidP="00874945">
      <w:pPr>
        <w:pStyle w:val="BodyText"/>
        <w:rPr>
          <w:sz w:val="18"/>
          <w:szCs w:val="18"/>
        </w:rPr>
      </w:pPr>
      <w:r>
        <w:t xml:space="preserve">The following figure </w:t>
      </w:r>
      <w:r w:rsidR="008249F5">
        <w:t>includes</w:t>
      </w:r>
      <w:r>
        <w:t xml:space="preserve"> an identified goal of the Delivery Integration </w:t>
      </w:r>
      <w:r w:rsidR="008E1D4D">
        <w:t>T</w:t>
      </w:r>
      <w:r>
        <w:t>eam related to cross contractor collaboration and successful ongoing delivery</w:t>
      </w:r>
      <w:r w:rsidR="00E01FFC">
        <w:t xml:space="preserve">. </w:t>
      </w:r>
      <w:r>
        <w:t>Similar to the SCR related goals and actions</w:t>
      </w:r>
      <w:r w:rsidR="009A2BDF">
        <w:t xml:space="preserve"> in the previous section</w:t>
      </w:r>
      <w:r>
        <w:t xml:space="preserve">, the right side of the diagram lists potential actions that could be taken in collaboration with the Consortium and the other </w:t>
      </w:r>
      <w:r w:rsidR="008249F5">
        <w:t>c</w:t>
      </w:r>
      <w:r>
        <w:t>ontractors to help achieve collaborative cross contractor interactions.</w:t>
      </w:r>
    </w:p>
    <w:p w14:paraId="4B197260" w14:textId="56241CE6" w:rsidR="005D514C" w:rsidRPr="006B1731" w:rsidRDefault="005D514C" w:rsidP="004339C5">
      <w:pPr>
        <w:pStyle w:val="FigureCaptionAuto"/>
      </w:pPr>
      <w:bookmarkStart w:id="36" w:name="_Toc173187515"/>
      <w:r>
        <w:lastRenderedPageBreak/>
        <w:t xml:space="preserve">Delivery Integration Team Goals and </w:t>
      </w:r>
      <w:r w:rsidR="00887C17">
        <w:t xml:space="preserve">Collaboration </w:t>
      </w:r>
      <w:r>
        <w:t>Actions</w:t>
      </w:r>
      <w:bookmarkEnd w:id="36"/>
      <w:r>
        <w:t xml:space="preserve"> </w:t>
      </w:r>
    </w:p>
    <w:p w14:paraId="32733843" w14:textId="77777777" w:rsidR="00874945" w:rsidRDefault="00874945" w:rsidP="006F3B7D">
      <w:pPr>
        <w:pStyle w:val="BodyText"/>
        <w:rPr>
          <w:sz w:val="18"/>
          <w:szCs w:val="18"/>
        </w:rPr>
      </w:pPr>
      <w:r w:rsidRPr="00964074">
        <w:rPr>
          <w:noProof/>
          <w:sz w:val="18"/>
          <w:szCs w:val="18"/>
          <w14:ligatures w14:val="standardContextual"/>
        </w:rPr>
        <w:drawing>
          <wp:inline distT="0" distB="0" distL="0" distR="0" wp14:anchorId="1864ED08" wp14:editId="707420FF">
            <wp:extent cx="5486400" cy="7378037"/>
            <wp:effectExtent l="0" t="38100" r="57150" b="52070"/>
            <wp:docPr id="323943500"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14:paraId="2F9B6C84" w14:textId="185069D2" w:rsidR="00C175DE" w:rsidRPr="00C175DE" w:rsidRDefault="00C175DE" w:rsidP="006F3B7D">
      <w:pPr>
        <w:pStyle w:val="Subheading"/>
        <w:keepLines/>
        <w:rPr>
          <w:b w:val="0"/>
          <w:bCs/>
          <w:szCs w:val="22"/>
        </w:rPr>
      </w:pPr>
      <w:r w:rsidRPr="00C175DE">
        <w:lastRenderedPageBreak/>
        <w:t>Shared Services</w:t>
      </w:r>
    </w:p>
    <w:p w14:paraId="05BF825D" w14:textId="2D0D318B" w:rsidR="007857AF" w:rsidRPr="00D0553B" w:rsidRDefault="007857AF" w:rsidP="007857AF">
      <w:pPr>
        <w:pStyle w:val="BodyText"/>
        <w:rPr>
          <w:szCs w:val="22"/>
        </w:rPr>
      </w:pPr>
      <w:r w:rsidRPr="00D0553B">
        <w:rPr>
          <w:szCs w:val="22"/>
        </w:rPr>
        <w:t xml:space="preserve">We have identified </w:t>
      </w:r>
      <w:r w:rsidR="007C6D9E">
        <w:rPr>
          <w:szCs w:val="22"/>
        </w:rPr>
        <w:t>several</w:t>
      </w:r>
      <w:r w:rsidRPr="00D0553B">
        <w:rPr>
          <w:szCs w:val="22"/>
        </w:rPr>
        <w:t xml:space="preserve"> shared services activities listed in the following table. The table shows the activity and an example of how this activity may result in cross-contractor coordination. </w:t>
      </w:r>
      <w:r w:rsidR="00D0553B" w:rsidRPr="00D0553B">
        <w:rPr>
          <w:szCs w:val="22"/>
        </w:rPr>
        <w:t>The table below</w:t>
      </w:r>
      <w:r w:rsidRPr="00D0553B">
        <w:rPr>
          <w:szCs w:val="22"/>
        </w:rPr>
        <w:t xml:space="preserve"> lists one representative example of the type of cross-contractor coordination that may be required</w:t>
      </w:r>
      <w:r w:rsidR="00D0553B">
        <w:rPr>
          <w:szCs w:val="22"/>
        </w:rPr>
        <w:t xml:space="preserve"> to illustrate our approach to working with the other involved contractors</w:t>
      </w:r>
      <w:r w:rsidR="000C014C">
        <w:rPr>
          <w:szCs w:val="22"/>
        </w:rPr>
        <w:t xml:space="preserve">. It </w:t>
      </w:r>
      <w:r w:rsidRPr="00D0553B">
        <w:rPr>
          <w:szCs w:val="22"/>
        </w:rPr>
        <w:t>is not intended to be a comprehensive list of coordination situations.</w:t>
      </w:r>
    </w:p>
    <w:p w14:paraId="1EF8EF52" w14:textId="77DA5266" w:rsidR="007857AF" w:rsidRPr="005B7B55" w:rsidRDefault="00D0553B" w:rsidP="005B7B55">
      <w:pPr>
        <w:pStyle w:val="TableCaptionAuto"/>
      </w:pPr>
      <w:bookmarkStart w:id="37" w:name="_Toc173187552"/>
      <w:r w:rsidRPr="005B7B55">
        <w:t>Shared Services</w:t>
      </w:r>
      <w:r w:rsidR="007857AF" w:rsidRPr="005B7B55">
        <w:t xml:space="preserve"> Activities</w:t>
      </w:r>
      <w:bookmarkEnd w:id="37"/>
    </w:p>
    <w:tbl>
      <w:tblPr>
        <w:tblStyle w:val="TableGrid"/>
        <w:tblW w:w="0" w:type="auto"/>
        <w:tblBorders>
          <w:top w:val="none" w:sz="0" w:space="0" w:color="auto"/>
          <w:left w:val="none" w:sz="0" w:space="0" w:color="auto"/>
          <w:bottom w:val="single" w:sz="4" w:space="0" w:color="2B3A44"/>
          <w:right w:val="none" w:sz="0" w:space="0" w:color="auto"/>
          <w:insideH w:val="single" w:sz="4" w:space="0" w:color="2B3A44"/>
          <w:insideV w:val="none" w:sz="0" w:space="0" w:color="auto"/>
        </w:tblBorders>
        <w:tblCellMar>
          <w:top w:w="57" w:type="dxa"/>
        </w:tblCellMar>
        <w:tblLook w:val="04A0" w:firstRow="1" w:lastRow="0" w:firstColumn="1" w:lastColumn="0" w:noHBand="0" w:noVBand="1"/>
      </w:tblPr>
      <w:tblGrid>
        <w:gridCol w:w="1658"/>
        <w:gridCol w:w="3257"/>
        <w:gridCol w:w="1841"/>
        <w:gridCol w:w="2604"/>
      </w:tblGrid>
      <w:tr w:rsidR="005E492B" w:rsidRPr="00D0553B" w14:paraId="5B0CFC7C" w14:textId="77777777" w:rsidTr="00822115">
        <w:trPr>
          <w:cantSplit/>
          <w:tblHeader/>
        </w:trPr>
        <w:tc>
          <w:tcPr>
            <w:tcW w:w="0" w:type="auto"/>
            <w:tcBorders>
              <w:top w:val="single" w:sz="8" w:space="0" w:color="7030A0"/>
              <w:bottom w:val="single" w:sz="8" w:space="0" w:color="7030A0"/>
            </w:tcBorders>
            <w:shd w:val="clear" w:color="auto" w:fill="EFE5F7"/>
            <w:vAlign w:val="bottom"/>
          </w:tcPr>
          <w:p w14:paraId="4F01E5D8" w14:textId="77777777" w:rsidR="007857AF" w:rsidRPr="00D0553B" w:rsidRDefault="007857AF" w:rsidP="00822115">
            <w:pPr>
              <w:pStyle w:val="TableHeading10"/>
            </w:pPr>
            <w:r w:rsidRPr="00D0553B">
              <w:t>Activity</w:t>
            </w:r>
          </w:p>
        </w:tc>
        <w:tc>
          <w:tcPr>
            <w:tcW w:w="0" w:type="auto"/>
            <w:tcBorders>
              <w:top w:val="single" w:sz="8" w:space="0" w:color="7030A0"/>
              <w:bottom w:val="single" w:sz="8" w:space="0" w:color="7030A0"/>
            </w:tcBorders>
            <w:shd w:val="clear" w:color="auto" w:fill="EFE5F7"/>
            <w:vAlign w:val="bottom"/>
          </w:tcPr>
          <w:p w14:paraId="16DB6D22" w14:textId="77777777" w:rsidR="007857AF" w:rsidRPr="00D0553B" w:rsidRDefault="007857AF" w:rsidP="00822115">
            <w:pPr>
              <w:pStyle w:val="TableHeading10"/>
            </w:pPr>
            <w:r w:rsidRPr="00D0553B">
              <w:t>Description</w:t>
            </w:r>
          </w:p>
        </w:tc>
        <w:tc>
          <w:tcPr>
            <w:tcW w:w="0" w:type="auto"/>
            <w:tcBorders>
              <w:top w:val="single" w:sz="8" w:space="0" w:color="7030A0"/>
              <w:bottom w:val="single" w:sz="8" w:space="0" w:color="7030A0"/>
            </w:tcBorders>
            <w:shd w:val="clear" w:color="auto" w:fill="EFE5F7"/>
            <w:vAlign w:val="bottom"/>
          </w:tcPr>
          <w:p w14:paraId="7AF666C6" w14:textId="77777777" w:rsidR="007857AF" w:rsidRPr="00D0553B" w:rsidRDefault="007857AF" w:rsidP="00822115">
            <w:pPr>
              <w:pStyle w:val="TableHeading10"/>
            </w:pPr>
            <w:r w:rsidRPr="00D0553B">
              <w:t>Gainwell Staffing Area</w:t>
            </w:r>
          </w:p>
        </w:tc>
        <w:tc>
          <w:tcPr>
            <w:tcW w:w="0" w:type="auto"/>
            <w:tcBorders>
              <w:top w:val="single" w:sz="8" w:space="0" w:color="7030A0"/>
              <w:bottom w:val="single" w:sz="8" w:space="0" w:color="7030A0"/>
            </w:tcBorders>
            <w:shd w:val="clear" w:color="auto" w:fill="EFE5F7"/>
            <w:vAlign w:val="bottom"/>
          </w:tcPr>
          <w:p w14:paraId="59D1A753" w14:textId="77777777" w:rsidR="007857AF" w:rsidRPr="00D0553B" w:rsidRDefault="007857AF" w:rsidP="00822115">
            <w:pPr>
              <w:pStyle w:val="TableHeading10"/>
            </w:pPr>
            <w:r w:rsidRPr="00D0553B">
              <w:t>Cross-Contractor Coordination Example</w:t>
            </w:r>
          </w:p>
        </w:tc>
      </w:tr>
      <w:tr w:rsidR="005E492B" w:rsidRPr="00D0553B" w14:paraId="76DB6ECB" w14:textId="77777777" w:rsidTr="00822115">
        <w:trPr>
          <w:cantSplit/>
        </w:trPr>
        <w:tc>
          <w:tcPr>
            <w:tcW w:w="0" w:type="auto"/>
            <w:tcBorders>
              <w:top w:val="single" w:sz="8" w:space="0" w:color="7030A0"/>
            </w:tcBorders>
            <w:shd w:val="clear" w:color="auto" w:fill="auto"/>
          </w:tcPr>
          <w:p w14:paraId="1C3EF904" w14:textId="77777777" w:rsidR="007857AF" w:rsidRPr="00D0553B" w:rsidRDefault="007857AF" w:rsidP="00822115">
            <w:pPr>
              <w:pStyle w:val="TableText10Double"/>
            </w:pPr>
            <w:r w:rsidRPr="00D0553B">
              <w:t>Provide Support</w:t>
            </w:r>
          </w:p>
        </w:tc>
        <w:tc>
          <w:tcPr>
            <w:tcW w:w="0" w:type="auto"/>
            <w:tcBorders>
              <w:top w:val="single" w:sz="8" w:space="0" w:color="7030A0"/>
            </w:tcBorders>
            <w:shd w:val="clear" w:color="auto" w:fill="auto"/>
          </w:tcPr>
          <w:p w14:paraId="36E3CB5F" w14:textId="21412978" w:rsidR="007857AF" w:rsidRPr="00D0553B" w:rsidRDefault="007857AF" w:rsidP="00822115">
            <w:pPr>
              <w:pStyle w:val="TableText10Double"/>
            </w:pPr>
            <w:r w:rsidRPr="00D0553B">
              <w:t xml:space="preserve">Maintaining Production </w:t>
            </w:r>
            <w:r w:rsidR="00D0553B">
              <w:t xml:space="preserve">BenefitsCal </w:t>
            </w:r>
            <w:r w:rsidRPr="00D0553B">
              <w:t xml:space="preserve">application availability, providing support for automated deployments, and providing 24x7x365 monitoring (excluding CalSAWS holidays). </w:t>
            </w:r>
          </w:p>
        </w:tc>
        <w:tc>
          <w:tcPr>
            <w:tcW w:w="0" w:type="auto"/>
            <w:tcBorders>
              <w:top w:val="single" w:sz="8" w:space="0" w:color="7030A0"/>
            </w:tcBorders>
            <w:shd w:val="clear" w:color="auto" w:fill="auto"/>
          </w:tcPr>
          <w:p w14:paraId="5BFDC8D6" w14:textId="77777777" w:rsidR="007857AF" w:rsidRPr="00D0553B" w:rsidRDefault="007857AF" w:rsidP="00822115">
            <w:pPr>
              <w:pStyle w:val="TableText10Double"/>
            </w:pPr>
            <w:r w:rsidRPr="00D0553B">
              <w:t>Production Operations</w:t>
            </w:r>
          </w:p>
        </w:tc>
        <w:tc>
          <w:tcPr>
            <w:tcW w:w="0" w:type="auto"/>
            <w:tcBorders>
              <w:top w:val="single" w:sz="8" w:space="0" w:color="7030A0"/>
            </w:tcBorders>
            <w:shd w:val="clear" w:color="auto" w:fill="auto"/>
          </w:tcPr>
          <w:p w14:paraId="320EA4F7" w14:textId="77E73C3B" w:rsidR="007857AF" w:rsidRPr="00D0553B" w:rsidRDefault="00705772" w:rsidP="00822115">
            <w:pPr>
              <w:pStyle w:val="TableText10Double"/>
            </w:pPr>
            <w:r>
              <w:t>CalSAWS</w:t>
            </w:r>
            <w:r w:rsidR="004C6D55">
              <w:t xml:space="preserve"> M&amp;O</w:t>
            </w:r>
            <w:r w:rsidR="007857AF" w:rsidRPr="00D0553B">
              <w:t xml:space="preserve"> Contractor</w:t>
            </w:r>
            <w:r w:rsidR="004C6D55">
              <w:t>s</w:t>
            </w:r>
            <w:r w:rsidR="007857AF" w:rsidRPr="00D0553B">
              <w:t xml:space="preserve"> – </w:t>
            </w:r>
            <w:r w:rsidR="004C6D55">
              <w:t>Provide n</w:t>
            </w:r>
            <w:r w:rsidR="007857AF" w:rsidRPr="00D0553B">
              <w:t>otification of an impact on the ability to retrieve client information</w:t>
            </w:r>
          </w:p>
        </w:tc>
      </w:tr>
      <w:tr w:rsidR="005E492B" w:rsidRPr="003B3965" w14:paraId="3767FE91" w14:textId="77777777" w:rsidTr="00822115">
        <w:trPr>
          <w:cantSplit/>
        </w:trPr>
        <w:tc>
          <w:tcPr>
            <w:tcW w:w="0" w:type="auto"/>
            <w:tcBorders>
              <w:bottom w:val="single" w:sz="4" w:space="0" w:color="0E2841" w:themeColor="text2"/>
            </w:tcBorders>
            <w:shd w:val="clear" w:color="auto" w:fill="auto"/>
          </w:tcPr>
          <w:p w14:paraId="092A08F4" w14:textId="3D3F2645" w:rsidR="007857AF" w:rsidRPr="004C6D55" w:rsidRDefault="007857AF" w:rsidP="00822115">
            <w:pPr>
              <w:pStyle w:val="TableText10Double"/>
            </w:pPr>
            <w:r w:rsidRPr="004C6D55">
              <w:t>Batch Support</w:t>
            </w:r>
            <w:r w:rsidR="005B6CCD">
              <w:t xml:space="preserve"> including Interfaces</w:t>
            </w:r>
          </w:p>
        </w:tc>
        <w:tc>
          <w:tcPr>
            <w:tcW w:w="0" w:type="auto"/>
            <w:tcBorders>
              <w:bottom w:val="single" w:sz="4" w:space="0" w:color="0E2841" w:themeColor="text2"/>
            </w:tcBorders>
            <w:shd w:val="clear" w:color="auto" w:fill="auto"/>
          </w:tcPr>
          <w:p w14:paraId="2CA6345C" w14:textId="77777777" w:rsidR="007857AF" w:rsidRPr="004C6D55" w:rsidRDefault="007857AF" w:rsidP="00822115">
            <w:pPr>
              <w:pStyle w:val="TableText10Double"/>
            </w:pPr>
            <w:r w:rsidRPr="004C6D55">
              <w:t xml:space="preserve">Performing batch processing support, including monitoring, troubleshooting, reporting, and escalating issues related to batch and interface processing. </w:t>
            </w:r>
          </w:p>
        </w:tc>
        <w:tc>
          <w:tcPr>
            <w:tcW w:w="0" w:type="auto"/>
            <w:tcBorders>
              <w:bottom w:val="single" w:sz="4" w:space="0" w:color="0E2841" w:themeColor="text2"/>
            </w:tcBorders>
            <w:shd w:val="clear" w:color="auto" w:fill="auto"/>
          </w:tcPr>
          <w:p w14:paraId="7F337E57" w14:textId="77777777" w:rsidR="007857AF" w:rsidRPr="004C6D55" w:rsidRDefault="007857AF" w:rsidP="00822115">
            <w:pPr>
              <w:pStyle w:val="TableText10Double"/>
            </w:pPr>
            <w:r w:rsidRPr="004C6D55">
              <w:t>Production Operations</w:t>
            </w:r>
          </w:p>
        </w:tc>
        <w:tc>
          <w:tcPr>
            <w:tcW w:w="0" w:type="auto"/>
            <w:tcBorders>
              <w:bottom w:val="single" w:sz="4" w:space="0" w:color="0E2841" w:themeColor="text2"/>
            </w:tcBorders>
            <w:shd w:val="clear" w:color="auto" w:fill="auto"/>
          </w:tcPr>
          <w:p w14:paraId="7582D666" w14:textId="355C28F2" w:rsidR="007857AF" w:rsidRPr="004C6D55" w:rsidRDefault="004C6D55" w:rsidP="00822115">
            <w:pPr>
              <w:pStyle w:val="TableText10Double"/>
            </w:pPr>
            <w:r w:rsidRPr="004C6D55">
              <w:t xml:space="preserve">CalSAWS M&amp;O Contractors – Provide notification of an impact </w:t>
            </w:r>
            <w:r>
              <w:t>to batch processing</w:t>
            </w:r>
          </w:p>
        </w:tc>
      </w:tr>
      <w:tr w:rsidR="005E492B" w:rsidRPr="003B3965" w14:paraId="7725AB53" w14:textId="77777777" w:rsidTr="00822115">
        <w:trPr>
          <w:cantSplit/>
        </w:trPr>
        <w:tc>
          <w:tcPr>
            <w:tcW w:w="0" w:type="auto"/>
            <w:tcBorders>
              <w:top w:val="single" w:sz="4" w:space="0" w:color="0E2841" w:themeColor="text2"/>
              <w:bottom w:val="single" w:sz="4" w:space="0" w:color="0E2841" w:themeColor="text2"/>
            </w:tcBorders>
            <w:shd w:val="clear" w:color="auto" w:fill="auto"/>
          </w:tcPr>
          <w:p w14:paraId="2B9DCFBA" w14:textId="77777777" w:rsidR="007857AF" w:rsidRPr="004C6D55" w:rsidRDefault="007857AF" w:rsidP="00822115">
            <w:pPr>
              <w:pStyle w:val="TableText10Double"/>
            </w:pPr>
            <w:r w:rsidRPr="004C6D55">
              <w:t>Tier 3 Service Desk Support</w:t>
            </w:r>
          </w:p>
        </w:tc>
        <w:tc>
          <w:tcPr>
            <w:tcW w:w="0" w:type="auto"/>
            <w:tcBorders>
              <w:top w:val="single" w:sz="4" w:space="0" w:color="0E2841" w:themeColor="text2"/>
              <w:bottom w:val="single" w:sz="4" w:space="0" w:color="0E2841" w:themeColor="text2"/>
            </w:tcBorders>
            <w:shd w:val="clear" w:color="auto" w:fill="auto"/>
          </w:tcPr>
          <w:p w14:paraId="6036DE3F" w14:textId="71568B0D" w:rsidR="007857AF" w:rsidRPr="004C6D55" w:rsidRDefault="007857AF" w:rsidP="00822115">
            <w:pPr>
              <w:pStyle w:val="TableText10Double"/>
            </w:pPr>
            <w:r w:rsidRPr="004C6D55">
              <w:t xml:space="preserve">Providing Tier 3 Service Desk Services for </w:t>
            </w:r>
            <w:r w:rsidR="004C6D55">
              <w:t>BenefitsCal</w:t>
            </w:r>
            <w:r w:rsidRPr="004C6D55">
              <w:t xml:space="preserve"> Users, including coordinating with Tier 1 and Tier 2 </w:t>
            </w:r>
            <w:r w:rsidR="004C6D55">
              <w:t xml:space="preserve">CalSAWS </w:t>
            </w:r>
            <w:r w:rsidRPr="004C6D55">
              <w:t>Service Desk</w:t>
            </w:r>
            <w:r w:rsidR="004C6D55">
              <w:t xml:space="preserve"> and the BenefitsCal Technical Service Desk</w:t>
            </w:r>
            <w:r w:rsidRPr="004C6D55">
              <w:t xml:space="preserve">. </w:t>
            </w:r>
          </w:p>
        </w:tc>
        <w:tc>
          <w:tcPr>
            <w:tcW w:w="0" w:type="auto"/>
            <w:tcBorders>
              <w:top w:val="single" w:sz="4" w:space="0" w:color="0E2841" w:themeColor="text2"/>
              <w:bottom w:val="single" w:sz="4" w:space="0" w:color="0E2841" w:themeColor="text2"/>
            </w:tcBorders>
            <w:shd w:val="clear" w:color="auto" w:fill="auto"/>
          </w:tcPr>
          <w:p w14:paraId="33F90243" w14:textId="77777777" w:rsidR="007857AF" w:rsidRPr="004C6D55" w:rsidRDefault="007857AF" w:rsidP="00822115">
            <w:pPr>
              <w:pStyle w:val="TableText10Double"/>
            </w:pPr>
            <w:r w:rsidRPr="004C6D55">
              <w:t>Application Maintenance</w:t>
            </w:r>
          </w:p>
        </w:tc>
        <w:tc>
          <w:tcPr>
            <w:tcW w:w="0" w:type="auto"/>
            <w:tcBorders>
              <w:top w:val="single" w:sz="4" w:space="0" w:color="0E2841" w:themeColor="text2"/>
              <w:bottom w:val="single" w:sz="4" w:space="0" w:color="0E2841" w:themeColor="text2"/>
            </w:tcBorders>
            <w:shd w:val="clear" w:color="auto" w:fill="auto"/>
          </w:tcPr>
          <w:p w14:paraId="72D882FA" w14:textId="3B1795B5" w:rsidR="007857AF" w:rsidRPr="004C6D55" w:rsidRDefault="007857AF" w:rsidP="00822115">
            <w:pPr>
              <w:pStyle w:val="TableText10Double"/>
            </w:pPr>
            <w:r w:rsidRPr="004C6D55">
              <w:t>All Contractors – Coordination regarding any incident with shared responsibilities</w:t>
            </w:r>
            <w:r w:rsidR="003D2133">
              <w:t xml:space="preserve"> such as a Forge Rock issue</w:t>
            </w:r>
          </w:p>
        </w:tc>
      </w:tr>
      <w:tr w:rsidR="005E492B" w:rsidRPr="003B3965" w14:paraId="2B2CF422" w14:textId="77777777" w:rsidTr="00822115">
        <w:trPr>
          <w:cantSplit/>
        </w:trPr>
        <w:tc>
          <w:tcPr>
            <w:tcW w:w="0" w:type="auto"/>
            <w:tcBorders>
              <w:top w:val="single" w:sz="4" w:space="0" w:color="0E2841" w:themeColor="text2"/>
              <w:bottom w:val="single" w:sz="4" w:space="0" w:color="0E2841" w:themeColor="text2"/>
            </w:tcBorders>
            <w:shd w:val="clear" w:color="auto" w:fill="auto"/>
          </w:tcPr>
          <w:p w14:paraId="7B2A8EC0" w14:textId="30B6F664" w:rsidR="007857AF" w:rsidRPr="005D0808" w:rsidRDefault="005B6CCD" w:rsidP="00822115">
            <w:pPr>
              <w:pStyle w:val="TableText10Double"/>
            </w:pPr>
            <w:r w:rsidRPr="005D0808">
              <w:t>Operations</w:t>
            </w:r>
            <w:r w:rsidR="005D0808">
              <w:t xml:space="preserve"> Technical </w:t>
            </w:r>
            <w:r w:rsidR="007857AF" w:rsidRPr="005D0808">
              <w:t>Support</w:t>
            </w:r>
          </w:p>
        </w:tc>
        <w:tc>
          <w:tcPr>
            <w:tcW w:w="0" w:type="auto"/>
            <w:tcBorders>
              <w:top w:val="single" w:sz="4" w:space="0" w:color="0E2841" w:themeColor="text2"/>
              <w:bottom w:val="single" w:sz="4" w:space="0" w:color="0E2841" w:themeColor="text2"/>
            </w:tcBorders>
            <w:shd w:val="clear" w:color="auto" w:fill="auto"/>
          </w:tcPr>
          <w:p w14:paraId="2AB368D7" w14:textId="2E3FCD40" w:rsidR="007857AF" w:rsidRPr="005D0808" w:rsidRDefault="007857AF" w:rsidP="00822115">
            <w:pPr>
              <w:pStyle w:val="TableText10Double"/>
            </w:pPr>
            <w:r w:rsidRPr="005D0808">
              <w:t>Supporting the Consortium and the CalSAWS Infrastructure Contractor in performing Technical Change Management activities related to CalSAWS</w:t>
            </w:r>
            <w:r w:rsidR="005D0808" w:rsidRPr="005D0808">
              <w:t xml:space="preserve"> that may have an impact on BenefitsCal</w:t>
            </w:r>
            <w:r w:rsidRPr="005D0808">
              <w:t xml:space="preserve">. </w:t>
            </w:r>
          </w:p>
        </w:tc>
        <w:tc>
          <w:tcPr>
            <w:tcW w:w="0" w:type="auto"/>
            <w:tcBorders>
              <w:top w:val="single" w:sz="4" w:space="0" w:color="0E2841" w:themeColor="text2"/>
              <w:bottom w:val="single" w:sz="4" w:space="0" w:color="0E2841" w:themeColor="text2"/>
            </w:tcBorders>
            <w:shd w:val="clear" w:color="auto" w:fill="auto"/>
          </w:tcPr>
          <w:p w14:paraId="3FC9DB25" w14:textId="647C9FB2" w:rsidR="007857AF" w:rsidRPr="005D0808" w:rsidRDefault="005D0808" w:rsidP="00822115">
            <w:pPr>
              <w:pStyle w:val="TableText10Double"/>
            </w:pPr>
            <w:r>
              <w:t>Operations</w:t>
            </w:r>
            <w:r w:rsidR="007857AF" w:rsidRPr="005D0808">
              <w:t xml:space="preserve"> Services and Application Maintenance</w:t>
            </w:r>
          </w:p>
        </w:tc>
        <w:tc>
          <w:tcPr>
            <w:tcW w:w="0" w:type="auto"/>
            <w:tcBorders>
              <w:top w:val="single" w:sz="4" w:space="0" w:color="0E2841" w:themeColor="text2"/>
              <w:bottom w:val="single" w:sz="4" w:space="0" w:color="0E2841" w:themeColor="text2"/>
            </w:tcBorders>
            <w:shd w:val="clear" w:color="auto" w:fill="auto"/>
          </w:tcPr>
          <w:p w14:paraId="3DE8E884" w14:textId="77777777" w:rsidR="007857AF" w:rsidRPr="005D0808" w:rsidRDefault="007857AF" w:rsidP="00822115">
            <w:pPr>
              <w:pStyle w:val="TableText10Double"/>
            </w:pPr>
            <w:r w:rsidRPr="005D0808">
              <w:t>Infrastructure Contractor – Planning regarding upcoming technical changes</w:t>
            </w:r>
          </w:p>
        </w:tc>
      </w:tr>
      <w:tr w:rsidR="005E492B" w:rsidRPr="003B3965" w14:paraId="3A01F4EB" w14:textId="77777777" w:rsidTr="00822115">
        <w:trPr>
          <w:cantSplit/>
        </w:trPr>
        <w:tc>
          <w:tcPr>
            <w:tcW w:w="0" w:type="auto"/>
            <w:tcBorders>
              <w:top w:val="single" w:sz="4" w:space="0" w:color="0E2841" w:themeColor="text2"/>
              <w:bottom w:val="single" w:sz="4" w:space="0" w:color="0E2841" w:themeColor="text2"/>
            </w:tcBorders>
            <w:shd w:val="clear" w:color="auto" w:fill="auto"/>
          </w:tcPr>
          <w:p w14:paraId="769E9091" w14:textId="77777777" w:rsidR="007857AF" w:rsidRPr="005D0808" w:rsidRDefault="007857AF" w:rsidP="00822115">
            <w:pPr>
              <w:pStyle w:val="TableText10Double"/>
            </w:pPr>
            <w:r w:rsidRPr="005D0808">
              <w:t>Performance Monitoring</w:t>
            </w:r>
          </w:p>
        </w:tc>
        <w:tc>
          <w:tcPr>
            <w:tcW w:w="0" w:type="auto"/>
            <w:tcBorders>
              <w:top w:val="single" w:sz="4" w:space="0" w:color="0E2841" w:themeColor="text2"/>
              <w:bottom w:val="single" w:sz="4" w:space="0" w:color="0E2841" w:themeColor="text2"/>
            </w:tcBorders>
            <w:shd w:val="clear" w:color="auto" w:fill="auto"/>
          </w:tcPr>
          <w:p w14:paraId="3C1D112C" w14:textId="1A5CB6BD" w:rsidR="007857AF" w:rsidRPr="005D0808" w:rsidRDefault="007857AF" w:rsidP="00822115">
            <w:pPr>
              <w:pStyle w:val="TableText10Double"/>
            </w:pPr>
            <w:r w:rsidRPr="005D0808">
              <w:t xml:space="preserve">Monitoring </w:t>
            </w:r>
            <w:r w:rsidR="007F118C">
              <w:t>BenefitsCal</w:t>
            </w:r>
            <w:r w:rsidRPr="005D0808">
              <w:t xml:space="preserve"> availability and performance to verify and report performance and availability compliance with service level agreements</w:t>
            </w:r>
            <w:r w:rsidR="005E492B">
              <w:t>.</w:t>
            </w:r>
          </w:p>
        </w:tc>
        <w:tc>
          <w:tcPr>
            <w:tcW w:w="0" w:type="auto"/>
            <w:tcBorders>
              <w:top w:val="single" w:sz="4" w:space="0" w:color="0E2841" w:themeColor="text2"/>
              <w:bottom w:val="single" w:sz="4" w:space="0" w:color="0E2841" w:themeColor="text2"/>
            </w:tcBorders>
            <w:shd w:val="clear" w:color="auto" w:fill="auto"/>
          </w:tcPr>
          <w:p w14:paraId="4228A09F" w14:textId="77777777" w:rsidR="007857AF" w:rsidRPr="005D0808" w:rsidRDefault="007857AF" w:rsidP="00822115">
            <w:pPr>
              <w:pStyle w:val="TableText10Double"/>
            </w:pPr>
            <w:r w:rsidRPr="005D0808">
              <w:t>Production Operations</w:t>
            </w:r>
          </w:p>
        </w:tc>
        <w:tc>
          <w:tcPr>
            <w:tcW w:w="0" w:type="auto"/>
            <w:tcBorders>
              <w:top w:val="single" w:sz="4" w:space="0" w:color="0E2841" w:themeColor="text2"/>
              <w:bottom w:val="single" w:sz="4" w:space="0" w:color="0E2841" w:themeColor="text2"/>
            </w:tcBorders>
            <w:shd w:val="clear" w:color="auto" w:fill="auto"/>
          </w:tcPr>
          <w:p w14:paraId="2BA6D339" w14:textId="70137F1B" w:rsidR="007857AF" w:rsidRPr="005D0808" w:rsidRDefault="007857AF" w:rsidP="00822115">
            <w:pPr>
              <w:pStyle w:val="TableText10Double"/>
            </w:pPr>
            <w:r w:rsidRPr="005D0808">
              <w:t>Infrastructure Contractor – Potential for joint troubleshooting</w:t>
            </w:r>
            <w:r w:rsidR="005E492B">
              <w:t xml:space="preserve"> of incidents affecting BenefitsCal availability</w:t>
            </w:r>
          </w:p>
        </w:tc>
      </w:tr>
      <w:tr w:rsidR="005E492B" w:rsidRPr="003B3965" w14:paraId="7C86F1C2" w14:textId="77777777" w:rsidTr="005E492B">
        <w:trPr>
          <w:cantSplit/>
        </w:trPr>
        <w:tc>
          <w:tcPr>
            <w:tcW w:w="0" w:type="auto"/>
            <w:tcBorders>
              <w:top w:val="single" w:sz="4" w:space="0" w:color="0E2841" w:themeColor="text2"/>
              <w:bottom w:val="single" w:sz="4" w:space="0" w:color="0E2841" w:themeColor="text2"/>
            </w:tcBorders>
            <w:shd w:val="clear" w:color="auto" w:fill="auto"/>
          </w:tcPr>
          <w:p w14:paraId="781DB296" w14:textId="77777777" w:rsidR="007857AF" w:rsidRPr="005E492B" w:rsidRDefault="007857AF" w:rsidP="00822115">
            <w:pPr>
              <w:pStyle w:val="TableText10Double"/>
            </w:pPr>
            <w:r w:rsidRPr="005E492B">
              <w:lastRenderedPageBreak/>
              <w:t xml:space="preserve">Security </w:t>
            </w:r>
          </w:p>
        </w:tc>
        <w:tc>
          <w:tcPr>
            <w:tcW w:w="0" w:type="auto"/>
            <w:tcBorders>
              <w:top w:val="single" w:sz="4" w:space="0" w:color="0E2841" w:themeColor="text2"/>
              <w:bottom w:val="single" w:sz="4" w:space="0" w:color="0E2841" w:themeColor="text2"/>
            </w:tcBorders>
            <w:shd w:val="clear" w:color="auto" w:fill="auto"/>
          </w:tcPr>
          <w:p w14:paraId="26590ED1" w14:textId="58DC08B6" w:rsidR="007857AF" w:rsidRPr="005E492B" w:rsidRDefault="007857AF" w:rsidP="00822115">
            <w:pPr>
              <w:pStyle w:val="TableText10Double"/>
            </w:pPr>
            <w:r w:rsidRPr="005E492B">
              <w:t xml:space="preserve">Monitoring </w:t>
            </w:r>
            <w:r w:rsidR="005E492B">
              <w:t>BenefitsCal</w:t>
            </w:r>
            <w:r w:rsidRPr="005E492B">
              <w:t xml:space="preserve"> to confirm a secure processing environment that protects against improper or unauthorized access while maintaining integrity of data and support availability of </w:t>
            </w:r>
            <w:r w:rsidR="005E492B">
              <w:t>BenefitsCal</w:t>
            </w:r>
            <w:r w:rsidRPr="005E492B">
              <w:t>. </w:t>
            </w:r>
          </w:p>
        </w:tc>
        <w:tc>
          <w:tcPr>
            <w:tcW w:w="0" w:type="auto"/>
            <w:tcBorders>
              <w:top w:val="single" w:sz="4" w:space="0" w:color="0E2841" w:themeColor="text2"/>
              <w:bottom w:val="single" w:sz="4" w:space="0" w:color="0E2841" w:themeColor="text2"/>
            </w:tcBorders>
            <w:shd w:val="clear" w:color="auto" w:fill="auto"/>
          </w:tcPr>
          <w:p w14:paraId="419A382D" w14:textId="77777777" w:rsidR="007857AF" w:rsidRPr="005E492B" w:rsidRDefault="007857AF" w:rsidP="00822115">
            <w:pPr>
              <w:pStyle w:val="TableText10Double"/>
            </w:pPr>
            <w:r w:rsidRPr="005E492B">
              <w:t>Security</w:t>
            </w:r>
          </w:p>
        </w:tc>
        <w:tc>
          <w:tcPr>
            <w:tcW w:w="0" w:type="auto"/>
            <w:tcBorders>
              <w:top w:val="single" w:sz="4" w:space="0" w:color="0E2841" w:themeColor="text2"/>
              <w:bottom w:val="single" w:sz="4" w:space="0" w:color="0E2841" w:themeColor="text2"/>
            </w:tcBorders>
            <w:shd w:val="clear" w:color="auto" w:fill="auto"/>
          </w:tcPr>
          <w:p w14:paraId="5469DE6E" w14:textId="77777777" w:rsidR="007857AF" w:rsidRPr="005E492B" w:rsidRDefault="007857AF" w:rsidP="00822115">
            <w:pPr>
              <w:pStyle w:val="TableText10Double"/>
            </w:pPr>
            <w:r w:rsidRPr="005E492B">
              <w:t>Infrastructure Contractor – Coordination of planning and remediation activities to address an identified vulnerability</w:t>
            </w:r>
          </w:p>
        </w:tc>
      </w:tr>
      <w:tr w:rsidR="005E492B" w:rsidRPr="003B3965" w14:paraId="0B4845D9" w14:textId="77777777" w:rsidTr="00822115">
        <w:trPr>
          <w:cantSplit/>
        </w:trPr>
        <w:tc>
          <w:tcPr>
            <w:tcW w:w="0" w:type="auto"/>
            <w:tcBorders>
              <w:top w:val="single" w:sz="4" w:space="0" w:color="0E2841" w:themeColor="text2"/>
            </w:tcBorders>
            <w:shd w:val="clear" w:color="auto" w:fill="auto"/>
          </w:tcPr>
          <w:p w14:paraId="1145F844" w14:textId="3EE7ED7B" w:rsidR="005E492B" w:rsidRPr="005E492B" w:rsidRDefault="005E492B" w:rsidP="005E492B">
            <w:pPr>
              <w:pStyle w:val="TableText10Double"/>
            </w:pPr>
            <w:r>
              <w:t>Technology Recovery</w:t>
            </w:r>
          </w:p>
        </w:tc>
        <w:tc>
          <w:tcPr>
            <w:tcW w:w="0" w:type="auto"/>
            <w:tcBorders>
              <w:top w:val="single" w:sz="4" w:space="0" w:color="0E2841" w:themeColor="text2"/>
            </w:tcBorders>
            <w:shd w:val="clear" w:color="auto" w:fill="auto"/>
          </w:tcPr>
          <w:p w14:paraId="4451F549" w14:textId="3247DE1A" w:rsidR="005E492B" w:rsidRPr="005E492B" w:rsidRDefault="005E492B" w:rsidP="005E492B">
            <w:pPr>
              <w:pStyle w:val="TableText10Double"/>
            </w:pPr>
            <w:r>
              <w:t xml:space="preserve">Participate in recovery testing and conduct actual failover events as needed </w:t>
            </w:r>
          </w:p>
        </w:tc>
        <w:tc>
          <w:tcPr>
            <w:tcW w:w="0" w:type="auto"/>
            <w:tcBorders>
              <w:top w:val="single" w:sz="4" w:space="0" w:color="0E2841" w:themeColor="text2"/>
            </w:tcBorders>
            <w:shd w:val="clear" w:color="auto" w:fill="auto"/>
          </w:tcPr>
          <w:p w14:paraId="173BCE49" w14:textId="19726309" w:rsidR="005E492B" w:rsidRPr="005E492B" w:rsidRDefault="005E492B" w:rsidP="005E492B">
            <w:pPr>
              <w:pStyle w:val="TableText10Double"/>
            </w:pPr>
            <w:r>
              <w:t>Operations</w:t>
            </w:r>
            <w:r w:rsidRPr="005D0808">
              <w:t xml:space="preserve"> Services and Application Maintenance</w:t>
            </w:r>
          </w:p>
        </w:tc>
        <w:tc>
          <w:tcPr>
            <w:tcW w:w="0" w:type="auto"/>
            <w:tcBorders>
              <w:top w:val="single" w:sz="4" w:space="0" w:color="0E2841" w:themeColor="text2"/>
            </w:tcBorders>
            <w:shd w:val="clear" w:color="auto" w:fill="auto"/>
          </w:tcPr>
          <w:p w14:paraId="6C65750C" w14:textId="62F9EA77" w:rsidR="005E492B" w:rsidRPr="005E492B" w:rsidRDefault="005E492B" w:rsidP="005E492B">
            <w:pPr>
              <w:pStyle w:val="TableText10Double"/>
            </w:pPr>
            <w:r>
              <w:t xml:space="preserve">CalSAWS M&amp;O </w:t>
            </w:r>
            <w:r w:rsidRPr="005D0808">
              <w:t>Contractor</w:t>
            </w:r>
            <w:r>
              <w:t>s</w:t>
            </w:r>
            <w:r w:rsidRPr="005D0808">
              <w:t xml:space="preserve"> – Planning</w:t>
            </w:r>
            <w:r>
              <w:t xml:space="preserve"> and coordination of recovery testing and coordination during actual failover events</w:t>
            </w:r>
            <w:r w:rsidRPr="005D0808">
              <w:t xml:space="preserve"> </w:t>
            </w:r>
          </w:p>
        </w:tc>
      </w:tr>
    </w:tbl>
    <w:p w14:paraId="5FF58A79" w14:textId="77777777" w:rsidR="007857AF" w:rsidRPr="003B3965" w:rsidDel="00830053" w:rsidRDefault="007857AF" w:rsidP="001B3B1D">
      <w:pPr>
        <w:pStyle w:val="BodySingle"/>
        <w:rPr>
          <w:highlight w:val="yellow"/>
        </w:rPr>
      </w:pPr>
    </w:p>
    <w:p w14:paraId="73FCAE0A" w14:textId="5BA52BA9" w:rsidR="007C6D9E" w:rsidRDefault="005E492B" w:rsidP="007857AF">
      <w:pPr>
        <w:pStyle w:val="BodyText"/>
      </w:pPr>
      <w:r w:rsidRPr="00707B32">
        <w:t xml:space="preserve">Similar to the steps we take during SCR projects, </w:t>
      </w:r>
      <w:r w:rsidR="007857AF" w:rsidRPr="00707B32">
        <w:t xml:space="preserve">we collaborate with other contractors on the development of </w:t>
      </w:r>
      <w:r w:rsidRPr="00707B32">
        <w:t xml:space="preserve">shared services </w:t>
      </w:r>
      <w:r w:rsidR="007857AF" w:rsidRPr="00707B32">
        <w:t>plans including</w:t>
      </w:r>
      <w:r w:rsidRPr="00707B32">
        <w:t>,</w:t>
      </w:r>
      <w:r w:rsidR="007857AF" w:rsidRPr="00707B32">
        <w:t xml:space="preserve"> </w:t>
      </w:r>
      <w:r w:rsidRPr="00707B32">
        <w:t xml:space="preserve">for example, </w:t>
      </w:r>
      <w:r w:rsidR="007857AF" w:rsidRPr="00707B32">
        <w:t>the Technology Recovery Plan</w:t>
      </w:r>
      <w:r w:rsidR="005E1341" w:rsidRPr="00707B32">
        <w:t xml:space="preserve">. </w:t>
      </w:r>
      <w:r w:rsidR="00146F12">
        <w:t>In this example, we work i</w:t>
      </w:r>
      <w:r w:rsidR="007857AF" w:rsidRPr="00707B32">
        <w:t xml:space="preserve">n conjunction with the Delivery Integration Team, </w:t>
      </w:r>
      <w:r w:rsidR="00146F12">
        <w:t>to</w:t>
      </w:r>
      <w:r w:rsidR="007857AF" w:rsidRPr="00707B32">
        <w:t xml:space="preserve"> coordinate with the </w:t>
      </w:r>
      <w:r w:rsidR="00707B32" w:rsidRPr="00707B32">
        <w:t>CalSAWS M&amp;O</w:t>
      </w:r>
      <w:r w:rsidR="007857AF" w:rsidRPr="00707B32">
        <w:t xml:space="preserve"> Contractor</w:t>
      </w:r>
      <w:r w:rsidR="00707B32" w:rsidRPr="00707B32">
        <w:t>s</w:t>
      </w:r>
      <w:r w:rsidR="007857AF" w:rsidRPr="00707B32">
        <w:t xml:space="preserve"> to identify technology recovery roles and responsibilities. </w:t>
      </w:r>
    </w:p>
    <w:p w14:paraId="4008CF71" w14:textId="4D827025" w:rsidR="007857AF" w:rsidRDefault="00B65BF7" w:rsidP="007857AF">
      <w:pPr>
        <w:pStyle w:val="BodyText"/>
      </w:pPr>
      <w:r>
        <w:t>We also identify potential service gaps to prevent probl</w:t>
      </w:r>
      <w:r w:rsidR="002A2F54">
        <w:t>ems in the delivery of shared services. The figure below illustrates our approach related to preventing service gaps.</w:t>
      </w:r>
    </w:p>
    <w:p w14:paraId="21D8EC77" w14:textId="77777777" w:rsidR="00065BD7" w:rsidRPr="006B1731" w:rsidRDefault="00065BD7" w:rsidP="004339C5">
      <w:pPr>
        <w:pStyle w:val="FigureCaptionAuto"/>
      </w:pPr>
      <w:bookmarkStart w:id="38" w:name="_Toc173187516"/>
      <w:r>
        <w:t>Closing Service Gaps to Prevent Problems in Service Delivery</w:t>
      </w:r>
      <w:bookmarkEnd w:id="38"/>
    </w:p>
    <w:p w14:paraId="1CF4E1D3" w14:textId="36268368" w:rsidR="002A2F54" w:rsidRDefault="006D3079" w:rsidP="00065BD7">
      <w:pPr>
        <w:pStyle w:val="BodyText"/>
        <w:jc w:val="center"/>
      </w:pPr>
      <w:r>
        <w:rPr>
          <w:noProof/>
        </w:rPr>
        <w:drawing>
          <wp:inline distT="0" distB="0" distL="0" distR="0" wp14:anchorId="6477225F" wp14:editId="1CC9CE27">
            <wp:extent cx="5486400" cy="3358925"/>
            <wp:effectExtent l="0" t="0" r="0" b="0"/>
            <wp:docPr id="6649969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6">
                      <a:extLst>
                        <a:ext uri="{28A0092B-C50C-407E-A947-70E740481C1C}">
                          <a14:useLocalDpi xmlns:a14="http://schemas.microsoft.com/office/drawing/2010/main" val="0"/>
                        </a:ext>
                      </a:extLst>
                    </a:blip>
                    <a:srcRect l="14250" t="3992" r="3666"/>
                    <a:stretch/>
                  </pic:blipFill>
                  <pic:spPr bwMode="auto">
                    <a:xfrm>
                      <a:off x="0" y="0"/>
                      <a:ext cx="5486400" cy="3358925"/>
                    </a:xfrm>
                    <a:prstGeom prst="rect">
                      <a:avLst/>
                    </a:prstGeom>
                    <a:noFill/>
                    <a:ln>
                      <a:noFill/>
                    </a:ln>
                    <a:extLst>
                      <a:ext uri="{53640926-AAD7-44D8-BBD7-CCE9431645EC}">
                        <a14:shadowObscured xmlns:a14="http://schemas.microsoft.com/office/drawing/2010/main"/>
                      </a:ext>
                    </a:extLst>
                  </pic:spPr>
                </pic:pic>
              </a:graphicData>
            </a:graphic>
          </wp:inline>
        </w:drawing>
      </w:r>
    </w:p>
    <w:p w14:paraId="6B29C5FA" w14:textId="01CAE585" w:rsidR="00146F12" w:rsidRPr="00707B32" w:rsidRDefault="00146F12" w:rsidP="007857AF">
      <w:pPr>
        <w:pStyle w:val="BodyText"/>
      </w:pPr>
      <w:r>
        <w:lastRenderedPageBreak/>
        <w:t xml:space="preserve">In spite of the efforts to determine roles and responsibilities, document the </w:t>
      </w:r>
      <w:r w:rsidR="00660D28">
        <w:t>results in the various services plans and coordinate collaboratively, conflicts may arise.</w:t>
      </w:r>
    </w:p>
    <w:p w14:paraId="49B8A8AA" w14:textId="213D3B5D" w:rsidR="00874945" w:rsidRDefault="00874945" w:rsidP="00874945">
      <w:pPr>
        <w:pStyle w:val="BodyText"/>
        <w:rPr>
          <w:sz w:val="18"/>
          <w:szCs w:val="18"/>
        </w:rPr>
      </w:pPr>
      <w:r>
        <w:t xml:space="preserve">The following figure </w:t>
      </w:r>
      <w:r w:rsidR="00486D2D">
        <w:t>lists</w:t>
      </w:r>
      <w:r>
        <w:t xml:space="preserve"> an identified goal of the Delivery Integration team related to conflict resolution</w:t>
      </w:r>
      <w:r w:rsidR="005E1341">
        <w:t xml:space="preserve">. </w:t>
      </w:r>
      <w:r>
        <w:t>Similar to the previous figures, the right side of the diagram lists potential actions that could be taken in collaboration with the Consortium and the other Contractors to help achieve the conflict resolution goal.</w:t>
      </w:r>
    </w:p>
    <w:p w14:paraId="0E8BB730" w14:textId="295A7930" w:rsidR="00065BD7" w:rsidRPr="006B1731" w:rsidRDefault="00065BD7" w:rsidP="004339C5">
      <w:pPr>
        <w:pStyle w:val="FigureCaptionAuto"/>
      </w:pPr>
      <w:bookmarkStart w:id="39" w:name="_Toc173187517"/>
      <w:r>
        <w:t>Delivery Integration Team Goals</w:t>
      </w:r>
      <w:r w:rsidR="004731D8">
        <w:t>/</w:t>
      </w:r>
      <w:r>
        <w:t xml:space="preserve">Actions </w:t>
      </w:r>
      <w:r w:rsidR="006717C2">
        <w:t>on</w:t>
      </w:r>
      <w:r>
        <w:t xml:space="preserve"> Conflict Resolution</w:t>
      </w:r>
      <w:bookmarkEnd w:id="39"/>
    </w:p>
    <w:p w14:paraId="4C2B535B" w14:textId="77777777" w:rsidR="00874945" w:rsidRPr="00065BD7" w:rsidRDefault="00874945" w:rsidP="00065BD7">
      <w:pPr>
        <w:pStyle w:val="BodyText"/>
      </w:pPr>
      <w:r w:rsidRPr="00065BD7">
        <w:rPr>
          <w:noProof/>
        </w:rPr>
        <w:drawing>
          <wp:inline distT="0" distB="0" distL="0" distR="0" wp14:anchorId="00181B06" wp14:editId="16B8DE70">
            <wp:extent cx="5486400" cy="1589964"/>
            <wp:effectExtent l="0" t="0" r="19050" b="0"/>
            <wp:docPr id="438374928"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4D9EC055" w14:textId="0B6824F4" w:rsidR="00D7021D" w:rsidRDefault="00491780" w:rsidP="00C11A78">
      <w:pPr>
        <w:pStyle w:val="BodyText"/>
      </w:pPr>
      <w:r>
        <w:t xml:space="preserve">Our approach to conflict resolution begins with </w:t>
      </w:r>
      <w:r w:rsidR="000821C1">
        <w:t>defining the escalation path</w:t>
      </w:r>
      <w:r w:rsidR="005E1341">
        <w:t xml:space="preserve">. </w:t>
      </w:r>
      <w:r w:rsidR="005B7948">
        <w:t xml:space="preserve">The following figure illustrates our proposed escalation path for cross contractor </w:t>
      </w:r>
      <w:r w:rsidR="00C96446">
        <w:t>conflicts.</w:t>
      </w:r>
    </w:p>
    <w:p w14:paraId="2241FCAC" w14:textId="77777777" w:rsidR="00065BD7" w:rsidRPr="006B1731" w:rsidRDefault="00065BD7" w:rsidP="004339C5">
      <w:pPr>
        <w:pStyle w:val="FigureCaptionAuto"/>
      </w:pPr>
      <w:bookmarkStart w:id="40" w:name="_Toc173187518"/>
      <w:r>
        <w:t>Conflict Escalation</w:t>
      </w:r>
      <w:bookmarkEnd w:id="40"/>
    </w:p>
    <w:p w14:paraId="752AE2CB" w14:textId="1113C186" w:rsidR="00C96446" w:rsidRDefault="00851FC4" w:rsidP="00C11A78">
      <w:pPr>
        <w:pStyle w:val="BodyText"/>
      </w:pPr>
      <w:r>
        <w:rPr>
          <w:noProof/>
        </w:rPr>
        <w:drawing>
          <wp:inline distT="0" distB="0" distL="0" distR="0" wp14:anchorId="4C4A3275" wp14:editId="250D5227">
            <wp:extent cx="5926768" cy="1195854"/>
            <wp:effectExtent l="0" t="0" r="0" b="4445"/>
            <wp:docPr id="6556836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09986" cy="1212645"/>
                    </a:xfrm>
                    <a:prstGeom prst="rect">
                      <a:avLst/>
                    </a:prstGeom>
                    <a:noFill/>
                  </pic:spPr>
                </pic:pic>
              </a:graphicData>
            </a:graphic>
          </wp:inline>
        </w:drawing>
      </w:r>
    </w:p>
    <w:p w14:paraId="26CBCF1E" w14:textId="7E72F38F" w:rsidR="00D7021D" w:rsidRDefault="00B77CEC" w:rsidP="00C11A78">
      <w:pPr>
        <w:pStyle w:val="BodyText"/>
      </w:pPr>
      <w:r>
        <w:t xml:space="preserve">The conflict resolution begins with team members </w:t>
      </w:r>
      <w:r w:rsidR="00851FC4">
        <w:t>engaging in open discussion</w:t>
      </w:r>
      <w:r w:rsidR="005E1341">
        <w:t xml:space="preserve">. </w:t>
      </w:r>
      <w:r w:rsidR="00851FC4">
        <w:t>These discussions should be grounded in</w:t>
      </w:r>
      <w:r w:rsidR="00DC6643">
        <w:t>:</w:t>
      </w:r>
    </w:p>
    <w:p w14:paraId="57AFB48F" w14:textId="03B7FC08" w:rsidR="00DC6643" w:rsidRDefault="00DC6643" w:rsidP="00C51D9A">
      <w:pPr>
        <w:pStyle w:val="Bullet1Single0"/>
      </w:pPr>
      <w:r>
        <w:t>Verifying the documented roles and responsibilities related to the situation</w:t>
      </w:r>
    </w:p>
    <w:p w14:paraId="45DDD37A" w14:textId="2E82D90C" w:rsidR="00DC6643" w:rsidRDefault="00DC6643" w:rsidP="0009069C">
      <w:pPr>
        <w:pStyle w:val="CvrLtrBullet1Double"/>
      </w:pPr>
      <w:r>
        <w:t>Researching an</w:t>
      </w:r>
      <w:r w:rsidR="00FD6448">
        <w:t>d discussing any documentation relevant to the issue</w:t>
      </w:r>
    </w:p>
    <w:p w14:paraId="2CFA8C3F" w14:textId="21050A4D" w:rsidR="009777EB" w:rsidRDefault="009777EB" w:rsidP="00065BD7">
      <w:pPr>
        <w:pStyle w:val="Bullet1Double"/>
      </w:pPr>
      <w:r>
        <w:t>Engaging with a “seek to understand” approach as illustrated in the following figure.</w:t>
      </w:r>
    </w:p>
    <w:p w14:paraId="1E6DEF4A" w14:textId="77777777" w:rsidR="00065BD7" w:rsidRPr="006B1731" w:rsidRDefault="00065BD7" w:rsidP="004339C5">
      <w:pPr>
        <w:pStyle w:val="FigureCaptionAuto"/>
      </w:pPr>
      <w:bookmarkStart w:id="41" w:name="_Toc173187519"/>
      <w:r>
        <w:lastRenderedPageBreak/>
        <w:t>Approach to Resolving Conflict</w:t>
      </w:r>
      <w:bookmarkEnd w:id="41"/>
    </w:p>
    <w:p w14:paraId="79A17A80" w14:textId="5B53682A" w:rsidR="001A1C98" w:rsidRDefault="007A3925" w:rsidP="00521746">
      <w:pPr>
        <w:keepNext/>
        <w:spacing w:after="120" w:line="276" w:lineRule="auto"/>
      </w:pPr>
      <w:r>
        <w:rPr>
          <w:noProof/>
        </w:rPr>
        <w:drawing>
          <wp:inline distT="0" distB="0" distL="0" distR="0" wp14:anchorId="604581BD" wp14:editId="117D1B81">
            <wp:extent cx="5927905" cy="2860499"/>
            <wp:effectExtent l="0" t="0" r="0" b="0"/>
            <wp:docPr id="20486718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0407" cy="2866532"/>
                    </a:xfrm>
                    <a:prstGeom prst="rect">
                      <a:avLst/>
                    </a:prstGeom>
                    <a:noFill/>
                  </pic:spPr>
                </pic:pic>
              </a:graphicData>
            </a:graphic>
          </wp:inline>
        </w:drawing>
      </w:r>
    </w:p>
    <w:p w14:paraId="6DDA34F8" w14:textId="24112C17" w:rsidR="005778D9" w:rsidRDefault="002F656E" w:rsidP="00521746">
      <w:pPr>
        <w:pStyle w:val="BodyText"/>
      </w:pPr>
      <w:r>
        <w:t xml:space="preserve">The overarching concept in our approach to resolving conflict is to understand, “What is </w:t>
      </w:r>
      <w:r w:rsidR="00BA52E5">
        <w:t>the</w:t>
      </w:r>
      <w:r>
        <w:t xml:space="preserve"> best </w:t>
      </w:r>
      <w:r w:rsidR="00604D01">
        <w:t>solution for the</w:t>
      </w:r>
      <w:r>
        <w:t xml:space="preserve"> </w:t>
      </w:r>
      <w:r w:rsidR="00604D01">
        <w:t>C</w:t>
      </w:r>
      <w:r>
        <w:t>ustomers and Counties?”</w:t>
      </w:r>
      <w:r w:rsidR="00A92B26">
        <w:t xml:space="preserve"> </w:t>
      </w:r>
      <w:r>
        <w:t xml:space="preserve">With this guiding principle in mind, </w:t>
      </w:r>
      <w:r w:rsidR="00521746">
        <w:t>Gainwell team members are trained to begin conversations which may result in conflicts by seeking to understand the other party’s point of view. This is the base of the pyramid and forms the foundation of successful conflict resolution</w:t>
      </w:r>
      <w:r w:rsidR="000B240E">
        <w:t>s</w:t>
      </w:r>
      <w:r w:rsidR="005E1341">
        <w:t xml:space="preserve">. </w:t>
      </w:r>
    </w:p>
    <w:p w14:paraId="3E734345" w14:textId="06D959BC" w:rsidR="002D4631" w:rsidRDefault="00D10DC2" w:rsidP="00521746">
      <w:pPr>
        <w:pStyle w:val="BodyText"/>
      </w:pPr>
      <w:r>
        <w:t xml:space="preserve">Once </w:t>
      </w:r>
      <w:r w:rsidR="00F3049A">
        <w:t xml:space="preserve">our team members believe they understand the other party’s point of view, they support this understanding through communication techniques such as </w:t>
      </w:r>
      <w:r w:rsidR="00AB73F7">
        <w:t>paraphrasing their understanding and requesting concurrence that they do in fact understand the other party’s point of view</w:t>
      </w:r>
      <w:r w:rsidR="005E1341">
        <w:t xml:space="preserve">. </w:t>
      </w:r>
    </w:p>
    <w:p w14:paraId="4F96DBEB" w14:textId="48AA3F67" w:rsidR="00521746" w:rsidRDefault="00AB73F7" w:rsidP="00521746">
      <w:pPr>
        <w:pStyle w:val="BodyText"/>
      </w:pPr>
      <w:r>
        <w:t>Using this confirmed understanding as a basis, the heart of the issue can usually be identified, such as</w:t>
      </w:r>
      <w:r w:rsidR="00E624B9">
        <w:t xml:space="preserve"> a different interpretation of a requirement or</w:t>
      </w:r>
      <w:r w:rsidR="005778D9">
        <w:t xml:space="preserve"> </w:t>
      </w:r>
      <w:r w:rsidR="00B461EF">
        <w:t>mi</w:t>
      </w:r>
      <w:r w:rsidR="00D22163">
        <w:t xml:space="preserve">sunderstanding </w:t>
      </w:r>
      <w:r w:rsidR="00B461EF">
        <w:t>a prior conversation or email exchange</w:t>
      </w:r>
      <w:r w:rsidR="005E1341">
        <w:t xml:space="preserve">. </w:t>
      </w:r>
    </w:p>
    <w:p w14:paraId="31F8E674" w14:textId="675046EA" w:rsidR="009D72B7" w:rsidRDefault="005778D9" w:rsidP="00521746">
      <w:pPr>
        <w:pStyle w:val="BodyText"/>
      </w:pPr>
      <w:r>
        <w:t>At this point, the focus can often be shifted to resolving the situation at hand through asking service delivery questions related to who is best suited or in the best position to accomplish the task</w:t>
      </w:r>
      <w:r w:rsidR="005E1341">
        <w:t xml:space="preserve">. </w:t>
      </w:r>
    </w:p>
    <w:p w14:paraId="129AC9FE" w14:textId="3AC9C46F" w:rsidR="005778D9" w:rsidRDefault="005778D9" w:rsidP="00521746">
      <w:pPr>
        <w:pStyle w:val="BodyText"/>
      </w:pPr>
      <w:r>
        <w:t>If a permanent resolution has been reached, the supporting documents are updated as appropriate to reflect the new joint understanding</w:t>
      </w:r>
      <w:r w:rsidR="005E1341">
        <w:t xml:space="preserve">. </w:t>
      </w:r>
      <w:r>
        <w:t xml:space="preserve">If agreement </w:t>
      </w:r>
      <w:r w:rsidR="00EE321F">
        <w:t>were</w:t>
      </w:r>
      <w:r>
        <w:t xml:space="preserve"> reached only to resolve the immediate problem</w:t>
      </w:r>
      <w:r w:rsidR="009D72B7">
        <w:t xml:space="preserve"> with</w:t>
      </w:r>
      <w:r>
        <w:t xml:space="preserve"> a larger </w:t>
      </w:r>
      <w:r w:rsidR="002F656E">
        <w:t>ongoing question remain</w:t>
      </w:r>
      <w:r w:rsidR="00521CCB">
        <w:t>ing</w:t>
      </w:r>
      <w:r w:rsidR="002F656E">
        <w:t>, the escalation path previously illustrated would be followed.</w:t>
      </w:r>
    </w:p>
    <w:p w14:paraId="76469CA9" w14:textId="54B90FFF" w:rsidR="00DB3183" w:rsidRDefault="00B41F32" w:rsidP="00DB3183">
      <w:pPr>
        <w:pStyle w:val="BodyText"/>
      </w:pPr>
      <w:r>
        <w:t xml:space="preserve">Verifying </w:t>
      </w:r>
      <w:r w:rsidR="00DB3183" w:rsidRPr="00A7028F">
        <w:t xml:space="preserve">understanding and agreement of the </w:t>
      </w:r>
      <w:r w:rsidR="00DB3183">
        <w:t xml:space="preserve">scope of work and the </w:t>
      </w:r>
      <w:r w:rsidR="00DB3183" w:rsidRPr="00A7028F">
        <w:t xml:space="preserve">roles and responsibilities of each </w:t>
      </w:r>
      <w:r w:rsidR="00374D5E">
        <w:t>c</w:t>
      </w:r>
      <w:r w:rsidR="00DB3183" w:rsidRPr="00A7028F">
        <w:t>ontractor</w:t>
      </w:r>
      <w:r>
        <w:t xml:space="preserve"> was described in the previous section</w:t>
      </w:r>
      <w:r w:rsidR="000238F5">
        <w:t xml:space="preserve"> and</w:t>
      </w:r>
      <w:r>
        <w:t xml:space="preserve"> is also applicable to coordinating shared services.</w:t>
      </w:r>
      <w:r w:rsidR="00DB3183">
        <w:t xml:space="preserve"> </w:t>
      </w:r>
      <w:r w:rsidR="00145FEB">
        <w:t xml:space="preserve">Another area of concern that can arise in </w:t>
      </w:r>
      <w:r w:rsidR="00145FEB">
        <w:lastRenderedPageBreak/>
        <w:t>coordinating shared services is</w:t>
      </w:r>
      <w:r w:rsidR="00CE1A74">
        <w:t xml:space="preserve"> </w:t>
      </w:r>
      <w:r w:rsidR="00B1073A">
        <w:t xml:space="preserve">failing to identify dependencies or delays in completing </w:t>
      </w:r>
      <w:r w:rsidR="000238F5">
        <w:t xml:space="preserve">dependent tasks. </w:t>
      </w:r>
    </w:p>
    <w:p w14:paraId="6D241D52" w14:textId="0D8E76CC" w:rsidR="00DB3183" w:rsidRDefault="00DB3183" w:rsidP="0009069C">
      <w:pPr>
        <w:pStyle w:val="BodyText"/>
      </w:pPr>
      <w:r>
        <w:t xml:space="preserve">Delivery within an integrated multi-contractor environment </w:t>
      </w:r>
      <w:r w:rsidR="00E638F5">
        <w:t>using shared services involves dependencies which may not be identified</w:t>
      </w:r>
      <w:r>
        <w:t xml:space="preserve"> (missed) dependencies or delayed dependent tasks. Either of these situations can have a cascading negative effect on providing service to </w:t>
      </w:r>
      <w:r w:rsidR="006D097E">
        <w:t>customers and the</w:t>
      </w:r>
      <w:r>
        <w:t xml:space="preserve"> Counties or </w:t>
      </w:r>
      <w:r w:rsidR="006D097E">
        <w:t xml:space="preserve">to </w:t>
      </w:r>
      <w:r>
        <w:t xml:space="preserve">completing projects on time. </w:t>
      </w:r>
      <w:r w:rsidR="006D097E">
        <w:t>Our approach to</w:t>
      </w:r>
      <w:r>
        <w:t xml:space="preserve"> properly identifying dependencies and mutually agreeing on what the task is and its delivery timing</w:t>
      </w:r>
      <w:r w:rsidR="006D097E">
        <w:t xml:space="preserve"> includes</w:t>
      </w:r>
      <w:r>
        <w:t>:</w:t>
      </w:r>
    </w:p>
    <w:p w14:paraId="1D85D17B" w14:textId="77777777" w:rsidR="00DB3183" w:rsidRDefault="00DB3183" w:rsidP="0009069C">
      <w:pPr>
        <w:pStyle w:val="CvrLtrBullet1Double"/>
      </w:pPr>
      <w:r w:rsidRPr="00684A5D">
        <w:rPr>
          <w:b/>
          <w:bCs w:val="0"/>
        </w:rPr>
        <w:t>Services Plan and Operational Working Documents</w:t>
      </w:r>
      <w:r>
        <w:rPr>
          <w:b/>
          <w:bCs w:val="0"/>
        </w:rPr>
        <w:t>.</w:t>
      </w:r>
      <w:r>
        <w:t xml:space="preserve"> Identify touchpoints and handoffs with other contractors as part of each contractor’s service plan. Include specific communications necessary to keep each contractor informed such as notifications or the process to develop mutual calendars.</w:t>
      </w:r>
    </w:p>
    <w:p w14:paraId="31C22497" w14:textId="0286E843" w:rsidR="00DB3183" w:rsidRDefault="00DB3183" w:rsidP="0009069C">
      <w:pPr>
        <w:pStyle w:val="CvrLtrBullet1Double"/>
      </w:pPr>
      <w:r w:rsidRPr="00684A5D">
        <w:rPr>
          <w:b/>
          <w:bCs w:val="0"/>
        </w:rPr>
        <w:t>Joint Scope of Work Development</w:t>
      </w:r>
      <w:r>
        <w:rPr>
          <w:b/>
          <w:bCs w:val="0"/>
        </w:rPr>
        <w:t>.</w:t>
      </w:r>
      <w:r>
        <w:t xml:space="preserve"> For </w:t>
      </w:r>
      <w:r w:rsidR="006D097E">
        <w:t>new shared services or new integrations into a shared service</w:t>
      </w:r>
      <w:r>
        <w:t xml:space="preserve">, identify touchpoints and handoffs between contractors at a high level. While each contractor executes to their independent scope of work, the joint development verifies that the two, or more, scopes of work result in a complete </w:t>
      </w:r>
      <w:r w:rsidR="009D3E39">
        <w:t>service</w:t>
      </w:r>
      <w:r>
        <w:t>.</w:t>
      </w:r>
    </w:p>
    <w:p w14:paraId="00028495" w14:textId="77777777" w:rsidR="00DB3183" w:rsidRDefault="00DB3183" w:rsidP="0009069C">
      <w:pPr>
        <w:pStyle w:val="CvrLtrBullet1Double"/>
      </w:pPr>
      <w:r w:rsidRPr="00684A5D">
        <w:rPr>
          <w:b/>
          <w:bCs w:val="0"/>
        </w:rPr>
        <w:t>Joint Project Plan Development</w:t>
      </w:r>
      <w:r>
        <w:t xml:space="preserve">. Using the high-level touchpoints identified during the joint scope of work development, identify specific tasks that are cross-contractor dependencies. Include these dependencies in each contractor’s project plan as corresponding “gives” and “gets.” </w:t>
      </w:r>
    </w:p>
    <w:p w14:paraId="7BA505CB" w14:textId="471EB2E6" w:rsidR="00DB3183" w:rsidRDefault="00DB3183" w:rsidP="0009069C">
      <w:pPr>
        <w:pStyle w:val="CvrLtrBullet1Double"/>
      </w:pPr>
      <w:r w:rsidRPr="006C32BE">
        <w:rPr>
          <w:b/>
          <w:bCs w:val="0"/>
        </w:rPr>
        <w:t>Delivery Integration Meetings</w:t>
      </w:r>
      <w:r>
        <w:t>. Provide a forum to identify touchpoints, concerns, misunderstandings, and expectations. This forum can also be used to discuss status of dependencies and escalations as needed.</w:t>
      </w:r>
    </w:p>
    <w:p w14:paraId="04DC2966" w14:textId="50101D29" w:rsidR="00DB3183" w:rsidRDefault="00DB3183" w:rsidP="0009069C">
      <w:pPr>
        <w:pStyle w:val="CvrLtrBullet1Double"/>
      </w:pPr>
      <w:r w:rsidRPr="00086052">
        <w:rPr>
          <w:b/>
          <w:bCs w:val="0"/>
        </w:rPr>
        <w:t>Cross</w:t>
      </w:r>
      <w:r>
        <w:rPr>
          <w:b/>
          <w:bCs w:val="0"/>
        </w:rPr>
        <w:t>-</w:t>
      </w:r>
      <w:r w:rsidRPr="00086052">
        <w:rPr>
          <w:b/>
          <w:bCs w:val="0"/>
        </w:rPr>
        <w:t>Contractor Meetings</w:t>
      </w:r>
      <w:r>
        <w:t xml:space="preserve">. Create mutual understanding of upcoming work and enable parties to verify status and collaboratively work through any concerns. </w:t>
      </w:r>
    </w:p>
    <w:p w14:paraId="0D2CD7A5" w14:textId="78195611" w:rsidR="00DB3183" w:rsidRDefault="00DB3183" w:rsidP="00DB3183">
      <w:pPr>
        <w:pStyle w:val="BodyText"/>
      </w:pPr>
      <w:r>
        <w:t xml:space="preserve">If these preventive strategies were not effective and, for example, a dependent task such as availability of a </w:t>
      </w:r>
      <w:r w:rsidR="001324C7">
        <w:t xml:space="preserve">dependent </w:t>
      </w:r>
      <w:r w:rsidR="00C360D3">
        <w:t xml:space="preserve">release for system </w:t>
      </w:r>
      <w:r>
        <w:t>testing is delayed, the contractor</w:t>
      </w:r>
      <w:r w:rsidR="009D3E39">
        <w:t>s’</w:t>
      </w:r>
      <w:r>
        <w:t xml:space="preserve"> leadership from the affected area such as the </w:t>
      </w:r>
      <w:r w:rsidR="006E63FC">
        <w:t>BenefitsCal</w:t>
      </w:r>
      <w:r>
        <w:t xml:space="preserve"> Test Team and the </w:t>
      </w:r>
      <w:r w:rsidR="006E63FC">
        <w:t xml:space="preserve">CalSAWS </w:t>
      </w:r>
      <w:r w:rsidR="00C360D3">
        <w:t>M&amp;E</w:t>
      </w:r>
      <w:r>
        <w:t xml:space="preserve"> Team work to determine an acceptable alternative solution or </w:t>
      </w:r>
      <w:r w:rsidR="006E63FC">
        <w:t>resolution</w:t>
      </w:r>
      <w:r>
        <w:t xml:space="preserve"> steps to get the joint delivery effort back on track. </w:t>
      </w:r>
    </w:p>
    <w:p w14:paraId="2415A070" w14:textId="2B6BEBAE" w:rsidR="006E63FC" w:rsidRDefault="006E63FC" w:rsidP="00DB3183">
      <w:pPr>
        <w:pStyle w:val="BodyText"/>
      </w:pPr>
      <w:r>
        <w:t xml:space="preserve">In the event the situation </w:t>
      </w:r>
      <w:r w:rsidR="005B6284">
        <w:t>is not resolved at the team level,</w:t>
      </w:r>
      <w:r>
        <w:t xml:space="preserve"> the escalation path and conflict management techniques</w:t>
      </w:r>
      <w:r w:rsidR="005B6284">
        <w:t xml:space="preserve"> described previously would be employed.</w:t>
      </w:r>
    </w:p>
    <w:p w14:paraId="7E214951" w14:textId="65838072" w:rsidR="00CA0E0C" w:rsidRDefault="006B1A1B" w:rsidP="00CA0E0C">
      <w:pPr>
        <w:pStyle w:val="BodyText"/>
        <w:rPr>
          <w:b/>
          <w:bCs/>
          <w:sz w:val="32"/>
          <w:szCs w:val="32"/>
        </w:rPr>
      </w:pPr>
      <w:r w:rsidRPr="007804A8">
        <w:rPr>
          <w:noProof/>
        </w:rPr>
        <w:lastRenderedPageBreak/>
        <w:drawing>
          <wp:anchor distT="0" distB="0" distL="114300" distR="114300" simplePos="0" relativeHeight="251658291" behindDoc="0" locked="0" layoutInCell="1" allowOverlap="1" wp14:anchorId="448A66B6" wp14:editId="1FC923A9">
            <wp:simplePos x="0" y="0"/>
            <wp:positionH relativeFrom="margin">
              <wp:align>right</wp:align>
            </wp:positionH>
            <wp:positionV relativeFrom="paragraph">
              <wp:posOffset>-12948</wp:posOffset>
            </wp:positionV>
            <wp:extent cx="1388745" cy="1520825"/>
            <wp:effectExtent l="0" t="0" r="1905" b="3175"/>
            <wp:wrapSquare wrapText="bothSides"/>
            <wp:docPr id="1134062227" name="Graphic 9">
              <a:extLst xmlns:a="http://schemas.openxmlformats.org/drawingml/2006/main">
                <a:ext uri="{FF2B5EF4-FFF2-40B4-BE49-F238E27FC236}">
                  <a16:creationId xmlns:a16="http://schemas.microsoft.com/office/drawing/2014/main" id="{B5A36752-4DC0-C7B7-5F95-64DBA2356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B5A36752-4DC0-C7B7-5F95-64DBA2356C5A}"/>
                        </a:ext>
                      </a:extLst>
                    </pic:cNvPr>
                    <pic:cNvPicPr>
                      <a:picLocks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1388745" cy="1520825"/>
                    </a:xfrm>
                    <a:prstGeom prst="rect">
                      <a:avLst/>
                    </a:prstGeom>
                  </pic:spPr>
                </pic:pic>
              </a:graphicData>
            </a:graphic>
            <wp14:sizeRelH relativeFrom="page">
              <wp14:pctWidth>0</wp14:pctWidth>
            </wp14:sizeRelH>
            <wp14:sizeRelV relativeFrom="page">
              <wp14:pctHeight>0</wp14:pctHeight>
            </wp14:sizeRelV>
          </wp:anchor>
        </w:drawing>
      </w:r>
      <w:r w:rsidR="00C45481">
        <w:t>With Gainwell t</w:t>
      </w:r>
      <w:r w:rsidR="00C45481" w:rsidRPr="0009417C">
        <w:t xml:space="preserve">he Consortium gains a dedicated partner with extensive experience in the multi-contractor environment of CalSAWS. </w:t>
      </w:r>
      <w:r w:rsidR="00CA0E0C">
        <w:t>We focus on understanding the position and concerns of the other involved contractors, communicating information in a timely manner, and providing collaborative leadership.</w:t>
      </w:r>
      <w:r w:rsidR="007B7125">
        <w:t xml:space="preserve"> </w:t>
      </w:r>
    </w:p>
    <w:p w14:paraId="21028683" w14:textId="5E069333" w:rsidR="00C87BEA" w:rsidRDefault="00C45481" w:rsidP="00C45481">
      <w:pPr>
        <w:pStyle w:val="BodyText"/>
      </w:pPr>
      <w:r w:rsidRPr="0009417C">
        <w:t xml:space="preserve">The CalSAWS multi-contractor environment requires proactive collaboration, coordination, and communication to function as a unified team in support of better outcomes for </w:t>
      </w:r>
      <w:r w:rsidR="006B1A1B">
        <w:t>customers</w:t>
      </w:r>
      <w:r w:rsidRPr="0009417C">
        <w:t xml:space="preserve">, Counties, and stakeholders. Gainwell exhibits these important cultural characteristics in our service delivery today and will continue to provide leadership in cross-contractor collaboration and problem-solving as your </w:t>
      </w:r>
      <w:r w:rsidR="006B1A1B">
        <w:t>BenefitsCal M&amp;O</w:t>
      </w:r>
      <w:r w:rsidRPr="0009417C">
        <w:t xml:space="preserve"> provider.</w:t>
      </w:r>
    </w:p>
    <w:p w14:paraId="17C27748" w14:textId="77777777" w:rsidR="00DB3183" w:rsidRDefault="00DB3183">
      <w:pPr>
        <w:spacing w:after="160" w:line="259" w:lineRule="auto"/>
        <w:rPr>
          <w:b/>
          <w:bCs/>
          <w:color w:val="2B3A44"/>
          <w:sz w:val="32"/>
          <w:szCs w:val="32"/>
        </w:rPr>
      </w:pPr>
      <w:bookmarkStart w:id="42" w:name="_Toc172704159"/>
      <w:r>
        <w:br w:type="page"/>
      </w:r>
    </w:p>
    <w:p w14:paraId="307882AD" w14:textId="3D8FD0F0" w:rsidR="001237A7" w:rsidRDefault="001E24C3" w:rsidP="008F31B5">
      <w:pPr>
        <w:pStyle w:val="HeadingManual2"/>
      </w:pPr>
      <w:bookmarkStart w:id="43" w:name="_Toc173187478"/>
      <w:r>
        <w:lastRenderedPageBreak/>
        <w:t>4.2</w:t>
      </w:r>
      <w:r w:rsidR="000B5EB6">
        <w:tab/>
      </w:r>
      <w:r w:rsidR="001237A7">
        <w:t>Software Development</w:t>
      </w:r>
      <w:bookmarkEnd w:id="42"/>
      <w:r w:rsidR="00347A14">
        <w:t xml:space="preserve"> (5.2.3.2)</w:t>
      </w:r>
      <w:bookmarkEnd w:id="43"/>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1237A7" w14:paraId="10847CCA" w14:textId="77777777" w:rsidTr="001237A7">
        <w:tc>
          <w:tcPr>
            <w:tcW w:w="9350" w:type="dxa"/>
            <w:shd w:val="clear" w:color="auto" w:fill="EBEDF5"/>
          </w:tcPr>
          <w:tbl>
            <w:tblPr>
              <w:tblW w:w="9072" w:type="dxa"/>
              <w:tblLook w:val="04A0" w:firstRow="1" w:lastRow="0" w:firstColumn="1" w:lastColumn="0" w:noHBand="0" w:noVBand="1"/>
            </w:tblPr>
            <w:tblGrid>
              <w:gridCol w:w="990"/>
              <w:gridCol w:w="8082"/>
            </w:tblGrid>
            <w:tr w:rsidR="001237A7" w:rsidRPr="00A7028F" w14:paraId="04254C20" w14:textId="77777777" w:rsidTr="003E4AE0">
              <w:trPr>
                <w:trHeight w:val="300"/>
              </w:trPr>
              <w:tc>
                <w:tcPr>
                  <w:tcW w:w="990" w:type="dxa"/>
                  <w:shd w:val="clear" w:color="auto" w:fill="auto"/>
                  <w:noWrap/>
                </w:tcPr>
                <w:p w14:paraId="015F162D" w14:textId="77777777" w:rsidR="001237A7" w:rsidRPr="00A7028F" w:rsidRDefault="001237A7" w:rsidP="00B21AEA">
                  <w:pPr>
                    <w:pStyle w:val="ReqNo"/>
                    <w:framePr w:wrap="around"/>
                  </w:pPr>
                </w:p>
              </w:tc>
              <w:tc>
                <w:tcPr>
                  <w:tcW w:w="8082" w:type="dxa"/>
                  <w:shd w:val="clear" w:color="auto" w:fill="auto"/>
                </w:tcPr>
                <w:p w14:paraId="37E26ABB" w14:textId="77777777" w:rsidR="001237A7" w:rsidRPr="00A7028F" w:rsidRDefault="001237A7" w:rsidP="003E4AE0">
                  <w:pPr>
                    <w:pStyle w:val="BodyText0"/>
                    <w:framePr w:wrap="around"/>
                  </w:pPr>
                  <w:r w:rsidRPr="00A7028F">
                    <w:t xml:space="preserve">Describe </w:t>
                  </w:r>
                  <w:r>
                    <w:t>how you will improve the existing BenefitsCal approach to UCD and the overall User experience as part of the SDLC</w:t>
                  </w:r>
                  <w:r w:rsidRPr="00A7028F">
                    <w:t xml:space="preserve">. </w:t>
                  </w:r>
                </w:p>
              </w:tc>
            </w:tr>
          </w:tbl>
          <w:p w14:paraId="641B9087" w14:textId="77777777" w:rsidR="001237A7" w:rsidRDefault="001237A7" w:rsidP="001237A7">
            <w:pPr>
              <w:pStyle w:val="BodyText0"/>
              <w:framePr w:hSpace="0" w:wrap="auto" w:vAnchor="margin" w:yAlign="inline"/>
              <w:suppressOverlap w:val="0"/>
            </w:pPr>
          </w:p>
        </w:tc>
      </w:tr>
    </w:tbl>
    <w:p w14:paraId="63C1BBF7" w14:textId="30B97F7F" w:rsidR="004E67CE" w:rsidRDefault="00E837FB" w:rsidP="00E2565C">
      <w:pPr>
        <w:pStyle w:val="BodyText"/>
      </w:pPr>
      <w:r w:rsidRPr="00E837FB">
        <w:rPr>
          <w:noProof/>
        </w:rPr>
        <w:drawing>
          <wp:anchor distT="0" distB="0" distL="114300" distR="114300" simplePos="0" relativeHeight="251658267" behindDoc="1" locked="0" layoutInCell="1" allowOverlap="1" wp14:anchorId="48742572" wp14:editId="1DF6BA6D">
            <wp:simplePos x="0" y="0"/>
            <wp:positionH relativeFrom="column">
              <wp:posOffset>3975100</wp:posOffset>
            </wp:positionH>
            <wp:positionV relativeFrom="paragraph">
              <wp:posOffset>1116330</wp:posOffset>
            </wp:positionV>
            <wp:extent cx="1993392" cy="2249424"/>
            <wp:effectExtent l="0" t="0" r="6985" b="0"/>
            <wp:wrapTight wrapText="left">
              <wp:wrapPolygon edited="0">
                <wp:start x="7432" y="0"/>
                <wp:lineTo x="5987" y="366"/>
                <wp:lineTo x="4129" y="2012"/>
                <wp:lineTo x="3097" y="6586"/>
                <wp:lineTo x="2064" y="12257"/>
                <wp:lineTo x="619" y="14453"/>
                <wp:lineTo x="0" y="19027"/>
                <wp:lineTo x="0" y="21405"/>
                <wp:lineTo x="21469" y="21405"/>
                <wp:lineTo x="21469" y="18478"/>
                <wp:lineTo x="18373" y="14636"/>
                <wp:lineTo x="16515" y="11709"/>
                <wp:lineTo x="17547" y="8781"/>
                <wp:lineTo x="17753" y="5305"/>
                <wp:lineTo x="15689" y="4208"/>
                <wp:lineTo x="11767" y="2744"/>
                <wp:lineTo x="10735" y="1464"/>
                <wp:lineTo x="9290" y="0"/>
                <wp:lineTo x="7432" y="0"/>
              </wp:wrapPolygon>
            </wp:wrapTight>
            <wp:docPr id="8" name="Picture 7" descr="A person and a child hugging&#10;&#10;Description automatically generated">
              <a:extLst xmlns:a="http://schemas.openxmlformats.org/drawingml/2006/main">
                <a:ext uri="{FF2B5EF4-FFF2-40B4-BE49-F238E27FC236}">
                  <a16:creationId xmlns:a16="http://schemas.microsoft.com/office/drawing/2014/main" id="{2FD56F3C-9CA4-20B9-6707-CCF432A60E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erson and a child hugging&#10;&#10;Description automatically generated">
                      <a:extLst>
                        <a:ext uri="{FF2B5EF4-FFF2-40B4-BE49-F238E27FC236}">
                          <a16:creationId xmlns:a16="http://schemas.microsoft.com/office/drawing/2014/main" id="{2FD56F3C-9CA4-20B9-6707-CCF432A60EC5}"/>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93392" cy="2249424"/>
                    </a:xfrm>
                    <a:prstGeom prst="rect">
                      <a:avLst/>
                    </a:prstGeom>
                  </pic:spPr>
                </pic:pic>
              </a:graphicData>
            </a:graphic>
            <wp14:sizeRelH relativeFrom="page">
              <wp14:pctWidth>0</wp14:pctWidth>
            </wp14:sizeRelH>
            <wp14:sizeRelV relativeFrom="page">
              <wp14:pctHeight>0</wp14:pctHeight>
            </wp14:sizeRelV>
          </wp:anchor>
        </w:drawing>
      </w:r>
      <w:r w:rsidR="008B636F">
        <w:t>The Consortium’s vision</w:t>
      </w:r>
      <w:r w:rsidR="00E2565C">
        <w:t>, as described in the RFP,</w:t>
      </w:r>
      <w:r w:rsidR="008B636F">
        <w:t xml:space="preserve"> is to “e</w:t>
      </w:r>
      <w:r w:rsidR="004E67CE" w:rsidRPr="583B9D88">
        <w:t>xpand and further refine User Centered Design (UCD) and the User Experience (UX) within the software development process.</w:t>
      </w:r>
      <w:r w:rsidR="008B636F">
        <w:t>”</w:t>
      </w:r>
    </w:p>
    <w:p w14:paraId="4733B87D" w14:textId="2D36851D" w:rsidR="002532F8" w:rsidRDefault="002532F8" w:rsidP="002532F8">
      <w:pPr>
        <w:pStyle w:val="BodyText"/>
      </w:pPr>
      <w:r>
        <w:t>The delivery of system changes to BenefitsCal users is paramount to increasing adoption and customer satisfaction</w:t>
      </w:r>
      <w:r w:rsidR="00EE321F">
        <w:t xml:space="preserve">. </w:t>
      </w:r>
      <w:r>
        <w:t xml:space="preserve">Successful maintenance and enhancement </w:t>
      </w:r>
      <w:r w:rsidR="00172102">
        <w:t xml:space="preserve">of BenefitsCal is also important to </w:t>
      </w:r>
      <w:r>
        <w:t xml:space="preserve">the success of the County human services mission. Immediately following transition, we </w:t>
      </w:r>
      <w:r w:rsidR="00027B51">
        <w:t>utilize</w:t>
      </w:r>
      <w:r>
        <w:t xml:space="preserve"> the existing SCR development and delivery processes to reduce transition risk. </w:t>
      </w:r>
    </w:p>
    <w:p w14:paraId="26397C76" w14:textId="4BA40462" w:rsidR="002532F8" w:rsidRDefault="002532F8" w:rsidP="002532F8">
      <w:pPr>
        <w:pStyle w:val="BodyText"/>
      </w:pPr>
      <w:r>
        <w:t xml:space="preserve">This strategy enables us to fully understand the existing </w:t>
      </w:r>
      <w:r w:rsidR="00A92F06">
        <w:t>processes</w:t>
      </w:r>
      <w:r>
        <w:t xml:space="preserve">, which is our starting point for </w:t>
      </w:r>
      <w:r w:rsidR="00172102">
        <w:t xml:space="preserve">fully adopting the </w:t>
      </w:r>
      <w:r w:rsidR="00FD3EE0">
        <w:t xml:space="preserve">improved </w:t>
      </w:r>
      <w:r w:rsidR="00172102">
        <w:t>CalSAWS</w:t>
      </w:r>
      <w:r>
        <w:t xml:space="preserve"> SCR </w:t>
      </w:r>
      <w:r w:rsidR="00172102">
        <w:t>process</w:t>
      </w:r>
      <w:r w:rsidR="00EE321F">
        <w:t xml:space="preserve">. </w:t>
      </w:r>
      <w:r w:rsidR="00FB0323">
        <w:t xml:space="preserve">We understand that the </w:t>
      </w:r>
      <w:r w:rsidR="006E3709">
        <w:t>improvements to the CalSAWS SCR process are designed to reduce the overall time from idea to deployment</w:t>
      </w:r>
      <w:r w:rsidR="00EE321F">
        <w:t xml:space="preserve">. </w:t>
      </w:r>
    </w:p>
    <w:p w14:paraId="2C6C0620" w14:textId="4F4CA647" w:rsidR="002532F8" w:rsidRDefault="002532F8" w:rsidP="00E2565C">
      <w:pPr>
        <w:pStyle w:val="BodyText"/>
      </w:pPr>
      <w:r>
        <w:t xml:space="preserve">As we work in collaboration with the Consortium to </w:t>
      </w:r>
      <w:r w:rsidR="00C70231">
        <w:t xml:space="preserve">fully </w:t>
      </w:r>
      <w:r w:rsidR="00F336FA">
        <w:t xml:space="preserve">adopt the </w:t>
      </w:r>
      <w:r w:rsidR="0087016B">
        <w:t xml:space="preserve">improved </w:t>
      </w:r>
      <w:r w:rsidR="00F336FA">
        <w:t>CalSAWS SCR process</w:t>
      </w:r>
      <w:r>
        <w:t xml:space="preserve">, we continue to perform implementation, change management, and training activities related to SCR production delivery. We also participate in production readiness activities, including production release activities, and production certification and post-deployment activities. </w:t>
      </w:r>
    </w:p>
    <w:p w14:paraId="3A4CD30B" w14:textId="06B31241" w:rsidR="00E22111" w:rsidRDefault="00E22111" w:rsidP="005E4E62">
      <w:pPr>
        <w:pStyle w:val="BodyText"/>
      </w:pPr>
      <w:r>
        <w:t xml:space="preserve">We begin this section with an overview of our software development </w:t>
      </w:r>
      <w:r w:rsidR="00D20A0F">
        <w:t xml:space="preserve">lifecycle (SDLC) </w:t>
      </w:r>
      <w:r>
        <w:t>approach</w:t>
      </w:r>
      <w:r w:rsidR="00D20A0F">
        <w:t xml:space="preserve"> which is followed by a discussion of how we integrate UCD into our SDLC to improve the overall user experience.</w:t>
      </w:r>
    </w:p>
    <w:p w14:paraId="47416BCD" w14:textId="3E02DBF3" w:rsidR="00D20A0F" w:rsidRDefault="00D20A0F" w:rsidP="00D20A0F">
      <w:pPr>
        <w:pStyle w:val="HeadingManual3"/>
      </w:pPr>
      <w:bookmarkStart w:id="44" w:name="_Toc173187479"/>
      <w:r>
        <w:t>4.2.1</w:t>
      </w:r>
      <w:r>
        <w:tab/>
        <w:t>Software Development Approach</w:t>
      </w:r>
      <w:bookmarkEnd w:id="44"/>
    </w:p>
    <w:p w14:paraId="66ECF4FD" w14:textId="2E2B292E" w:rsidR="00EC0682" w:rsidRDefault="00B03A29" w:rsidP="001671E3">
      <w:pPr>
        <w:pStyle w:val="BodyText"/>
      </w:pPr>
      <w:r>
        <w:t>Gainwell Technologies is the leading provider of digital and cloud-enabled solutions vital to the administration and operations of health and human services programs. With more than 50 years of proven experience, Gainwell has a reputation for service excellence and unparalleled industry expertise. We offer clients scalable and flexible solutions for their most complex challenges</w:t>
      </w:r>
      <w:r w:rsidR="00EE321F">
        <w:t xml:space="preserve">. </w:t>
      </w:r>
      <w:r w:rsidR="00EC0682" w:rsidRPr="00B03A29">
        <w:rPr>
          <w:b/>
          <w:bCs/>
        </w:rPr>
        <w:t>Gainwell provides and maintains government health and human services portals in 27 states and territories</w:t>
      </w:r>
      <w:r w:rsidR="00D64F19">
        <w:t xml:space="preserve">. </w:t>
      </w:r>
      <w:r w:rsidR="00A8333C">
        <w:t>The Consortium benefits from tha</w:t>
      </w:r>
      <w:r w:rsidR="00370E0C">
        <w:t>t</w:t>
      </w:r>
      <w:r w:rsidR="00A8333C">
        <w:t xml:space="preserve"> experience along with the expertise of our corporate product team.</w:t>
      </w:r>
      <w:r w:rsidR="001671E3">
        <w:t xml:space="preserve"> </w:t>
      </w:r>
    </w:p>
    <w:p w14:paraId="65BB1B81" w14:textId="77777777" w:rsidR="00362E77" w:rsidRDefault="008E3819" w:rsidP="00C9771D">
      <w:pPr>
        <w:pStyle w:val="BodyText"/>
      </w:pPr>
      <w:r>
        <w:t xml:space="preserve">Our approach incorporates </w:t>
      </w:r>
      <w:r w:rsidR="00362E77">
        <w:t>two software development teams, our Product Team and our Application Maintenance Team.</w:t>
      </w:r>
    </w:p>
    <w:p w14:paraId="561B0545" w14:textId="77777777" w:rsidR="00362E77" w:rsidRDefault="00362E77" w:rsidP="00362E77">
      <w:pPr>
        <w:pStyle w:val="BodyText"/>
      </w:pPr>
      <w:r>
        <w:lastRenderedPageBreak/>
        <w:t>Our Application Maintenance Team under the leadership of our Application Manager focuses on System Change Requests (SCRs).</w:t>
      </w:r>
    </w:p>
    <w:p w14:paraId="17437C9B" w14:textId="2BAA5595" w:rsidR="00334EB5" w:rsidRDefault="00D20A0F" w:rsidP="00C9771D">
      <w:pPr>
        <w:pStyle w:val="BodyText"/>
      </w:pPr>
      <w:r>
        <w:t>Our</w:t>
      </w:r>
      <w:r w:rsidR="00370E0C">
        <w:t xml:space="preserve"> BenefitsCal</w:t>
      </w:r>
      <w:r>
        <w:t xml:space="preserve"> Product Team under the leadership of our Product Manager focuses on </w:t>
      </w:r>
      <w:r w:rsidR="00266E2E">
        <w:t xml:space="preserve">continuous improvement to the BenefitsCal product for the benefit of the </w:t>
      </w:r>
      <w:r w:rsidR="00E63B75">
        <w:t>users</w:t>
      </w:r>
      <w:r w:rsidR="004E75E9">
        <w:t xml:space="preserve">. </w:t>
      </w:r>
      <w:r w:rsidR="00C9771D">
        <w:t xml:space="preserve">The </w:t>
      </w:r>
      <w:r w:rsidR="00E63B75">
        <w:t>Product</w:t>
      </w:r>
      <w:r w:rsidR="00C9771D">
        <w:t xml:space="preserve"> Team’s primary objective is transforming </w:t>
      </w:r>
      <w:r w:rsidR="00E63B75">
        <w:t>the BenefitsCal</w:t>
      </w:r>
      <w:r w:rsidR="00C9771D">
        <w:t xml:space="preserve"> application to keep it relevant</w:t>
      </w:r>
      <w:r w:rsidR="00CC209A">
        <w:t>, increasing adoption and user satisfaction</w:t>
      </w:r>
      <w:r w:rsidR="00C9771D">
        <w:t xml:space="preserve">. This team is responsible for </w:t>
      </w:r>
      <w:r w:rsidR="00CC209A">
        <w:t>creating th</w:t>
      </w:r>
      <w:r w:rsidR="00344B8A">
        <w:t xml:space="preserve">e BenefitsCal product roadmap, </w:t>
      </w:r>
      <w:r w:rsidR="003056D7">
        <w:t>participating in ideation and executing innovation proof-of-concept projects</w:t>
      </w:r>
      <w:r w:rsidR="00C9771D">
        <w:t xml:space="preserve">. The </w:t>
      </w:r>
      <w:r w:rsidR="003056D7">
        <w:t>Product</w:t>
      </w:r>
      <w:r w:rsidR="00C9771D">
        <w:t xml:space="preserve"> Team is also the proving ground for </w:t>
      </w:r>
      <w:r w:rsidR="00043ADB">
        <w:t>enhancing</w:t>
      </w:r>
      <w:r w:rsidR="00A92B26">
        <w:t xml:space="preserve"> </w:t>
      </w:r>
      <w:r w:rsidR="00C9771D">
        <w:t>the development approach</w:t>
      </w:r>
      <w:r w:rsidR="001D0EC5">
        <w:t xml:space="preserve"> and the testing ground for Application/Architecture evolution projects</w:t>
      </w:r>
      <w:r w:rsidR="00C9771D">
        <w:t xml:space="preserve">. </w:t>
      </w:r>
    </w:p>
    <w:p w14:paraId="5F32CE31" w14:textId="252AF8C1" w:rsidR="00C9771D" w:rsidRDefault="000A34EE" w:rsidP="00C9771D">
      <w:pPr>
        <w:pStyle w:val="BodyText"/>
      </w:pPr>
      <w:r>
        <w:t>Our</w:t>
      </w:r>
      <w:r w:rsidR="00C9771D">
        <w:t xml:space="preserve"> </w:t>
      </w:r>
      <w:r w:rsidR="001D0EC5">
        <w:t>Product</w:t>
      </w:r>
      <w:r w:rsidR="00C9771D">
        <w:t xml:space="preserve"> Team </w:t>
      </w:r>
      <w:r>
        <w:t xml:space="preserve">and our Application Maintenance Team </w:t>
      </w:r>
      <w:r w:rsidR="00C9771D">
        <w:t xml:space="preserve">execute </w:t>
      </w:r>
      <w:r w:rsidR="00F53789">
        <w:t>using an Agile SDLC</w:t>
      </w:r>
      <w:r w:rsidR="004E75E9">
        <w:t xml:space="preserve">. </w:t>
      </w:r>
      <w:r w:rsidR="000F34C3">
        <w:t xml:space="preserve">Both teams are </w:t>
      </w:r>
      <w:r w:rsidR="00F53789">
        <w:t>also well versed in the Hybrid Agile methodology</w:t>
      </w:r>
      <w:r w:rsidR="00574CC6">
        <w:t xml:space="preserve"> for enhancements that are better coordinated through this methodology, for example, when it simplifies the coordination with another contractor who has a dependent release</w:t>
      </w:r>
      <w:r w:rsidR="00F53789">
        <w:t>.</w:t>
      </w:r>
    </w:p>
    <w:p w14:paraId="023CC6EB" w14:textId="10A4E9CF" w:rsidR="00EA222A" w:rsidRDefault="00EA222A" w:rsidP="00C9771D">
      <w:pPr>
        <w:pStyle w:val="BodyText"/>
      </w:pPr>
      <w:r w:rsidRPr="002839DD">
        <w:rPr>
          <w:noProof/>
          <w14:ligatures w14:val="standardContextual"/>
        </w:rPr>
        <w:drawing>
          <wp:inline distT="0" distB="0" distL="0" distR="0" wp14:anchorId="21AA56C9" wp14:editId="7DAC8C5A">
            <wp:extent cx="5486400" cy="4191000"/>
            <wp:effectExtent l="38100" t="38100" r="95250" b="0"/>
            <wp:docPr id="248234348"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14:paraId="462C6B82" w14:textId="6CCE42BD" w:rsidR="00C9771D" w:rsidRDefault="000F34C3" w:rsidP="00C9771D">
      <w:pPr>
        <w:pStyle w:val="BodyText"/>
      </w:pPr>
      <w:r>
        <w:t>Providing a Product Team separate from our Application Maintenance Team</w:t>
      </w:r>
      <w:r w:rsidR="00C9771D">
        <w:t xml:space="preserve"> provides the following benefits:</w:t>
      </w:r>
    </w:p>
    <w:p w14:paraId="31253AF6" w14:textId="1C7E54B6" w:rsidR="00C9771D" w:rsidRDefault="000A6B36" w:rsidP="002269E0">
      <w:pPr>
        <w:pStyle w:val="CvrLtrBullet1Double"/>
      </w:pPr>
      <w:r w:rsidRPr="00537485">
        <w:rPr>
          <w:b/>
        </w:rPr>
        <w:t>Subject Matter Experts (</w:t>
      </w:r>
      <w:r w:rsidR="00C9771D" w:rsidRPr="00537485">
        <w:rPr>
          <w:b/>
        </w:rPr>
        <w:t>SMEs</w:t>
      </w:r>
      <w:r w:rsidRPr="00537485">
        <w:rPr>
          <w:b/>
        </w:rPr>
        <w:t>)</w:t>
      </w:r>
      <w:r w:rsidR="00C9771D">
        <w:t xml:space="preserve"> are available to the Application Maintenance Team.</w:t>
      </w:r>
    </w:p>
    <w:p w14:paraId="7C53B5F2" w14:textId="13944367" w:rsidR="00C9771D" w:rsidRDefault="00C9771D" w:rsidP="002269E0">
      <w:pPr>
        <w:pStyle w:val="CvrLtrBullet1Double"/>
      </w:pPr>
      <w:r w:rsidRPr="00537485">
        <w:rPr>
          <w:b/>
        </w:rPr>
        <w:lastRenderedPageBreak/>
        <w:t>Challenges and risks are identified and mitigated</w:t>
      </w:r>
      <w:r w:rsidR="000F58F1">
        <w:t xml:space="preserve"> by the Product Team</w:t>
      </w:r>
      <w:r>
        <w:t>, minimizing loss of productivity.</w:t>
      </w:r>
    </w:p>
    <w:p w14:paraId="3278092A" w14:textId="77777777" w:rsidR="00C9771D" w:rsidRDefault="00C9771D" w:rsidP="002269E0">
      <w:pPr>
        <w:pStyle w:val="CvrLtrBullet1Double"/>
      </w:pPr>
      <w:r w:rsidRPr="00537485">
        <w:rPr>
          <w:b/>
        </w:rPr>
        <w:t>Change management</w:t>
      </w:r>
      <w:r>
        <w:t xml:space="preserve"> can be conducted in advance. </w:t>
      </w:r>
    </w:p>
    <w:p w14:paraId="42045AA9" w14:textId="0281C65B" w:rsidR="00C9771D" w:rsidRDefault="00C9771D" w:rsidP="002269E0">
      <w:pPr>
        <w:pStyle w:val="CvrLtrBullet1Double"/>
      </w:pPr>
      <w:r w:rsidRPr="00537485">
        <w:rPr>
          <w:b/>
        </w:rPr>
        <w:t>New processes</w:t>
      </w:r>
      <w:r w:rsidR="000F58F1" w:rsidRPr="00537485">
        <w:rPr>
          <w:b/>
        </w:rPr>
        <w:t xml:space="preserve"> and innovative functionality</w:t>
      </w:r>
      <w:r w:rsidRPr="00537485">
        <w:rPr>
          <w:b/>
        </w:rPr>
        <w:t xml:space="preserve"> are tested and refined</w:t>
      </w:r>
      <w:r w:rsidR="000F58F1">
        <w:t xml:space="preserve"> by the Product Team</w:t>
      </w:r>
      <w:r>
        <w:t xml:space="preserve"> before they are introduced to ongoing application maintenance. </w:t>
      </w:r>
    </w:p>
    <w:p w14:paraId="5A923B15" w14:textId="7A60E5CD" w:rsidR="000F58F1" w:rsidRDefault="000F58F1" w:rsidP="002269E0">
      <w:pPr>
        <w:pStyle w:val="CvrLtrBullet1Double"/>
      </w:pPr>
      <w:r w:rsidRPr="00537485">
        <w:rPr>
          <w:b/>
        </w:rPr>
        <w:t>SCRs are implemented at a faster pace</w:t>
      </w:r>
      <w:r>
        <w:t xml:space="preserve"> by the Application Maintenance Team who is dedicated to the enhancement process</w:t>
      </w:r>
      <w:r w:rsidR="00C863D4">
        <w:t xml:space="preserve"> by removing activities related to innovation</w:t>
      </w:r>
      <w:r w:rsidR="000A6B36">
        <w:t xml:space="preserve"> and Application/Architecture evolution</w:t>
      </w:r>
      <w:r w:rsidR="00C863D4">
        <w:t xml:space="preserve"> proof-of-con</w:t>
      </w:r>
      <w:r w:rsidR="000A6B36">
        <w:t>cepts.</w:t>
      </w:r>
    </w:p>
    <w:p w14:paraId="3C16ED65" w14:textId="77777777" w:rsidR="00C9771D" w:rsidRPr="00446829" w:rsidRDefault="00C9771D" w:rsidP="00C9771D">
      <w:pPr>
        <w:pStyle w:val="Subheading"/>
      </w:pPr>
      <w:r w:rsidRPr="00446829">
        <w:t>Software Lifecycle Methodology</w:t>
      </w:r>
    </w:p>
    <w:p w14:paraId="429267EF" w14:textId="4E958A5D" w:rsidR="00A31342" w:rsidRDefault="00C9771D" w:rsidP="00C9771D">
      <w:pPr>
        <w:pStyle w:val="BodyText"/>
      </w:pPr>
      <w:r>
        <w:t xml:space="preserve">Gainwell’s approach to </w:t>
      </w:r>
      <w:r w:rsidR="0006263B">
        <w:t>software development uses the</w:t>
      </w:r>
      <w:r>
        <w:t xml:space="preserve"> Agile Framework</w:t>
      </w:r>
      <w:r w:rsidRPr="00952B20">
        <w:t xml:space="preserve">. </w:t>
      </w:r>
      <w:r>
        <w:t xml:space="preserve">A development plan based on the </w:t>
      </w:r>
      <w:r w:rsidR="0006263B">
        <w:t>enhancement</w:t>
      </w:r>
      <w:r>
        <w:t xml:space="preserve"> selected is determined prior to starting sprints. For example, </w:t>
      </w:r>
      <w:r w:rsidR="0006263B">
        <w:t xml:space="preserve">the </w:t>
      </w:r>
      <w:r w:rsidR="007D1C43">
        <w:t xml:space="preserve">Consortium is implementing Release of Information (ROI) functionality into </w:t>
      </w:r>
      <w:r w:rsidR="00A31342">
        <w:t>BenefitsCal</w:t>
      </w:r>
      <w:r>
        <w:t xml:space="preserve">. </w:t>
      </w:r>
      <w:r w:rsidR="00A31342">
        <w:t xml:space="preserve">One aspect of </w:t>
      </w:r>
      <w:r w:rsidR="00A31342" w:rsidRPr="00EC0682">
        <w:t>ROI includes functionality</w:t>
      </w:r>
      <w:r w:rsidR="00A31342">
        <w:t xml:space="preserve"> to provide Community Based Organization (CBO) options to select from</w:t>
      </w:r>
      <w:r w:rsidR="004E75E9">
        <w:t xml:space="preserve">. </w:t>
      </w:r>
      <w:r w:rsidR="008D4445">
        <w:t>While this functionality may seem simple, there are significant complexities to this type of provider selection</w:t>
      </w:r>
      <w:r w:rsidR="004E75E9">
        <w:t xml:space="preserve">. </w:t>
      </w:r>
      <w:r w:rsidR="00275707">
        <w:t>To understand the implication of design decisions Agile sprints can be employed to verify whether the intended outcome is met and what unintended consequences arise as a result of the design decisions much earlier in the process than with other more traditional SDLC methodologies.</w:t>
      </w:r>
    </w:p>
    <w:p w14:paraId="569E1A06" w14:textId="5383195D" w:rsidR="00C9771D" w:rsidRDefault="00515E25" w:rsidP="00C9771D">
      <w:pPr>
        <w:pStyle w:val="BodyText"/>
      </w:pPr>
      <w:r>
        <w:t>The figure below</w:t>
      </w:r>
      <w:r w:rsidR="00C9771D">
        <w:t xml:space="preserve"> shows the </w:t>
      </w:r>
      <w:r w:rsidR="00316A46">
        <w:t>standard</w:t>
      </w:r>
      <w:r w:rsidR="00C9771D">
        <w:t xml:space="preserve"> version of Gainwell’s </w:t>
      </w:r>
      <w:r w:rsidR="00316A46">
        <w:t>Agile framework</w:t>
      </w:r>
      <w:r w:rsidR="00C9771D" w:rsidRPr="00952B20">
        <w:t>,</w:t>
      </w:r>
      <w:r w:rsidR="00C9771D">
        <w:t xml:space="preserve"> which can be adjusted based on the development plan for the selected </w:t>
      </w:r>
      <w:r w:rsidR="00316A46">
        <w:t>enhancement</w:t>
      </w:r>
      <w:r w:rsidR="00C9771D">
        <w:t xml:space="preserve"> as to sprint length, etc.</w:t>
      </w:r>
    </w:p>
    <w:p w14:paraId="64AD6380" w14:textId="77777777" w:rsidR="009A2D7D" w:rsidRDefault="009A2D7D" w:rsidP="004339C5">
      <w:pPr>
        <w:pStyle w:val="FigureCaptionAuto"/>
      </w:pPr>
      <w:bookmarkStart w:id="45" w:name="_Toc173187520"/>
      <w:r>
        <w:t>Agile Framework</w:t>
      </w:r>
      <w:bookmarkEnd w:id="45"/>
    </w:p>
    <w:p w14:paraId="1ED1AE19" w14:textId="14BD8179" w:rsidR="00C9771D" w:rsidRDefault="00467999" w:rsidP="00C9771D">
      <w:pPr>
        <w:pStyle w:val="BodyText"/>
      </w:pPr>
      <w:r>
        <w:rPr>
          <w:noProof/>
        </w:rPr>
        <w:drawing>
          <wp:inline distT="0" distB="0" distL="0" distR="0" wp14:anchorId="1037806D" wp14:editId="68A76201">
            <wp:extent cx="5924716" cy="2515599"/>
            <wp:effectExtent l="0" t="0" r="0" b="0"/>
            <wp:docPr id="15172592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5904" cy="2524595"/>
                    </a:xfrm>
                    <a:prstGeom prst="rect">
                      <a:avLst/>
                    </a:prstGeom>
                    <a:noFill/>
                  </pic:spPr>
                </pic:pic>
              </a:graphicData>
            </a:graphic>
          </wp:inline>
        </w:drawing>
      </w:r>
    </w:p>
    <w:p w14:paraId="6D10B36C" w14:textId="464919E2" w:rsidR="00C9771D" w:rsidRDefault="00C9771D" w:rsidP="007D4108">
      <w:pPr>
        <w:pStyle w:val="BodyText"/>
        <w:keepNext/>
        <w:keepLines/>
      </w:pPr>
      <w:r w:rsidRPr="003F4302">
        <w:lastRenderedPageBreak/>
        <w:t>Th</w:t>
      </w:r>
      <w:r>
        <w:t>is</w:t>
      </w:r>
      <w:r w:rsidRPr="003F4302">
        <w:t xml:space="preserve"> sample approach starts with Agile teams performing the Program Increment (PI) planning.</w:t>
      </w:r>
      <w:r>
        <w:t xml:space="preserve"> </w:t>
      </w:r>
      <w:r w:rsidR="00316A46">
        <w:t>The figure above</w:t>
      </w:r>
      <w:r>
        <w:t xml:space="preserve"> illustrates two Agile teams and therefore two PI planning actions. The PI planning process includes Gainwell and Consortium security staff to highlight security considerations early in the </w:t>
      </w:r>
      <w:r w:rsidRPr="00952B20">
        <w:t>SDLC</w:t>
      </w:r>
      <w:r>
        <w:t>.</w:t>
      </w:r>
    </w:p>
    <w:p w14:paraId="34C014DF" w14:textId="38E1013E" w:rsidR="00C9771D" w:rsidRDefault="00C9771D" w:rsidP="00C9771D">
      <w:pPr>
        <w:pStyle w:val="BodyText"/>
      </w:pPr>
      <w:r>
        <w:t xml:space="preserve">Typically, the PI addresses a 3-month period comprising six </w:t>
      </w:r>
      <w:r w:rsidR="00870828">
        <w:t xml:space="preserve">2-week </w:t>
      </w:r>
      <w:r>
        <w:t xml:space="preserve">sprints; however, each PI length is determined based on the work to be performed and the targeted point of synchronization with the </w:t>
      </w:r>
      <w:r w:rsidR="000B1A22">
        <w:t>base</w:t>
      </w:r>
      <w:r>
        <w:t xml:space="preserve"> application</w:t>
      </w:r>
      <w:r w:rsidDel="00A2793E">
        <w:t xml:space="preserve">. </w:t>
      </w:r>
      <w:r>
        <w:t xml:space="preserve">Based on the PI plan, each Agile team determines the plan for the individual sprint that meets the overall PI objective. </w:t>
      </w:r>
    </w:p>
    <w:p w14:paraId="47ED725F" w14:textId="05F8C75B" w:rsidR="00C9771D" w:rsidRDefault="00C9771D" w:rsidP="00C9771D">
      <w:pPr>
        <w:pStyle w:val="BodyText"/>
      </w:pPr>
      <w:r>
        <w:t xml:space="preserve">As each sprint reaches the point of testing, we incorporate automation </w:t>
      </w:r>
      <w:r w:rsidRPr="00483DC9">
        <w:t xml:space="preserve">earlier </w:t>
      </w:r>
      <w:r>
        <w:t xml:space="preserve">in the </w:t>
      </w:r>
      <w:r w:rsidRPr="00952B20">
        <w:t>SDLC</w:t>
      </w:r>
      <w:r>
        <w:t xml:space="preserve"> to include aspects of system testing. The testing process </w:t>
      </w:r>
      <w:r w:rsidR="000B1A22">
        <w:t>also employs</w:t>
      </w:r>
      <w:r>
        <w:t xml:space="preserve"> automated regression testing.</w:t>
      </w:r>
    </w:p>
    <w:p w14:paraId="4F7FDAD7" w14:textId="67E3E976" w:rsidR="00C9771D" w:rsidRDefault="00C9771D" w:rsidP="00C9771D">
      <w:pPr>
        <w:pStyle w:val="BodyText"/>
      </w:pPr>
      <w:r>
        <w:t xml:space="preserve">To support continuous software </w:t>
      </w:r>
      <w:r w:rsidR="000B1A22">
        <w:t>development</w:t>
      </w:r>
      <w:r w:rsidRPr="00952B20">
        <w:t>,</w:t>
      </w:r>
      <w:r>
        <w:t xml:space="preserve"> continuous testing must be conducted, making an automated testing capability critical. With automated testing tools, the testing team writes scripts once that can be re-executed. </w:t>
      </w:r>
      <w:r w:rsidR="000B1A22">
        <w:t>The figure below</w:t>
      </w:r>
      <w:r>
        <w:t xml:space="preserve"> illustrates the goal for </w:t>
      </w:r>
      <w:r w:rsidR="000B1A22">
        <w:t xml:space="preserve">BenefitsCal </w:t>
      </w:r>
      <w:r>
        <w:t xml:space="preserve">automated testing. </w:t>
      </w:r>
    </w:p>
    <w:p w14:paraId="711391B5" w14:textId="77777777" w:rsidR="009A2D7D" w:rsidRDefault="009A2D7D" w:rsidP="004339C5">
      <w:pPr>
        <w:pStyle w:val="FigureCaptionAuto"/>
      </w:pPr>
      <w:bookmarkStart w:id="46" w:name="_Toc173187521"/>
      <w:r>
        <w:t>BenefitsCal Automated Testing</w:t>
      </w:r>
      <w:bookmarkEnd w:id="46"/>
      <w:r>
        <w:t xml:space="preserve"> </w:t>
      </w:r>
    </w:p>
    <w:p w14:paraId="1F173BD9" w14:textId="77777777" w:rsidR="00C9771D" w:rsidRDefault="00C9771D" w:rsidP="00C9771D">
      <w:pPr>
        <w:pStyle w:val="BodyText"/>
      </w:pPr>
      <w:r>
        <w:rPr>
          <w:noProof/>
        </w:rPr>
        <w:drawing>
          <wp:inline distT="0" distB="0" distL="0" distR="0" wp14:anchorId="03C62281" wp14:editId="067CCAF3">
            <wp:extent cx="5904865" cy="115062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6082" b="2074"/>
                    <a:stretch/>
                  </pic:blipFill>
                  <pic:spPr bwMode="auto">
                    <a:xfrm>
                      <a:off x="0" y="0"/>
                      <a:ext cx="5907749" cy="1151182"/>
                    </a:xfrm>
                    <a:prstGeom prst="rect">
                      <a:avLst/>
                    </a:prstGeom>
                    <a:noFill/>
                    <a:ln>
                      <a:noFill/>
                    </a:ln>
                    <a:extLst>
                      <a:ext uri="{53640926-AAD7-44D8-BBD7-CCE9431645EC}">
                        <a14:shadowObscured xmlns:a14="http://schemas.microsoft.com/office/drawing/2010/main"/>
                      </a:ext>
                    </a:extLst>
                  </pic:spPr>
                </pic:pic>
              </a:graphicData>
            </a:graphic>
          </wp:inline>
        </w:drawing>
      </w:r>
    </w:p>
    <w:p w14:paraId="595FC0C8" w14:textId="431DE9A6" w:rsidR="00C9771D" w:rsidRDefault="007D4108" w:rsidP="00C9771D">
      <w:pPr>
        <w:pStyle w:val="BodyText"/>
      </w:pPr>
      <w:r>
        <w:rPr>
          <w:noProof/>
        </w:rPr>
        <w:drawing>
          <wp:anchor distT="0" distB="0" distL="114300" distR="114300" simplePos="0" relativeHeight="251658308" behindDoc="1" locked="1" layoutInCell="1" allowOverlap="1" wp14:anchorId="3350E96B" wp14:editId="0B3AC471">
            <wp:simplePos x="0" y="0"/>
            <wp:positionH relativeFrom="margin">
              <wp:align>right</wp:align>
            </wp:positionH>
            <wp:positionV relativeFrom="paragraph">
              <wp:posOffset>-4751070</wp:posOffset>
            </wp:positionV>
            <wp:extent cx="2569210" cy="4019550"/>
            <wp:effectExtent l="0" t="0" r="2540" b="0"/>
            <wp:wrapSquare wrapText="left"/>
            <wp:docPr id="102010155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69210" cy="4019550"/>
                    </a:xfrm>
                    <a:prstGeom prst="rect">
                      <a:avLst/>
                    </a:prstGeom>
                    <a:noFill/>
                  </pic:spPr>
                </pic:pic>
              </a:graphicData>
            </a:graphic>
            <wp14:sizeRelH relativeFrom="margin">
              <wp14:pctWidth>0</wp14:pctWidth>
            </wp14:sizeRelH>
            <wp14:sizeRelV relativeFrom="margin">
              <wp14:pctHeight>0</wp14:pctHeight>
            </wp14:sizeRelV>
          </wp:anchor>
        </w:drawing>
      </w:r>
      <w:r w:rsidR="00C9771D">
        <w:t xml:space="preserve">As the figure above illustrates, our testing automation includes the addition of automated unit, integration, security, and functional testing to the automated regression testing in use for the CalSAWS application. </w:t>
      </w:r>
    </w:p>
    <w:p w14:paraId="75B4C379" w14:textId="45BDA492" w:rsidR="00C9771D" w:rsidRDefault="00647268" w:rsidP="00C9771D">
      <w:pPr>
        <w:pStyle w:val="BodyText"/>
      </w:pPr>
      <w:r>
        <w:t xml:space="preserve">By combining our Agile methodology </w:t>
      </w:r>
      <w:r w:rsidR="00C9771D" w:rsidRPr="00260907">
        <w:t>with the R</w:t>
      </w:r>
      <w:r w:rsidR="00C9771D">
        <w:t xml:space="preserve">elease </w:t>
      </w:r>
      <w:r w:rsidR="00C9771D" w:rsidRPr="00260907">
        <w:t>W</w:t>
      </w:r>
      <w:r w:rsidR="00C9771D">
        <w:t xml:space="preserve">hen </w:t>
      </w:r>
      <w:r w:rsidR="00C9771D" w:rsidRPr="00260907">
        <w:t>R</w:t>
      </w:r>
      <w:r w:rsidR="00C9771D">
        <w:t>eady (</w:t>
      </w:r>
      <w:r w:rsidR="00C9771D" w:rsidRPr="00260907">
        <w:t>RWR</w:t>
      </w:r>
      <w:r w:rsidR="00C9771D">
        <w:t>)</w:t>
      </w:r>
      <w:r w:rsidR="00C9771D" w:rsidRPr="00260907">
        <w:t xml:space="preserve"> process, the team can </w:t>
      </w:r>
      <w:r w:rsidR="00C9771D" w:rsidRPr="00537485">
        <w:rPr>
          <w:b/>
        </w:rPr>
        <w:t xml:space="preserve">implement changes to </w:t>
      </w:r>
      <w:r w:rsidRPr="00537485">
        <w:rPr>
          <w:b/>
        </w:rPr>
        <w:t>BenefitsCal</w:t>
      </w:r>
      <w:r w:rsidR="00C9771D" w:rsidRPr="00537485">
        <w:rPr>
          <w:b/>
        </w:rPr>
        <w:t xml:space="preserve"> faster</w:t>
      </w:r>
      <w:r w:rsidR="00C9771D">
        <w:t>.</w:t>
      </w:r>
    </w:p>
    <w:p w14:paraId="0D0A4AA9" w14:textId="1A8BFC22" w:rsidR="00ED29D0" w:rsidRDefault="00282256" w:rsidP="00C9771D">
      <w:pPr>
        <w:pStyle w:val="BodyText"/>
      </w:pPr>
      <w:r>
        <w:t xml:space="preserve">Our </w:t>
      </w:r>
      <w:r w:rsidR="00ED29D0">
        <w:t>Gainwell team</w:t>
      </w:r>
      <w:r>
        <w:t xml:space="preserve"> used this software development approach</w:t>
      </w:r>
      <w:r w:rsidR="00ED29D0">
        <w:t xml:space="preserve"> to implement the CalSAWS GA/GR Correspondence Module as described in the </w:t>
      </w:r>
      <w:r w:rsidR="00ED29D0" w:rsidRPr="004B0262">
        <w:t>callout box.</w:t>
      </w:r>
    </w:p>
    <w:p w14:paraId="1C7D1437" w14:textId="7D5D522A" w:rsidR="009F40B3" w:rsidRDefault="00ED29D0" w:rsidP="00C9771D">
      <w:pPr>
        <w:pStyle w:val="BodyText"/>
      </w:pPr>
      <w:r>
        <w:lastRenderedPageBreak/>
        <w:t>This</w:t>
      </w:r>
      <w:r w:rsidR="00E745CA">
        <w:t xml:space="preserve"> software development approach</w:t>
      </w:r>
      <w:r w:rsidR="00647268">
        <w:t xml:space="preserve"> is used by both the Product Team and the Application Maintenance Team</w:t>
      </w:r>
      <w:r w:rsidR="004E75E9">
        <w:t xml:space="preserve">. </w:t>
      </w:r>
    </w:p>
    <w:p w14:paraId="2D31F535" w14:textId="4832F014" w:rsidR="00E23946" w:rsidRDefault="00E23946" w:rsidP="00C9771D">
      <w:pPr>
        <w:pStyle w:val="BodyText"/>
      </w:pPr>
      <w:r>
        <w:t>While Gainwell provides custom solutions for our clients based on their unique requirements, we also provide a number of product solutions, two of which are described in the following subsection.</w:t>
      </w:r>
    </w:p>
    <w:p w14:paraId="41C40B1E" w14:textId="61469624" w:rsidR="00A42EED" w:rsidRDefault="00A42EED" w:rsidP="00A42EED">
      <w:pPr>
        <w:pStyle w:val="HeadingManual3"/>
      </w:pPr>
      <w:bookmarkStart w:id="47" w:name="_Toc173187480"/>
      <w:r>
        <w:t>4.2.2</w:t>
      </w:r>
      <w:r>
        <w:tab/>
      </w:r>
      <w:r w:rsidR="00E23946">
        <w:t>Gainwell Product Solutions</w:t>
      </w:r>
      <w:bookmarkEnd w:id="47"/>
    </w:p>
    <w:p w14:paraId="6A4D51AD" w14:textId="0BEFC0DA" w:rsidR="00BD0AE1" w:rsidRDefault="00627089" w:rsidP="00C9771D">
      <w:pPr>
        <w:pStyle w:val="BodyText"/>
      </w:pPr>
      <w:r>
        <w:t xml:space="preserve">Gainwell maintains a corporate product team </w:t>
      </w:r>
      <w:r w:rsidR="004205F2">
        <w:t xml:space="preserve">who develop solutions based on our industry market research and </w:t>
      </w:r>
      <w:r w:rsidR="00BD0AE1">
        <w:t>in-depth client feedback channels</w:t>
      </w:r>
      <w:r w:rsidR="004E75E9">
        <w:t xml:space="preserve">. </w:t>
      </w:r>
      <w:r w:rsidR="00BD0AE1">
        <w:t>The corporate product team employs the Agile methodology with a focus on user centered design to enhance our customer’s experience with our products</w:t>
      </w:r>
      <w:r w:rsidR="004E75E9">
        <w:t xml:space="preserve">. </w:t>
      </w:r>
    </w:p>
    <w:p w14:paraId="2C10D0F7" w14:textId="582BABCA" w:rsidR="00302575" w:rsidRDefault="0095168A" w:rsidP="00C9771D">
      <w:pPr>
        <w:pStyle w:val="BodyText"/>
      </w:pPr>
      <w:r>
        <w:t xml:space="preserve">Gainwell </w:t>
      </w:r>
      <w:r w:rsidR="00461912">
        <w:t>has developed and maintains</w:t>
      </w:r>
      <w:r w:rsidR="003B136E">
        <w:t xml:space="preserve"> a number of configurable product solutions </w:t>
      </w:r>
      <w:r w:rsidR="00461912">
        <w:t>for</w:t>
      </w:r>
      <w:r w:rsidR="003B136E">
        <w:t xml:space="preserve"> our government clients, ranging from </w:t>
      </w:r>
      <w:r w:rsidR="00BF411C">
        <w:t xml:space="preserve">portal/mobile to </w:t>
      </w:r>
      <w:r w:rsidR="00302575">
        <w:t>pharmacy to MMIS modules to analytics</w:t>
      </w:r>
      <w:r w:rsidR="004E75E9">
        <w:t xml:space="preserve">. </w:t>
      </w:r>
      <w:r w:rsidR="00302575">
        <w:t>This section describes two of those product lines,</w:t>
      </w:r>
      <w:r w:rsidR="00461912">
        <w:t xml:space="preserve"> </w:t>
      </w:r>
      <w:r w:rsidR="00302575" w:rsidRPr="00537485">
        <w:rPr>
          <w:b/>
        </w:rPr>
        <w:t>Gainwell Provider+</w:t>
      </w:r>
      <w:r w:rsidR="00302575" w:rsidRPr="00537485">
        <w:rPr>
          <w:b/>
          <w:vertAlign w:val="superscript"/>
        </w:rPr>
        <w:t>TM</w:t>
      </w:r>
      <w:r w:rsidR="00302575">
        <w:rPr>
          <w:vertAlign w:val="superscript"/>
        </w:rPr>
        <w:t xml:space="preserve"> </w:t>
      </w:r>
      <w:r w:rsidR="00302575">
        <w:t xml:space="preserve">and </w:t>
      </w:r>
      <w:r w:rsidR="00302575" w:rsidRPr="00537485">
        <w:rPr>
          <w:b/>
        </w:rPr>
        <w:t>Gainwell Genius</w:t>
      </w:r>
      <w:r w:rsidR="00F249D8" w:rsidRPr="00537485">
        <w:rPr>
          <w:b/>
          <w:vertAlign w:val="superscript"/>
        </w:rPr>
        <w:t xml:space="preserve"> TM</w:t>
      </w:r>
      <w:r w:rsidR="00627089">
        <w:t xml:space="preserve"> to explore their potential applicability and value to the BenefitsCal customers, Counties and Consortium.</w:t>
      </w:r>
    </w:p>
    <w:p w14:paraId="5EB934F0" w14:textId="48B303DE" w:rsidR="00F249D8" w:rsidRPr="00F249D8" w:rsidRDefault="008775EF" w:rsidP="00FC33C5">
      <w:pPr>
        <w:pStyle w:val="Subheading"/>
        <w:rPr>
          <w:b w:val="0"/>
          <w:bCs/>
        </w:rPr>
      </w:pPr>
      <w:r>
        <w:rPr>
          <w:noProof/>
        </w:rPr>
        <w:drawing>
          <wp:anchor distT="0" distB="0" distL="114300" distR="114300" simplePos="0" relativeHeight="251658264" behindDoc="0" locked="0" layoutInCell="1" allowOverlap="1" wp14:anchorId="134F915B" wp14:editId="0145F018">
            <wp:simplePos x="0" y="0"/>
            <wp:positionH relativeFrom="column">
              <wp:posOffset>3912042</wp:posOffset>
            </wp:positionH>
            <wp:positionV relativeFrom="paragraph">
              <wp:posOffset>11292</wp:posOffset>
            </wp:positionV>
            <wp:extent cx="2408840" cy="3774219"/>
            <wp:effectExtent l="0" t="0" r="0" b="0"/>
            <wp:wrapSquare wrapText="bothSides"/>
            <wp:docPr id="6917180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08840" cy="3774219"/>
                    </a:xfrm>
                    <a:prstGeom prst="rect">
                      <a:avLst/>
                    </a:prstGeom>
                    <a:noFill/>
                  </pic:spPr>
                </pic:pic>
              </a:graphicData>
            </a:graphic>
            <wp14:sizeRelH relativeFrom="page">
              <wp14:pctWidth>0</wp14:pctWidth>
            </wp14:sizeRelH>
            <wp14:sizeRelV relativeFrom="page">
              <wp14:pctHeight>0</wp14:pctHeight>
            </wp14:sizeRelV>
          </wp:anchor>
        </w:drawing>
      </w:r>
      <w:r w:rsidR="00F249D8" w:rsidRPr="00F249D8">
        <w:rPr>
          <w:bCs/>
        </w:rPr>
        <w:t>Gainwell Provider+</w:t>
      </w:r>
      <w:r w:rsidR="00F249D8" w:rsidRPr="00F249D8">
        <w:rPr>
          <w:bCs/>
          <w:vertAlign w:val="superscript"/>
        </w:rPr>
        <w:t>TM</w:t>
      </w:r>
      <w:r w:rsidR="00F249D8" w:rsidRPr="00F249D8">
        <w:rPr>
          <w:bCs/>
        </w:rPr>
        <w:t xml:space="preserve"> </w:t>
      </w:r>
    </w:p>
    <w:p w14:paraId="4FEDC448" w14:textId="69CF1705" w:rsidR="00234013" w:rsidRDefault="002652AB" w:rsidP="00C9771D">
      <w:pPr>
        <w:pStyle w:val="BodyText"/>
      </w:pPr>
      <w:r>
        <w:t>Gainwell Provider</w:t>
      </w:r>
      <w:r w:rsidR="00445354">
        <w:t>+</w:t>
      </w:r>
      <w:r w:rsidR="005C18DA" w:rsidRPr="005C18DA">
        <w:rPr>
          <w:vertAlign w:val="superscript"/>
        </w:rPr>
        <w:t>TM</w:t>
      </w:r>
      <w:r w:rsidR="005C18DA">
        <w:rPr>
          <w:vertAlign w:val="superscript"/>
        </w:rPr>
        <w:t xml:space="preserve"> </w:t>
      </w:r>
      <w:r w:rsidR="005C18DA">
        <w:t xml:space="preserve">is designed to </w:t>
      </w:r>
      <w:r w:rsidR="005A1146">
        <w:t xml:space="preserve">seamlessly handle provider enrollment and screening. </w:t>
      </w:r>
      <w:r w:rsidR="00234013">
        <w:t>An example of the type of results one State achieved with our Provider Solutions is described in the callout box.</w:t>
      </w:r>
    </w:p>
    <w:p w14:paraId="0DD22DAD" w14:textId="531537F7" w:rsidR="00E23946" w:rsidRDefault="005A1146" w:rsidP="00C9771D">
      <w:pPr>
        <w:pStyle w:val="BodyText"/>
      </w:pPr>
      <w:r>
        <w:t>While originally designed for health care professionals to enroll with a State’s Medicaid</w:t>
      </w:r>
      <w:r w:rsidR="002446D4">
        <w:t xml:space="preserve"> program</w:t>
      </w:r>
      <w:r w:rsidR="00CA50D1">
        <w:t>, the functionality translates to other types of providers such as community</w:t>
      </w:r>
      <w:r w:rsidR="009E23D8">
        <w:t>-</w:t>
      </w:r>
      <w:r w:rsidR="00CA50D1">
        <w:t>based organizations</w:t>
      </w:r>
      <w:r w:rsidR="00E75C97">
        <w:t xml:space="preserve"> (CBOs)</w:t>
      </w:r>
      <w:r w:rsidR="006938F5">
        <w:t xml:space="preserve"> and </w:t>
      </w:r>
      <w:r w:rsidR="005F42A8">
        <w:t>Assisters</w:t>
      </w:r>
      <w:r w:rsidR="00E75C97">
        <w:t>.</w:t>
      </w:r>
      <w:r w:rsidR="00B23FDE">
        <w:t xml:space="preserve"> </w:t>
      </w:r>
    </w:p>
    <w:p w14:paraId="02EEF5A7" w14:textId="28220385" w:rsidR="00460867" w:rsidRDefault="00E75C97" w:rsidP="00460867">
      <w:pPr>
        <w:pStyle w:val="BodyText"/>
      </w:pPr>
      <w:r>
        <w:t>We provide our clients with a</w:t>
      </w:r>
      <w:r w:rsidR="00AD0E61">
        <w:t xml:space="preserve"> cloud</w:t>
      </w:r>
      <w:r w:rsidR="00B01FFD">
        <w:t>-</w:t>
      </w:r>
      <w:r w:rsidR="008532FE">
        <w:t>based</w:t>
      </w:r>
      <w:r>
        <w:t xml:space="preserve"> </w:t>
      </w:r>
      <w:r w:rsidR="00AD0E61">
        <w:t xml:space="preserve">client-hosted </w:t>
      </w:r>
      <w:r w:rsidR="008532FE">
        <w:t xml:space="preserve">option </w:t>
      </w:r>
      <w:r w:rsidR="00AD0E61">
        <w:t xml:space="preserve">or a </w:t>
      </w:r>
      <w:r w:rsidR="008532FE">
        <w:t>SaaS approach to manage provider information from initial enrollment through final termination</w:t>
      </w:r>
      <w:r w:rsidR="004E75E9">
        <w:t xml:space="preserve">. </w:t>
      </w:r>
    </w:p>
    <w:p w14:paraId="2542FB71" w14:textId="2BF93CD9" w:rsidR="00460867" w:rsidRDefault="00460867" w:rsidP="00460867">
      <w:pPr>
        <w:pStyle w:val="BodyText"/>
      </w:pPr>
      <w:r>
        <w:t>Gainwell’s four Provider Solution</w:t>
      </w:r>
      <w:r w:rsidR="006938F5">
        <w:t xml:space="preserve"> </w:t>
      </w:r>
      <w:r>
        <w:t>modules can be implemented individually or linked</w:t>
      </w:r>
      <w:r w:rsidR="004E75E9">
        <w:t xml:space="preserve">. </w:t>
      </w:r>
      <w:r>
        <w:t xml:space="preserve">The four </w:t>
      </w:r>
      <w:r w:rsidR="006938F5">
        <w:t>modules</w:t>
      </w:r>
      <w:r>
        <w:t xml:space="preserve"> are shown on the following figure.</w:t>
      </w:r>
    </w:p>
    <w:p w14:paraId="5D01A24D" w14:textId="77777777" w:rsidR="008713A6" w:rsidRDefault="008713A6" w:rsidP="004339C5">
      <w:pPr>
        <w:pStyle w:val="FigureCaptionAuto"/>
      </w:pPr>
      <w:bookmarkStart w:id="48" w:name="_Toc173187522"/>
      <w:r>
        <w:lastRenderedPageBreak/>
        <w:t>Gainwell Provider+</w:t>
      </w:r>
      <w:r w:rsidRPr="005C18DA">
        <w:rPr>
          <w:vertAlign w:val="superscript"/>
        </w:rPr>
        <w:t>TM</w:t>
      </w:r>
      <w:r>
        <w:rPr>
          <w:vertAlign w:val="superscript"/>
        </w:rPr>
        <w:t xml:space="preserve"> </w:t>
      </w:r>
      <w:r>
        <w:t>Solutions</w:t>
      </w:r>
      <w:bookmarkEnd w:id="48"/>
    </w:p>
    <w:p w14:paraId="2012D05C" w14:textId="1251812C" w:rsidR="006B222E" w:rsidRDefault="0036001A" w:rsidP="00460867">
      <w:pPr>
        <w:pStyle w:val="BodyText"/>
      </w:pPr>
      <w:r w:rsidRPr="0036001A">
        <w:rPr>
          <w:noProof/>
        </w:rPr>
        <w:drawing>
          <wp:inline distT="0" distB="0" distL="0" distR="0" wp14:anchorId="5BD5405D" wp14:editId="4FF2B9D8">
            <wp:extent cx="5943600" cy="1818640"/>
            <wp:effectExtent l="0" t="0" r="0" b="0"/>
            <wp:docPr id="1269863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863784" name=""/>
                    <pic:cNvPicPr/>
                  </pic:nvPicPr>
                  <pic:blipFill>
                    <a:blip r:embed="rId66"/>
                    <a:stretch>
                      <a:fillRect/>
                    </a:stretch>
                  </pic:blipFill>
                  <pic:spPr>
                    <a:xfrm>
                      <a:off x="0" y="0"/>
                      <a:ext cx="5943600" cy="1818640"/>
                    </a:xfrm>
                    <a:prstGeom prst="rect">
                      <a:avLst/>
                    </a:prstGeom>
                  </pic:spPr>
                </pic:pic>
              </a:graphicData>
            </a:graphic>
          </wp:inline>
        </w:drawing>
      </w:r>
    </w:p>
    <w:p w14:paraId="3C54D34C" w14:textId="4B0CAFCD" w:rsidR="0036001A" w:rsidRDefault="00FF710B" w:rsidP="00C9771D">
      <w:pPr>
        <w:pStyle w:val="BodyText"/>
      </w:pPr>
      <w:r>
        <w:t xml:space="preserve">The BenefitsCal ROI project has highlighted the </w:t>
      </w:r>
      <w:r w:rsidR="00DB45C3">
        <w:t xml:space="preserve">workload for Counties in screening CBOs and Assisters and </w:t>
      </w:r>
      <w:r w:rsidR="003078AE">
        <w:t>managing the organizations approved to provide customer</w:t>
      </w:r>
      <w:r w:rsidR="001B66BB">
        <w:t xml:space="preserve">s with assistance in </w:t>
      </w:r>
      <w:r w:rsidR="006F3085">
        <w:t xml:space="preserve">applying </w:t>
      </w:r>
      <w:r w:rsidR="001B66BB">
        <w:t>or maintaining their benefits</w:t>
      </w:r>
      <w:r w:rsidR="004E75E9">
        <w:t xml:space="preserve">. </w:t>
      </w:r>
      <w:r w:rsidR="007616E1">
        <w:t xml:space="preserve">CBOs and </w:t>
      </w:r>
      <w:r w:rsidR="005F42A8">
        <w:t>Assisters</w:t>
      </w:r>
      <w:r w:rsidR="007616E1">
        <w:t xml:space="preserve"> are </w:t>
      </w:r>
      <w:r w:rsidR="00B37E75">
        <w:t xml:space="preserve">a form of </w:t>
      </w:r>
      <w:r w:rsidR="007616E1">
        <w:t>providers</w:t>
      </w:r>
      <w:r w:rsidR="004E75E9">
        <w:t xml:space="preserve">. </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480"/>
        <w:gridCol w:w="7880"/>
      </w:tblGrid>
      <w:tr w:rsidR="00F93140" w14:paraId="77F86D15" w14:textId="77777777" w:rsidTr="00275168">
        <w:trPr>
          <w:cantSplit/>
        </w:trPr>
        <w:tc>
          <w:tcPr>
            <w:tcW w:w="1480" w:type="dxa"/>
            <w:tcBorders>
              <w:bottom w:val="single" w:sz="12" w:space="0" w:color="0070C0"/>
            </w:tcBorders>
          </w:tcPr>
          <w:p w14:paraId="1A229877" w14:textId="022B2184" w:rsidR="00F93140" w:rsidRDefault="00F3463D" w:rsidP="00C9771D">
            <w:pPr>
              <w:pStyle w:val="BodyText"/>
            </w:pPr>
            <w:r>
              <w:rPr>
                <w:noProof/>
                <w14:ligatures w14:val="standardContextual"/>
              </w:rPr>
              <w:drawing>
                <wp:anchor distT="0" distB="0" distL="114300" distR="114300" simplePos="0" relativeHeight="251658261" behindDoc="0" locked="0" layoutInCell="1" allowOverlap="1" wp14:anchorId="229A3B06" wp14:editId="72B99231">
                  <wp:simplePos x="0" y="0"/>
                  <wp:positionH relativeFrom="margin">
                    <wp:posOffset>-8255</wp:posOffset>
                  </wp:positionH>
                  <wp:positionV relativeFrom="paragraph">
                    <wp:posOffset>0</wp:posOffset>
                  </wp:positionV>
                  <wp:extent cx="770255" cy="969645"/>
                  <wp:effectExtent l="0" t="0" r="0" b="1905"/>
                  <wp:wrapSquare wrapText="bothSides"/>
                  <wp:docPr id="274955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955381"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770255" cy="969645"/>
                          </a:xfrm>
                          <a:prstGeom prst="rect">
                            <a:avLst/>
                          </a:prstGeom>
                        </pic:spPr>
                      </pic:pic>
                    </a:graphicData>
                  </a:graphic>
                  <wp14:sizeRelH relativeFrom="page">
                    <wp14:pctWidth>0</wp14:pctWidth>
                  </wp14:sizeRelH>
                  <wp14:sizeRelV relativeFrom="page">
                    <wp14:pctHeight>0</wp14:pctHeight>
                  </wp14:sizeRelV>
                </wp:anchor>
              </w:drawing>
            </w:r>
          </w:p>
        </w:tc>
        <w:tc>
          <w:tcPr>
            <w:tcW w:w="7880" w:type="dxa"/>
            <w:tcBorders>
              <w:bottom w:val="single" w:sz="12" w:space="0" w:color="0070C0"/>
            </w:tcBorders>
          </w:tcPr>
          <w:p w14:paraId="0CBFA833" w14:textId="2B68ED70" w:rsidR="00F93140" w:rsidRDefault="0047638D" w:rsidP="0047638D">
            <w:pPr>
              <w:pStyle w:val="BodyText"/>
              <w:spacing w:before="120"/>
            </w:pPr>
            <w:r>
              <w:t>The Provider Enrollment module g</w:t>
            </w:r>
            <w:r w:rsidR="00F93140">
              <w:t xml:space="preserve">uides providers through the enrollment process using a dynamic Enrollment Wizard, a user-friendly tool that orchestrates smart data entry. The wizard leverages built-in data lists and data validation services to increase accuracy and minimize errors—and only asks for relevant and necessary data. </w:t>
            </w:r>
          </w:p>
          <w:p w14:paraId="3C3FD5C3" w14:textId="17F3F8AA" w:rsidR="00F93140" w:rsidRDefault="00F93140" w:rsidP="0047638D">
            <w:pPr>
              <w:pStyle w:val="BodyText"/>
              <w:spacing w:before="120"/>
            </w:pPr>
            <w:r>
              <w:t xml:space="preserve">The Provider Enrollment </w:t>
            </w:r>
            <w:r w:rsidR="00255EAB">
              <w:t>module</w:t>
            </w:r>
            <w:r>
              <w:t xml:space="preserve"> features a built-in configurable workflow and business-rules engine. A letter correspondence tool manages provider communication. Providers can choose menu options to easily perform enrollment activities and check the status of applications.</w:t>
            </w:r>
          </w:p>
        </w:tc>
      </w:tr>
      <w:tr w:rsidR="00F93140" w14:paraId="269B9BE6" w14:textId="77777777" w:rsidTr="00275168">
        <w:trPr>
          <w:cantSplit/>
        </w:trPr>
        <w:tc>
          <w:tcPr>
            <w:tcW w:w="1480" w:type="dxa"/>
            <w:tcBorders>
              <w:top w:val="single" w:sz="12" w:space="0" w:color="0070C0"/>
              <w:bottom w:val="single" w:sz="12" w:space="0" w:color="0070C0"/>
            </w:tcBorders>
          </w:tcPr>
          <w:p w14:paraId="107DB744" w14:textId="63C58AF7" w:rsidR="00F93140" w:rsidRDefault="00295640" w:rsidP="00C9771D">
            <w:pPr>
              <w:pStyle w:val="BodyText"/>
            </w:pPr>
            <w:r>
              <w:rPr>
                <w:noProof/>
                <w14:ligatures w14:val="standardContextual"/>
              </w:rPr>
              <w:drawing>
                <wp:inline distT="0" distB="0" distL="0" distR="0" wp14:anchorId="2C710843" wp14:editId="672F3E4F">
                  <wp:extent cx="779228" cy="964756"/>
                  <wp:effectExtent l="0" t="0" r="1905" b="6985"/>
                  <wp:docPr id="1581776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76883" name=""/>
                          <pic:cNvPicPr/>
                        </pic:nvPicPr>
                        <pic:blipFill>
                          <a:blip r:embed="rId68"/>
                          <a:stretch>
                            <a:fillRect/>
                          </a:stretch>
                        </pic:blipFill>
                        <pic:spPr>
                          <a:xfrm>
                            <a:off x="0" y="0"/>
                            <a:ext cx="786026" cy="973173"/>
                          </a:xfrm>
                          <a:prstGeom prst="rect">
                            <a:avLst/>
                          </a:prstGeom>
                        </pic:spPr>
                      </pic:pic>
                    </a:graphicData>
                  </a:graphic>
                </wp:inline>
              </w:drawing>
            </w:r>
          </w:p>
        </w:tc>
        <w:tc>
          <w:tcPr>
            <w:tcW w:w="7880" w:type="dxa"/>
            <w:tcBorders>
              <w:top w:val="single" w:sz="12" w:space="0" w:color="0070C0"/>
              <w:bottom w:val="single" w:sz="12" w:space="0" w:color="0070C0"/>
            </w:tcBorders>
          </w:tcPr>
          <w:p w14:paraId="53EC070C" w14:textId="0842FCA1" w:rsidR="00F93140" w:rsidRDefault="00314E1A" w:rsidP="0047638D">
            <w:pPr>
              <w:pStyle w:val="BodyText"/>
              <w:spacing w:before="120"/>
            </w:pPr>
            <w:r>
              <w:t xml:space="preserve">Provider Screening </w:t>
            </w:r>
            <w:r w:rsidR="005D573F">
              <w:t xml:space="preserve">would </w:t>
            </w:r>
            <w:r>
              <w:t xml:space="preserve">enable </w:t>
            </w:r>
            <w:r w:rsidR="005D573F">
              <w:t>County staff</w:t>
            </w:r>
            <w:r>
              <w:t xml:space="preserve"> to easily and accurately identify</w:t>
            </w:r>
            <w:r w:rsidR="00255EAB">
              <w:t xml:space="preserve"> </w:t>
            </w:r>
            <w:r>
              <w:t xml:space="preserve">appropriate providers who can </w:t>
            </w:r>
            <w:r w:rsidR="00DB4BFD">
              <w:t>aid</w:t>
            </w:r>
            <w:r>
              <w:t xml:space="preserve"> beneficiaries. </w:t>
            </w:r>
          </w:p>
          <w:p w14:paraId="41EC7043" w14:textId="1291FFA2" w:rsidR="005D573F" w:rsidRDefault="004E74FA" w:rsidP="0047638D">
            <w:pPr>
              <w:pStyle w:val="BodyText"/>
              <w:spacing w:before="120"/>
            </w:pPr>
            <w:r>
              <w:t xml:space="preserve">Built-in automation expands stakeholders’ ability to identify exceptions in the screening process by referencing an extensive catalog of state and Federal resources. </w:t>
            </w:r>
          </w:p>
        </w:tc>
      </w:tr>
      <w:tr w:rsidR="00F93140" w14:paraId="40995562" w14:textId="77777777" w:rsidTr="00275168">
        <w:trPr>
          <w:cantSplit/>
        </w:trPr>
        <w:tc>
          <w:tcPr>
            <w:tcW w:w="1480" w:type="dxa"/>
            <w:tcBorders>
              <w:top w:val="single" w:sz="12" w:space="0" w:color="0070C0"/>
              <w:bottom w:val="single" w:sz="12" w:space="0" w:color="0070C0"/>
            </w:tcBorders>
          </w:tcPr>
          <w:p w14:paraId="3AB88D10" w14:textId="20394C02" w:rsidR="00F93140" w:rsidRDefault="00551113" w:rsidP="00C9771D">
            <w:pPr>
              <w:pStyle w:val="BodyText"/>
            </w:pPr>
            <w:r>
              <w:rPr>
                <w:noProof/>
                <w14:ligatures w14:val="standardContextual"/>
              </w:rPr>
              <w:drawing>
                <wp:inline distT="0" distB="0" distL="0" distR="0" wp14:anchorId="51259BFA" wp14:editId="7536B258">
                  <wp:extent cx="803081" cy="968665"/>
                  <wp:effectExtent l="0" t="0" r="0" b="3175"/>
                  <wp:docPr id="1486300437" name="Picture 1" descr="A white sign with green outline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00437" name="Picture 1" descr="A white sign with green outline and text&#10;&#10;Description automatically generated"/>
                          <pic:cNvPicPr/>
                        </pic:nvPicPr>
                        <pic:blipFill>
                          <a:blip r:embed="rId69"/>
                          <a:stretch>
                            <a:fillRect/>
                          </a:stretch>
                        </pic:blipFill>
                        <pic:spPr>
                          <a:xfrm>
                            <a:off x="0" y="0"/>
                            <a:ext cx="814876" cy="982893"/>
                          </a:xfrm>
                          <a:prstGeom prst="rect">
                            <a:avLst/>
                          </a:prstGeom>
                        </pic:spPr>
                      </pic:pic>
                    </a:graphicData>
                  </a:graphic>
                </wp:inline>
              </w:drawing>
            </w:r>
          </w:p>
        </w:tc>
        <w:tc>
          <w:tcPr>
            <w:tcW w:w="7880" w:type="dxa"/>
            <w:tcBorders>
              <w:top w:val="single" w:sz="12" w:space="0" w:color="0070C0"/>
              <w:bottom w:val="single" w:sz="12" w:space="0" w:color="0070C0"/>
            </w:tcBorders>
          </w:tcPr>
          <w:p w14:paraId="143B679C" w14:textId="0E213125" w:rsidR="005647D2" w:rsidRDefault="005647D2" w:rsidP="0047638D">
            <w:pPr>
              <w:pStyle w:val="BodyText"/>
              <w:spacing w:before="120"/>
            </w:pPr>
            <w:r>
              <w:t>The Provider Management module</w:t>
            </w:r>
            <w:r w:rsidR="004F3779">
              <w:t xml:space="preserve"> is</w:t>
            </w:r>
            <w:r>
              <w:t xml:space="preserve"> designed to help </w:t>
            </w:r>
            <w:r w:rsidR="001F4323">
              <w:t>with</w:t>
            </w:r>
            <w:r>
              <w:t xml:space="preserve"> accurate and efficient manage</w:t>
            </w:r>
            <w:r w:rsidR="001F4323">
              <w:t>ment of</w:t>
            </w:r>
            <w:r>
              <w:t xml:space="preserve"> </w:t>
            </w:r>
            <w:r w:rsidR="001F4323">
              <w:t>ongoing</w:t>
            </w:r>
            <w:r w:rsidR="00114CB7">
              <w:t xml:space="preserve"> provider</w:t>
            </w:r>
            <w:r w:rsidR="001F4323">
              <w:t xml:space="preserve"> </w:t>
            </w:r>
            <w:r>
              <w:t xml:space="preserve">relations. </w:t>
            </w:r>
            <w:r w:rsidR="00D61DDF">
              <w:t>The module includes</w:t>
            </w:r>
            <w:r>
              <w:t xml:space="preserve"> online reporting that is available on demand and enhanced with automated flags and queries for follow up. </w:t>
            </w:r>
          </w:p>
          <w:p w14:paraId="550875BA" w14:textId="2B8C6A9F" w:rsidR="00F93140" w:rsidRDefault="00D61DDF" w:rsidP="0047638D">
            <w:pPr>
              <w:pStyle w:val="BodyText"/>
              <w:spacing w:before="120"/>
            </w:pPr>
            <w:r>
              <w:t>W</w:t>
            </w:r>
            <w:r w:rsidR="005647D2">
              <w:t xml:space="preserve">orkflow processes interface between </w:t>
            </w:r>
            <w:r>
              <w:t xml:space="preserve">provider </w:t>
            </w:r>
            <w:r w:rsidR="005647D2">
              <w:t>management and screening modules to streamline and automate provider screenings.</w:t>
            </w:r>
          </w:p>
        </w:tc>
      </w:tr>
      <w:tr w:rsidR="00F93140" w14:paraId="02A930A7" w14:textId="77777777" w:rsidTr="00275168">
        <w:trPr>
          <w:cantSplit/>
        </w:trPr>
        <w:tc>
          <w:tcPr>
            <w:tcW w:w="1480" w:type="dxa"/>
            <w:tcBorders>
              <w:top w:val="single" w:sz="12" w:space="0" w:color="0070C0"/>
            </w:tcBorders>
          </w:tcPr>
          <w:p w14:paraId="556D7142" w14:textId="51321C13" w:rsidR="00F93140" w:rsidRDefault="00AB35CB" w:rsidP="00C9771D">
            <w:pPr>
              <w:pStyle w:val="BodyText"/>
            </w:pPr>
            <w:r>
              <w:rPr>
                <w:noProof/>
                <w14:ligatures w14:val="standardContextual"/>
              </w:rPr>
              <w:lastRenderedPageBreak/>
              <w:drawing>
                <wp:inline distT="0" distB="0" distL="0" distR="0" wp14:anchorId="0A6BDE85" wp14:editId="0A74B8A4">
                  <wp:extent cx="739471" cy="857199"/>
                  <wp:effectExtent l="0" t="0" r="3810" b="635"/>
                  <wp:docPr id="648122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122726" name=""/>
                          <pic:cNvPicPr/>
                        </pic:nvPicPr>
                        <pic:blipFill>
                          <a:blip r:embed="rId70"/>
                          <a:stretch>
                            <a:fillRect/>
                          </a:stretch>
                        </pic:blipFill>
                        <pic:spPr>
                          <a:xfrm>
                            <a:off x="0" y="0"/>
                            <a:ext cx="751596" cy="871255"/>
                          </a:xfrm>
                          <a:prstGeom prst="rect">
                            <a:avLst/>
                          </a:prstGeom>
                        </pic:spPr>
                      </pic:pic>
                    </a:graphicData>
                  </a:graphic>
                </wp:inline>
              </w:drawing>
            </w:r>
          </w:p>
        </w:tc>
        <w:tc>
          <w:tcPr>
            <w:tcW w:w="7880" w:type="dxa"/>
            <w:tcBorders>
              <w:top w:val="single" w:sz="12" w:space="0" w:color="0070C0"/>
            </w:tcBorders>
          </w:tcPr>
          <w:p w14:paraId="629ED6F4" w14:textId="1F539AEB" w:rsidR="00F93140" w:rsidRDefault="008C2F3D" w:rsidP="0047638D">
            <w:pPr>
              <w:pStyle w:val="BodyText"/>
              <w:spacing w:before="120"/>
            </w:pPr>
            <w:r>
              <w:t>The Provider Portal module links the provider modules together</w:t>
            </w:r>
            <w:r w:rsidR="0055045F">
              <w:t>. The portal can be</w:t>
            </w:r>
            <w:r>
              <w:t xml:space="preserve"> tailor</w:t>
            </w:r>
            <w:r w:rsidR="0055045F">
              <w:t>ed</w:t>
            </w:r>
            <w:r>
              <w:t xml:space="preserve"> to meet specific needs. </w:t>
            </w:r>
            <w:r w:rsidR="00770F82">
              <w:t xml:space="preserve">Client </w:t>
            </w:r>
            <w:r>
              <w:t xml:space="preserve">administrative staff can configure menu items and turn them on or off, facilitating a fast turnaround on changes. </w:t>
            </w:r>
          </w:p>
        </w:tc>
      </w:tr>
    </w:tbl>
    <w:p w14:paraId="1E8F97F2" w14:textId="73E6022B" w:rsidR="00640FC6" w:rsidRDefault="0032305F" w:rsidP="00C9771D">
      <w:pPr>
        <w:pStyle w:val="BodyText"/>
      </w:pPr>
      <w:r w:rsidRPr="00275168">
        <w:rPr>
          <w:noProof/>
        </w:rPr>
        <w:drawing>
          <wp:anchor distT="0" distB="0" distL="114300" distR="114300" simplePos="0" relativeHeight="251658292" behindDoc="1" locked="0" layoutInCell="1" allowOverlap="1" wp14:anchorId="1F57751E" wp14:editId="0D004BA3">
            <wp:simplePos x="0" y="0"/>
            <wp:positionH relativeFrom="margin">
              <wp:align>right</wp:align>
            </wp:positionH>
            <wp:positionV relativeFrom="paragraph">
              <wp:posOffset>259453</wp:posOffset>
            </wp:positionV>
            <wp:extent cx="1310005" cy="1434465"/>
            <wp:effectExtent l="0" t="0" r="4445" b="0"/>
            <wp:wrapTight wrapText="bothSides">
              <wp:wrapPolygon edited="0">
                <wp:start x="7853" y="0"/>
                <wp:lineTo x="5968" y="287"/>
                <wp:lineTo x="942" y="3729"/>
                <wp:lineTo x="0" y="6598"/>
                <wp:lineTo x="0" y="12048"/>
                <wp:lineTo x="314" y="19506"/>
                <wp:lineTo x="9109" y="21227"/>
                <wp:lineTo x="14135" y="21227"/>
                <wp:lineTo x="18532" y="21227"/>
                <wp:lineTo x="19160" y="21227"/>
                <wp:lineTo x="21359" y="18932"/>
                <wp:lineTo x="21359" y="6884"/>
                <wp:lineTo x="20731" y="4016"/>
                <wp:lineTo x="16019" y="861"/>
                <wp:lineTo x="13507" y="0"/>
                <wp:lineTo x="7853" y="0"/>
              </wp:wrapPolygon>
            </wp:wrapTight>
            <wp:docPr id="110809090" name="Graphic 9">
              <a:extLst xmlns:a="http://schemas.openxmlformats.org/drawingml/2006/main">
                <a:ext uri="{FF2B5EF4-FFF2-40B4-BE49-F238E27FC236}">
                  <a16:creationId xmlns:a16="http://schemas.microsoft.com/office/drawing/2014/main" id="{B5A36752-4DC0-C7B7-5F95-64DBA2356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B5A36752-4DC0-C7B7-5F95-64DBA2356C5A}"/>
                        </a:ext>
                      </a:extLst>
                    </pic:cNvPr>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1310005" cy="1434465"/>
                    </a:xfrm>
                    <a:prstGeom prst="rect">
                      <a:avLst/>
                    </a:prstGeom>
                  </pic:spPr>
                </pic:pic>
              </a:graphicData>
            </a:graphic>
            <wp14:sizeRelH relativeFrom="page">
              <wp14:pctWidth>0</wp14:pctWidth>
            </wp14:sizeRelH>
            <wp14:sizeRelV relativeFrom="page">
              <wp14:pctHeight>0</wp14:pctHeight>
            </wp14:sizeRelV>
          </wp:anchor>
        </w:drawing>
      </w:r>
      <w:r w:rsidR="0085201F">
        <w:t xml:space="preserve">Consider the possibility of </w:t>
      </w:r>
      <w:r w:rsidR="0085201F" w:rsidRPr="0046161E">
        <w:rPr>
          <w:b/>
          <w:bCs/>
        </w:rPr>
        <w:t xml:space="preserve">an integrated enrollment and screening system for CBOs and </w:t>
      </w:r>
      <w:r w:rsidR="005F42A8">
        <w:rPr>
          <w:b/>
          <w:bCs/>
        </w:rPr>
        <w:t>Assisters</w:t>
      </w:r>
      <w:r w:rsidR="0085201F" w:rsidRPr="0046161E">
        <w:rPr>
          <w:b/>
          <w:bCs/>
        </w:rPr>
        <w:t>.</w:t>
      </w:r>
      <w:r w:rsidR="0085201F">
        <w:t xml:space="preserve"> Enrollment</w:t>
      </w:r>
      <w:r w:rsidR="00346247">
        <w:t xml:space="preserve"> requests could be made through a link between the Provider Enrollment module and BenefitsCal or directly from the Provider Portal module</w:t>
      </w:r>
      <w:r w:rsidR="00DB4BFD">
        <w:t xml:space="preserve">. </w:t>
      </w:r>
      <w:r w:rsidR="00346247">
        <w:t>These enrollment requests</w:t>
      </w:r>
      <w:r w:rsidR="0085201F">
        <w:t xml:space="preserve"> would be automatically routed to County staff </w:t>
      </w:r>
      <w:r w:rsidR="00E32325">
        <w:t>for their screening action</w:t>
      </w:r>
      <w:r w:rsidR="00DB4BFD">
        <w:t xml:space="preserve">. </w:t>
      </w:r>
      <w:r w:rsidR="00E32325">
        <w:t>Results of the screening would be stored</w:t>
      </w:r>
      <w:r w:rsidR="00346247">
        <w:t>. Approved</w:t>
      </w:r>
      <w:r w:rsidR="00E32325">
        <w:t xml:space="preserve"> CBOs and </w:t>
      </w:r>
      <w:r w:rsidR="005F42A8">
        <w:t>Assisters</w:t>
      </w:r>
      <w:r w:rsidR="00E32325">
        <w:t xml:space="preserve"> would be maintained in a central location which could be accessed by BenefitsCal</w:t>
      </w:r>
      <w:r w:rsidR="00DB4BFD">
        <w:t xml:space="preserve">. </w:t>
      </w:r>
    </w:p>
    <w:p w14:paraId="12E8042E" w14:textId="49EBCDFD" w:rsidR="004B2245" w:rsidRDefault="00E32325" w:rsidP="00C9771D">
      <w:pPr>
        <w:pStyle w:val="BodyText"/>
      </w:pPr>
      <w:r>
        <w:t xml:space="preserve">BenefitsCal could then </w:t>
      </w:r>
      <w:r w:rsidR="007D78CC">
        <w:t>d</w:t>
      </w:r>
      <w:r>
        <w:t xml:space="preserve">isplay approved CBO and </w:t>
      </w:r>
      <w:r w:rsidR="005F42A8">
        <w:t>Assisters</w:t>
      </w:r>
      <w:r>
        <w:t xml:space="preserve"> in the geographic area of the customer as an additional feature along with </w:t>
      </w:r>
      <w:r w:rsidR="005B662F">
        <w:t>using this information</w:t>
      </w:r>
      <w:r>
        <w:t xml:space="preserve"> in the ROI process for customers to identify the correct organization to release their information.</w:t>
      </w:r>
    </w:p>
    <w:p w14:paraId="7908247A" w14:textId="0FCD5B94" w:rsidR="0099624E" w:rsidRPr="00F249D8" w:rsidRDefault="0099624E" w:rsidP="00FC33C5">
      <w:pPr>
        <w:pStyle w:val="Subheading"/>
        <w:rPr>
          <w:b w:val="0"/>
          <w:bCs/>
        </w:rPr>
      </w:pPr>
      <w:r w:rsidRPr="00F249D8">
        <w:t xml:space="preserve">Gainwell </w:t>
      </w:r>
      <w:r>
        <w:rPr>
          <w:bCs/>
        </w:rPr>
        <w:t>Ge</w:t>
      </w:r>
      <w:r w:rsidR="00DD31AC">
        <w:rPr>
          <w:bCs/>
        </w:rPr>
        <w:t>n</w:t>
      </w:r>
      <w:r>
        <w:rPr>
          <w:bCs/>
        </w:rPr>
        <w:t>i</w:t>
      </w:r>
      <w:r w:rsidR="00DD31AC">
        <w:rPr>
          <w:bCs/>
        </w:rPr>
        <w:t>u</w:t>
      </w:r>
      <w:r>
        <w:rPr>
          <w:bCs/>
        </w:rPr>
        <w:t>s</w:t>
      </w:r>
      <w:r w:rsidRPr="00F249D8">
        <w:rPr>
          <w:bCs/>
          <w:vertAlign w:val="superscript"/>
        </w:rPr>
        <w:t>TM</w:t>
      </w:r>
      <w:r w:rsidRPr="00F249D8">
        <w:rPr>
          <w:bCs/>
        </w:rPr>
        <w:t xml:space="preserve"> </w:t>
      </w:r>
    </w:p>
    <w:p w14:paraId="58BAF3FD" w14:textId="7958B918" w:rsidR="00221920" w:rsidRDefault="0025214D" w:rsidP="00DD31AC">
      <w:pPr>
        <w:pStyle w:val="BodyText"/>
      </w:pPr>
      <w:r w:rsidRPr="00DD31AC">
        <w:t>Our next-generation analytics offering, the Gainwell</w:t>
      </w:r>
      <w:r w:rsidR="00DD31AC">
        <w:t xml:space="preserve"> </w:t>
      </w:r>
      <w:r w:rsidRPr="00DD31AC">
        <w:t>Genius</w:t>
      </w:r>
      <w:r w:rsidRPr="00DD31AC">
        <w:rPr>
          <w:vertAlign w:val="superscript"/>
        </w:rPr>
        <w:t>TM</w:t>
      </w:r>
      <w:r w:rsidRPr="00DD31AC">
        <w:t xml:space="preserve"> platform, applies our deep </w:t>
      </w:r>
      <w:r w:rsidR="00AE5AD5">
        <w:t>health and human services</w:t>
      </w:r>
      <w:r w:rsidRPr="00DD31AC">
        <w:t xml:space="preserve"> knowledge in an environment that empowers clients to serve their </w:t>
      </w:r>
      <w:r w:rsidR="00AE5AD5">
        <w:t>beneficiaries</w:t>
      </w:r>
      <w:r w:rsidRPr="00DD31AC">
        <w:t xml:space="preserve"> based on data-informed insights and predictive analytics. Our cloud-based Gainwell</w:t>
      </w:r>
      <w:r w:rsidR="00AE5AD5">
        <w:t xml:space="preserve"> </w:t>
      </w:r>
      <w:r w:rsidRPr="00DD31AC">
        <w:t>Genius</w:t>
      </w:r>
      <w:r w:rsidR="00AE5AD5" w:rsidRPr="00DD31AC">
        <w:rPr>
          <w:vertAlign w:val="superscript"/>
        </w:rPr>
        <w:t>TM</w:t>
      </w:r>
      <w:r w:rsidRPr="00DD31AC">
        <w:t xml:space="preserve"> platform is comprised of a modern enterprise data warehouse (EDW) built on lakehouse cloud architecture, combining the best elements of data lakes and data warehouses into a single streamlined platform with virtually unlimited storage capacity for any type of data (structured, semi-structured or unstructured). This serves as the foundational </w:t>
      </w:r>
      <w:r w:rsidR="00AE5AD5" w:rsidRPr="00DD31AC">
        <w:t>single source</w:t>
      </w:r>
      <w:r w:rsidRPr="00DD31AC">
        <w:t xml:space="preserve"> of truth for data fed into configurable analytics BI dashboards, reports, ad hoc </w:t>
      </w:r>
      <w:r w:rsidR="00C900D8" w:rsidRPr="00DD31AC">
        <w:t>analysis,</w:t>
      </w:r>
      <w:r w:rsidRPr="00DD31AC">
        <w:t xml:space="preserve"> and AI/ML predictive models. Clients access their analytics via our user</w:t>
      </w:r>
      <w:r w:rsidR="00861507">
        <w:t>-</w:t>
      </w:r>
      <w:r w:rsidRPr="00DD31AC">
        <w:t xml:space="preserve">friendly Analytics Portal with </w:t>
      </w:r>
      <w:r w:rsidR="00AE5AD5">
        <w:t xml:space="preserve">single sign on </w:t>
      </w:r>
      <w:r w:rsidRPr="00DD31AC">
        <w:t>making it easy to put the derived insights into action for early intervention and mitigation.</w:t>
      </w:r>
      <w:r w:rsidR="00AE5AD5">
        <w:t xml:space="preserve"> </w:t>
      </w:r>
    </w:p>
    <w:p w14:paraId="576468DE" w14:textId="3E62CBDB" w:rsidR="00BD1CBC" w:rsidRDefault="00BD1CBC" w:rsidP="00BD21FA">
      <w:pPr>
        <w:pStyle w:val="BodyText"/>
      </w:pPr>
      <w:r>
        <w:rPr>
          <w:noProof/>
        </w:rPr>
        <w:lastRenderedPageBreak/>
        <w:drawing>
          <wp:anchor distT="0" distB="0" distL="114300" distR="114300" simplePos="0" relativeHeight="251658262" behindDoc="0" locked="0" layoutInCell="1" allowOverlap="1" wp14:anchorId="45BE9097" wp14:editId="7EE7FFE4">
            <wp:simplePos x="0" y="0"/>
            <wp:positionH relativeFrom="margin">
              <wp:align>right</wp:align>
            </wp:positionH>
            <wp:positionV relativeFrom="paragraph">
              <wp:posOffset>4114</wp:posOffset>
            </wp:positionV>
            <wp:extent cx="2536825" cy="4097655"/>
            <wp:effectExtent l="0" t="0" r="0" b="0"/>
            <wp:wrapSquare wrapText="bothSides"/>
            <wp:docPr id="13938070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36825" cy="4097655"/>
                    </a:xfrm>
                    <a:prstGeom prst="rect">
                      <a:avLst/>
                    </a:prstGeom>
                    <a:noFill/>
                  </pic:spPr>
                </pic:pic>
              </a:graphicData>
            </a:graphic>
            <wp14:sizeRelH relativeFrom="page">
              <wp14:pctWidth>0</wp14:pctWidth>
            </wp14:sizeRelH>
            <wp14:sizeRelV relativeFrom="page">
              <wp14:pctHeight>0</wp14:pctHeight>
            </wp14:sizeRelV>
          </wp:anchor>
        </w:drawing>
      </w:r>
      <w:r w:rsidR="000A7F6C">
        <w:t>Though the Consortium has</w:t>
      </w:r>
      <w:r w:rsidR="007D4108">
        <w:t xml:space="preserve"> already</w:t>
      </w:r>
      <w:r w:rsidR="000A7F6C">
        <w:t xml:space="preserve"> implemented an enterprise data warehouse and a data lake, our experience in analy</w:t>
      </w:r>
      <w:r w:rsidR="005850EF">
        <w:t>zing the data provides opportunities to uncover valuable information on customer behavior and outcomes</w:t>
      </w:r>
      <w:r w:rsidR="0050548E">
        <w:t xml:space="preserve">. </w:t>
      </w:r>
      <w:r>
        <w:t xml:space="preserve">The callout box to the right further describes our analytics expertise. </w:t>
      </w:r>
    </w:p>
    <w:p w14:paraId="5DC92215" w14:textId="567C1C67" w:rsidR="00F130E6" w:rsidRDefault="005E5061" w:rsidP="00BD21FA">
      <w:pPr>
        <w:pStyle w:val="BodyText"/>
      </w:pPr>
      <w:r>
        <w:t>A</w:t>
      </w:r>
      <w:r w:rsidR="00F130E6">
        <w:t>ccess to the CalSAWS data allows us to conduct analytics research not only on the usage of BenefitsCal, but also the outcome of that usage.</w:t>
      </w:r>
    </w:p>
    <w:p w14:paraId="70EC0135" w14:textId="77777777" w:rsidR="00BD1CBC" w:rsidRDefault="005850EF" w:rsidP="00BD21FA">
      <w:pPr>
        <w:pStyle w:val="BodyText"/>
      </w:pPr>
      <w:r>
        <w:t xml:space="preserve">In Section 4.3, we discuss </w:t>
      </w:r>
      <w:r w:rsidR="00BD21FA">
        <w:t>an example of conducting research into outcome questions</w:t>
      </w:r>
      <w:r w:rsidR="00F130E6">
        <w:t xml:space="preserve">, specifically </w:t>
      </w:r>
      <w:r w:rsidR="00BD21FA">
        <w:t>recipient churn</w:t>
      </w:r>
      <w:r w:rsidR="00F130E6">
        <w:t xml:space="preserve">. </w:t>
      </w:r>
    </w:p>
    <w:p w14:paraId="005017A7" w14:textId="772A9C3C" w:rsidR="00BD21FA" w:rsidRDefault="00F130E6" w:rsidP="00BD21FA">
      <w:pPr>
        <w:pStyle w:val="BodyText"/>
      </w:pPr>
      <w:r>
        <w:t xml:space="preserve">Recipient churn is a </w:t>
      </w:r>
      <w:r w:rsidR="00BD21FA">
        <w:t>situation in which an eligible recipient is terminated who then re-establishes eligibility</w:t>
      </w:r>
      <w:r w:rsidR="0050548E">
        <w:t xml:space="preserve">. </w:t>
      </w:r>
      <w:r>
        <w:t>Churn</w:t>
      </w:r>
      <w:r w:rsidR="00BD21FA">
        <w:t xml:space="preserve"> creates an unnecessary workload on County staff and negatively impacts the customer’s experience</w:t>
      </w:r>
      <w:r w:rsidR="0050548E">
        <w:t xml:space="preserve">. </w:t>
      </w:r>
      <w:r w:rsidR="00BD21FA">
        <w:t xml:space="preserve">Creating a data analytics study </w:t>
      </w:r>
      <w:r w:rsidR="00F81E50">
        <w:t>with the objective of determining if BenefitsCal has an impact on reducing churn rates would involve analyzing the data to answer</w:t>
      </w:r>
      <w:r w:rsidR="00BD21FA">
        <w:t xml:space="preserve"> questions like the following</w:t>
      </w:r>
      <w:r w:rsidR="00F81E50">
        <w:t>:</w:t>
      </w:r>
    </w:p>
    <w:tbl>
      <w:tblPr>
        <w:tblStyle w:val="TableGridLight"/>
        <w:tblW w:w="94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0"/>
        <w:gridCol w:w="8855"/>
      </w:tblGrid>
      <w:tr w:rsidR="00BD21FA" w14:paraId="7CA474DB" w14:textId="77777777">
        <w:tc>
          <w:tcPr>
            <w:tcW w:w="590" w:type="dxa"/>
          </w:tcPr>
          <w:p w14:paraId="1BA814C6" w14:textId="77777777" w:rsidR="00BD21FA" w:rsidRDefault="00BD21FA">
            <w:pPr>
              <w:pStyle w:val="BodyText"/>
              <w:keepNext/>
              <w:spacing w:after="0"/>
              <w:jc w:val="center"/>
            </w:pPr>
            <w:r>
              <w:rPr>
                <w:noProof/>
              </w:rPr>
              <w:drawing>
                <wp:inline distT="0" distB="0" distL="0" distR="0" wp14:anchorId="411729F6" wp14:editId="30B1A905">
                  <wp:extent cx="216000" cy="251265"/>
                  <wp:effectExtent l="0" t="0" r="0" b="0"/>
                  <wp:docPr id="8384535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1194" cy="257307"/>
                          </a:xfrm>
                          <a:prstGeom prst="rect">
                            <a:avLst/>
                          </a:prstGeom>
                          <a:noFill/>
                        </pic:spPr>
                      </pic:pic>
                    </a:graphicData>
                  </a:graphic>
                </wp:inline>
              </w:drawing>
            </w:r>
          </w:p>
        </w:tc>
        <w:tc>
          <w:tcPr>
            <w:tcW w:w="8855" w:type="dxa"/>
          </w:tcPr>
          <w:p w14:paraId="1A319EC4" w14:textId="77777777" w:rsidR="00BD21FA" w:rsidRDefault="00BD21FA">
            <w:pPr>
              <w:pStyle w:val="BodyText"/>
              <w:keepNext/>
            </w:pPr>
            <w:r>
              <w:t xml:space="preserve">What is the churn rate for </w:t>
            </w:r>
            <w:r w:rsidRPr="009D3BAB">
              <w:rPr>
                <w:b/>
                <w:bCs/>
              </w:rPr>
              <w:t>active</w:t>
            </w:r>
            <w:r>
              <w:t xml:space="preserve"> users of BenefitsCal?</w:t>
            </w:r>
          </w:p>
        </w:tc>
      </w:tr>
      <w:tr w:rsidR="00BD21FA" w14:paraId="3AE46C87" w14:textId="77777777">
        <w:tc>
          <w:tcPr>
            <w:tcW w:w="590" w:type="dxa"/>
          </w:tcPr>
          <w:p w14:paraId="4C23E37A" w14:textId="77777777" w:rsidR="00BD21FA" w:rsidRDefault="00BD21FA">
            <w:pPr>
              <w:pStyle w:val="BodyText"/>
              <w:spacing w:after="0"/>
              <w:jc w:val="center"/>
            </w:pPr>
            <w:r>
              <w:rPr>
                <w:noProof/>
              </w:rPr>
              <w:drawing>
                <wp:inline distT="0" distB="0" distL="0" distR="0" wp14:anchorId="2AADF8D0" wp14:editId="6F2F0ECA">
                  <wp:extent cx="216000" cy="251266"/>
                  <wp:effectExtent l="0" t="0" r="0" b="0"/>
                  <wp:docPr id="100056180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7453" cy="252956"/>
                          </a:xfrm>
                          <a:prstGeom prst="rect">
                            <a:avLst/>
                          </a:prstGeom>
                          <a:noFill/>
                        </pic:spPr>
                      </pic:pic>
                    </a:graphicData>
                  </a:graphic>
                </wp:inline>
              </w:drawing>
            </w:r>
          </w:p>
        </w:tc>
        <w:tc>
          <w:tcPr>
            <w:tcW w:w="8855" w:type="dxa"/>
          </w:tcPr>
          <w:p w14:paraId="17DAAB25" w14:textId="77777777" w:rsidR="00BD21FA" w:rsidRDefault="00BD21FA">
            <w:pPr>
              <w:pStyle w:val="BodyText"/>
            </w:pPr>
            <w:r>
              <w:t xml:space="preserve">What is the churn rate for </w:t>
            </w:r>
            <w:r w:rsidRPr="009D3BAB">
              <w:rPr>
                <w:b/>
                <w:bCs/>
              </w:rPr>
              <w:t>inactive</w:t>
            </w:r>
            <w:r>
              <w:t xml:space="preserve"> users of BenefitsCal?</w:t>
            </w:r>
          </w:p>
        </w:tc>
      </w:tr>
      <w:tr w:rsidR="00BD21FA" w14:paraId="55D4C0BA" w14:textId="77777777">
        <w:tc>
          <w:tcPr>
            <w:tcW w:w="590" w:type="dxa"/>
          </w:tcPr>
          <w:p w14:paraId="682458D2" w14:textId="77777777" w:rsidR="00BD21FA" w:rsidRDefault="00BD21FA">
            <w:pPr>
              <w:pStyle w:val="BodyText"/>
              <w:spacing w:after="0"/>
              <w:jc w:val="center"/>
            </w:pPr>
            <w:r>
              <w:rPr>
                <w:noProof/>
              </w:rPr>
              <w:drawing>
                <wp:inline distT="0" distB="0" distL="0" distR="0" wp14:anchorId="7B57434E" wp14:editId="5DBE0524">
                  <wp:extent cx="210442" cy="244800"/>
                  <wp:effectExtent l="0" t="0" r="0" b="3175"/>
                  <wp:docPr id="20773384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7467" cy="252972"/>
                          </a:xfrm>
                          <a:prstGeom prst="rect">
                            <a:avLst/>
                          </a:prstGeom>
                          <a:noFill/>
                        </pic:spPr>
                      </pic:pic>
                    </a:graphicData>
                  </a:graphic>
                </wp:inline>
              </w:drawing>
            </w:r>
          </w:p>
        </w:tc>
        <w:tc>
          <w:tcPr>
            <w:tcW w:w="8855" w:type="dxa"/>
          </w:tcPr>
          <w:p w14:paraId="55707210" w14:textId="77777777" w:rsidR="00BD21FA" w:rsidRDefault="00BD21FA">
            <w:pPr>
              <w:pStyle w:val="BodyText"/>
            </w:pPr>
            <w:r>
              <w:t xml:space="preserve">How do these churn rates compare to the </w:t>
            </w:r>
            <w:r w:rsidRPr="00EF0949">
              <w:rPr>
                <w:b/>
                <w:bCs/>
              </w:rPr>
              <w:t>overall</w:t>
            </w:r>
            <w:r>
              <w:t xml:space="preserve"> churn rate?</w:t>
            </w:r>
          </w:p>
        </w:tc>
      </w:tr>
      <w:tr w:rsidR="00BD21FA" w14:paraId="48548250" w14:textId="77777777">
        <w:tc>
          <w:tcPr>
            <w:tcW w:w="590" w:type="dxa"/>
          </w:tcPr>
          <w:p w14:paraId="5DF29582" w14:textId="77777777" w:rsidR="00BD21FA" w:rsidRDefault="00BD21FA">
            <w:pPr>
              <w:pStyle w:val="BodyText"/>
              <w:spacing w:after="0"/>
              <w:jc w:val="center"/>
            </w:pPr>
            <w:r>
              <w:rPr>
                <w:noProof/>
              </w:rPr>
              <w:drawing>
                <wp:inline distT="0" distB="0" distL="0" distR="0" wp14:anchorId="5DD80F04" wp14:editId="44C4FD98">
                  <wp:extent cx="216632" cy="252000"/>
                  <wp:effectExtent l="0" t="0" r="0" b="0"/>
                  <wp:docPr id="2570230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0745" cy="256784"/>
                          </a:xfrm>
                          <a:prstGeom prst="rect">
                            <a:avLst/>
                          </a:prstGeom>
                          <a:noFill/>
                        </pic:spPr>
                      </pic:pic>
                    </a:graphicData>
                  </a:graphic>
                </wp:inline>
              </w:drawing>
            </w:r>
          </w:p>
        </w:tc>
        <w:tc>
          <w:tcPr>
            <w:tcW w:w="8855" w:type="dxa"/>
          </w:tcPr>
          <w:p w14:paraId="3E5E7252" w14:textId="77777777" w:rsidR="00BD21FA" w:rsidRDefault="00BD21FA">
            <w:pPr>
              <w:pStyle w:val="BodyText"/>
            </w:pPr>
            <w:r>
              <w:t xml:space="preserve">How do these churn rates compare to </w:t>
            </w:r>
            <w:r w:rsidRPr="00EF0949">
              <w:rPr>
                <w:b/>
                <w:bCs/>
              </w:rPr>
              <w:t>non-BenefitsCal</w:t>
            </w:r>
            <w:r>
              <w:t xml:space="preserve"> users?</w:t>
            </w:r>
          </w:p>
        </w:tc>
      </w:tr>
      <w:tr w:rsidR="00BD21FA" w14:paraId="24297947" w14:textId="77777777">
        <w:tc>
          <w:tcPr>
            <w:tcW w:w="590" w:type="dxa"/>
          </w:tcPr>
          <w:p w14:paraId="6D181EB0" w14:textId="77777777" w:rsidR="00BD21FA" w:rsidRDefault="00BD21FA">
            <w:pPr>
              <w:pStyle w:val="BodyText"/>
              <w:jc w:val="center"/>
            </w:pPr>
            <w:r>
              <w:rPr>
                <w:noProof/>
              </w:rPr>
              <w:drawing>
                <wp:inline distT="0" distB="0" distL="0" distR="0" wp14:anchorId="544194B2" wp14:editId="72F260C1">
                  <wp:extent cx="223200" cy="259641"/>
                  <wp:effectExtent l="0" t="0" r="5715" b="7620"/>
                  <wp:docPr id="79227789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6183" cy="263110"/>
                          </a:xfrm>
                          <a:prstGeom prst="rect">
                            <a:avLst/>
                          </a:prstGeom>
                          <a:noFill/>
                        </pic:spPr>
                      </pic:pic>
                    </a:graphicData>
                  </a:graphic>
                </wp:inline>
              </w:drawing>
            </w:r>
          </w:p>
        </w:tc>
        <w:tc>
          <w:tcPr>
            <w:tcW w:w="8855" w:type="dxa"/>
          </w:tcPr>
          <w:p w14:paraId="515E27CB" w14:textId="77777777" w:rsidR="00BD21FA" w:rsidRDefault="00BD21FA">
            <w:pPr>
              <w:pStyle w:val="BodyText"/>
            </w:pPr>
            <w:r>
              <w:t xml:space="preserve">What are the main reasons </w:t>
            </w:r>
            <w:r w:rsidRPr="00EF0949">
              <w:rPr>
                <w:b/>
                <w:bCs/>
              </w:rPr>
              <w:t>BenefitsCal users</w:t>
            </w:r>
            <w:r>
              <w:t xml:space="preserve"> who re-establish eligibility were terminated?</w:t>
            </w:r>
          </w:p>
        </w:tc>
      </w:tr>
      <w:tr w:rsidR="00BD21FA" w14:paraId="3D27F60D" w14:textId="77777777">
        <w:tc>
          <w:tcPr>
            <w:tcW w:w="590" w:type="dxa"/>
          </w:tcPr>
          <w:p w14:paraId="661E6D29" w14:textId="77777777" w:rsidR="00BD21FA" w:rsidRDefault="00BD21FA">
            <w:pPr>
              <w:pStyle w:val="BodyText"/>
              <w:spacing w:after="0"/>
              <w:jc w:val="center"/>
            </w:pPr>
            <w:r>
              <w:rPr>
                <w:noProof/>
              </w:rPr>
              <w:drawing>
                <wp:inline distT="0" distB="0" distL="0" distR="0" wp14:anchorId="5776C220" wp14:editId="020222C4">
                  <wp:extent cx="237600" cy="276392"/>
                  <wp:effectExtent l="0" t="0" r="0" b="9525"/>
                  <wp:docPr id="23840435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0799" cy="280113"/>
                          </a:xfrm>
                          <a:prstGeom prst="rect">
                            <a:avLst/>
                          </a:prstGeom>
                          <a:noFill/>
                        </pic:spPr>
                      </pic:pic>
                    </a:graphicData>
                  </a:graphic>
                </wp:inline>
              </w:drawing>
            </w:r>
          </w:p>
        </w:tc>
        <w:tc>
          <w:tcPr>
            <w:tcW w:w="8855" w:type="dxa"/>
          </w:tcPr>
          <w:p w14:paraId="384EABF7" w14:textId="77777777" w:rsidR="00BD21FA" w:rsidRDefault="00BD21FA">
            <w:pPr>
              <w:pStyle w:val="BodyText"/>
            </w:pPr>
            <w:r>
              <w:t xml:space="preserve">What are the main reasons </w:t>
            </w:r>
            <w:r w:rsidRPr="00EF0949">
              <w:rPr>
                <w:b/>
                <w:bCs/>
              </w:rPr>
              <w:t>non-BenefitsCal users</w:t>
            </w:r>
            <w:r>
              <w:t xml:space="preserve"> who re-establish eligibility were terminated?</w:t>
            </w:r>
          </w:p>
        </w:tc>
      </w:tr>
    </w:tbl>
    <w:p w14:paraId="44C402DD" w14:textId="055727AA" w:rsidR="00BD21FA" w:rsidRDefault="00F81E50" w:rsidP="00DD31AC">
      <w:pPr>
        <w:pStyle w:val="BodyText"/>
      </w:pPr>
      <w:r>
        <w:t>Many similar questions on a variety of topics could be posed for analytics research</w:t>
      </w:r>
      <w:r w:rsidR="005C113E">
        <w:t xml:space="preserve"> such as:</w:t>
      </w:r>
    </w:p>
    <w:p w14:paraId="24FF5E46" w14:textId="77777777" w:rsidR="0005172D" w:rsidRPr="00F540D2" w:rsidRDefault="0005172D" w:rsidP="0005172D">
      <w:pPr>
        <w:pStyle w:val="Bullet1Double"/>
        <w:numPr>
          <w:ilvl w:val="0"/>
          <w:numId w:val="60"/>
        </w:numPr>
      </w:pPr>
      <w:r w:rsidRPr="00F540D2">
        <w:t xml:space="preserve">Are </w:t>
      </w:r>
      <w:r w:rsidRPr="006E7368">
        <w:rPr>
          <w:b/>
          <w:bCs w:val="0"/>
        </w:rPr>
        <w:t>applications submitted through</w:t>
      </w:r>
      <w:r w:rsidRPr="00F540D2">
        <w:t xml:space="preserve"> </w:t>
      </w:r>
      <w:r w:rsidRPr="006E7368">
        <w:rPr>
          <w:b/>
          <w:bCs w:val="0"/>
        </w:rPr>
        <w:t>BenefitsCal processed faster</w:t>
      </w:r>
      <w:r w:rsidRPr="00F540D2">
        <w:t xml:space="preserve"> than applications submitted through other channels?</w:t>
      </w:r>
    </w:p>
    <w:p w14:paraId="251DF7BD" w14:textId="77777777" w:rsidR="00BB143A" w:rsidRPr="006F3B7D" w:rsidRDefault="00EA4647" w:rsidP="0005172D">
      <w:pPr>
        <w:pStyle w:val="Bullet1Double"/>
        <w:numPr>
          <w:ilvl w:val="0"/>
          <w:numId w:val="60"/>
        </w:numPr>
      </w:pPr>
      <w:r w:rsidRPr="006F3B7D">
        <w:t xml:space="preserve">Is there a </w:t>
      </w:r>
      <w:r w:rsidR="00563F1E" w:rsidRPr="006F3B7D">
        <w:t xml:space="preserve">significant difference in the </w:t>
      </w:r>
      <w:r w:rsidR="00563F1E" w:rsidRPr="006E7368">
        <w:rPr>
          <w:b/>
        </w:rPr>
        <w:t>percentage of applications submitted through BenefitsCal by County</w:t>
      </w:r>
      <w:r w:rsidR="00563F1E" w:rsidRPr="006F3B7D">
        <w:t>?</w:t>
      </w:r>
    </w:p>
    <w:p w14:paraId="68D95D91" w14:textId="77777777" w:rsidR="00BB143A" w:rsidRPr="006F3B7D" w:rsidRDefault="00BB143A" w:rsidP="0005172D">
      <w:pPr>
        <w:pStyle w:val="Bullet1Double"/>
        <w:numPr>
          <w:ilvl w:val="0"/>
          <w:numId w:val="60"/>
        </w:numPr>
      </w:pPr>
      <w:r w:rsidRPr="006F3B7D">
        <w:lastRenderedPageBreak/>
        <w:t xml:space="preserve">Is there a significant difference in the </w:t>
      </w:r>
      <w:r w:rsidRPr="006E7368">
        <w:rPr>
          <w:b/>
        </w:rPr>
        <w:t>percentage of applications submitted through BenefitsCal by program</w:t>
      </w:r>
      <w:r w:rsidRPr="006F3B7D">
        <w:t>?</w:t>
      </w:r>
    </w:p>
    <w:p w14:paraId="55F4AD35" w14:textId="7D275449" w:rsidR="00563F1E" w:rsidRPr="006F3B7D" w:rsidRDefault="00563F1E" w:rsidP="0005172D">
      <w:pPr>
        <w:pStyle w:val="Bullet1Double"/>
        <w:numPr>
          <w:ilvl w:val="0"/>
          <w:numId w:val="60"/>
        </w:numPr>
      </w:pPr>
      <w:r w:rsidRPr="006F3B7D">
        <w:t xml:space="preserve">What is the </w:t>
      </w:r>
      <w:r w:rsidRPr="006E7368">
        <w:rPr>
          <w:b/>
        </w:rPr>
        <w:t>effect of a marketing campaign</w:t>
      </w:r>
      <w:r w:rsidRPr="006F3B7D">
        <w:t xml:space="preserve"> not only on BenefitsCal adoption, but also on the County workload?</w:t>
      </w:r>
    </w:p>
    <w:p w14:paraId="4992E8D1" w14:textId="77FB7479" w:rsidR="00563F1E" w:rsidRDefault="005E13FF" w:rsidP="0005172D">
      <w:pPr>
        <w:pStyle w:val="Bullet1Double"/>
        <w:numPr>
          <w:ilvl w:val="0"/>
          <w:numId w:val="60"/>
        </w:numPr>
      </w:pPr>
      <w:r>
        <w:t xml:space="preserve">Are there </w:t>
      </w:r>
      <w:r w:rsidR="00E13DFA" w:rsidRPr="006E7368">
        <w:rPr>
          <w:b/>
        </w:rPr>
        <w:t xml:space="preserve">demographic characteristics that can predict </w:t>
      </w:r>
      <w:r w:rsidR="00E13DFA">
        <w:t>recipients who are likely to maintain an ongoing relationship (submitting documents, reporting changes, etc.) through BenefitsCal versus other communication channels</w:t>
      </w:r>
      <w:r w:rsidR="00AB522F">
        <w:t xml:space="preserve">? </w:t>
      </w:r>
      <w:r w:rsidR="00A90FB0">
        <w:t xml:space="preserve">Using this information can we </w:t>
      </w:r>
      <w:r w:rsidR="00A90FB0" w:rsidRPr="006E7368">
        <w:rPr>
          <w:b/>
        </w:rPr>
        <w:t>target campaigns</w:t>
      </w:r>
      <w:r w:rsidR="00A90FB0">
        <w:t xml:space="preserve"> to inform these potential users of the value of BenefitsCal to offload work from County staff?</w:t>
      </w:r>
    </w:p>
    <w:p w14:paraId="5A69999C" w14:textId="4C7C9CC1" w:rsidR="00A90FB0" w:rsidRDefault="00A90FB0" w:rsidP="00DD31AC">
      <w:pPr>
        <w:pStyle w:val="BodyText"/>
      </w:pPr>
      <w:r>
        <w:t xml:space="preserve">The potential questions are endless and as such we propose a focus group comprised of Consortium </w:t>
      </w:r>
      <w:r w:rsidR="00654408">
        <w:t xml:space="preserve">and Gainwell </w:t>
      </w:r>
      <w:r>
        <w:t>staff</w:t>
      </w:r>
      <w:r w:rsidR="00654408">
        <w:t>, County management staff</w:t>
      </w:r>
      <w:r w:rsidR="0029277E">
        <w:t xml:space="preserve">, State partners, </w:t>
      </w:r>
      <w:r w:rsidR="00654408">
        <w:t>and other stakeholders to identify and vet the analytics research questions that will be pursued</w:t>
      </w:r>
      <w:r w:rsidR="005B1859">
        <w:t>.</w:t>
      </w:r>
    </w:p>
    <w:p w14:paraId="533A7B38" w14:textId="1CF69F95" w:rsidR="00647268" w:rsidRPr="00DD31AC" w:rsidRDefault="00E745CA" w:rsidP="00DD31AC">
      <w:pPr>
        <w:pStyle w:val="BodyText"/>
      </w:pPr>
      <w:r w:rsidRPr="00DD31AC">
        <w:t>In the next subsection we describe our integration of the UCD process into our SDLC and suggested improvements to the existing UCD process.</w:t>
      </w:r>
    </w:p>
    <w:p w14:paraId="71A25098" w14:textId="0ED5DFBB" w:rsidR="00647268" w:rsidRDefault="00647268" w:rsidP="00647268">
      <w:pPr>
        <w:pStyle w:val="HeadingManual3"/>
      </w:pPr>
      <w:bookmarkStart w:id="49" w:name="_Toc173187481"/>
      <w:r>
        <w:t>4.2.</w:t>
      </w:r>
      <w:r w:rsidR="00A42EED">
        <w:t>3</w:t>
      </w:r>
      <w:r>
        <w:tab/>
        <w:t>User Centered Design Approach and Improvements</w:t>
      </w:r>
      <w:bookmarkEnd w:id="49"/>
    </w:p>
    <w:p w14:paraId="0476A9F9" w14:textId="2B89E1D7" w:rsidR="005E0179" w:rsidRPr="005E0179" w:rsidRDefault="005E0179" w:rsidP="005E0179">
      <w:pPr>
        <w:pStyle w:val="BodyText"/>
      </w:pPr>
      <w:r>
        <w:t xml:space="preserve">The existing UCD approach engages </w:t>
      </w:r>
      <w:r>
        <w:rPr>
          <w:szCs w:val="22"/>
        </w:rPr>
        <w:t>diverse stakeholders and users through various methods, notably:</w:t>
      </w:r>
    </w:p>
    <w:p w14:paraId="57636BB4" w14:textId="5196C94E" w:rsidR="005E0179" w:rsidRDefault="005E0179" w:rsidP="002269E0">
      <w:pPr>
        <w:pStyle w:val="CvrLtrBullet1Double"/>
      </w:pPr>
      <w:r>
        <w:rPr>
          <w:b/>
        </w:rPr>
        <w:t>Survey Responses</w:t>
      </w:r>
      <w:r>
        <w:t>: Gathering feedback from respondents.</w:t>
      </w:r>
    </w:p>
    <w:p w14:paraId="1C27C5B7" w14:textId="71BDF1F2" w:rsidR="005E0179" w:rsidRDefault="005E0179" w:rsidP="002269E0">
      <w:pPr>
        <w:pStyle w:val="CvrLtrBullet1Double"/>
      </w:pPr>
      <w:r>
        <w:rPr>
          <w:b/>
        </w:rPr>
        <w:t>Focus Groups and Interviews</w:t>
      </w:r>
      <w:r>
        <w:t>: Conducting focus group sessions and individual interviews.</w:t>
      </w:r>
    </w:p>
    <w:p w14:paraId="3CD8B17B" w14:textId="7C3B5479" w:rsidR="005E0179" w:rsidRDefault="005E0179" w:rsidP="002269E0">
      <w:pPr>
        <w:pStyle w:val="CvrLtrBullet1Double"/>
      </w:pPr>
      <w:r>
        <w:rPr>
          <w:b/>
        </w:rPr>
        <w:t>Usability Testing and Design Sessions</w:t>
      </w:r>
      <w:r>
        <w:t>: Organizing usability testing sessions and design sessions to refine the product.</w:t>
      </w:r>
    </w:p>
    <w:p w14:paraId="32DA5C12" w14:textId="6CEE1B89" w:rsidR="00BE0265" w:rsidRDefault="00646142" w:rsidP="0059666E">
      <w:pPr>
        <w:pStyle w:val="BodyText"/>
      </w:pPr>
      <w:r>
        <w:t>This</w:t>
      </w:r>
      <w:r w:rsidR="005E0179">
        <w:t xml:space="preserve"> approach has led to changes to the design based on insights collected from users. The project has involved stakeholder engagement dedicated to understanding the needs of individuals across </w:t>
      </w:r>
      <w:r>
        <w:t xml:space="preserve">the </w:t>
      </w:r>
      <w:r w:rsidR="005E0179">
        <w:t xml:space="preserve">58 counties. </w:t>
      </w:r>
    </w:p>
    <w:p w14:paraId="05467A28" w14:textId="3AF4DBC7" w:rsidR="00BE0265" w:rsidRDefault="00BE0265" w:rsidP="0059666E">
      <w:pPr>
        <w:pStyle w:val="BodyText"/>
      </w:pPr>
      <w:r>
        <w:t>User Centered Design is an integrated approach to software development</w:t>
      </w:r>
      <w:r w:rsidR="00AB522F">
        <w:t xml:space="preserve">. </w:t>
      </w:r>
      <w:r>
        <w:t>It is not a</w:t>
      </w:r>
      <w:r w:rsidR="00D0719F">
        <w:t>n</w:t>
      </w:r>
      <w:r>
        <w:t xml:space="preserve"> “</w:t>
      </w:r>
      <w:r w:rsidR="00D0719F">
        <w:t xml:space="preserve">add </w:t>
      </w:r>
      <w:r>
        <w:t xml:space="preserve">on” to an existing software development lifecycle, but rather an integrated component </w:t>
      </w:r>
      <w:r w:rsidR="0085602A">
        <w:t>in each step of the SDLC</w:t>
      </w:r>
      <w:r w:rsidR="00AB522F">
        <w:t xml:space="preserve">. </w:t>
      </w:r>
      <w:r w:rsidR="0085602A">
        <w:t>It is also a mindset and perspective that Gainwell application teams will bring to each BenefitsCal enhancement.</w:t>
      </w:r>
    </w:p>
    <w:p w14:paraId="09BDB3A0" w14:textId="53295A62" w:rsidR="00C22697" w:rsidRDefault="00C22697" w:rsidP="0059666E">
      <w:pPr>
        <w:pStyle w:val="BodyText"/>
      </w:pPr>
      <w:r>
        <w:t xml:space="preserve">Gainwell’s UCD approach is based on </w:t>
      </w:r>
      <w:r w:rsidR="00BE6847">
        <w:t>both our extensive experience with public facing portals and creation and maintenance of our numerous Medicaid Management Information System (MMIS) products</w:t>
      </w:r>
      <w:r w:rsidR="00AB522F">
        <w:t xml:space="preserve">. </w:t>
      </w:r>
      <w:r w:rsidR="00132AB2">
        <w:t xml:space="preserve">As shown on the following figure, Gainwell provides and maintains </w:t>
      </w:r>
      <w:r w:rsidR="00492703">
        <w:t xml:space="preserve">government </w:t>
      </w:r>
      <w:r w:rsidR="00D1453A">
        <w:t xml:space="preserve">health and human services </w:t>
      </w:r>
      <w:r w:rsidR="005D2315">
        <w:t xml:space="preserve">portals in </w:t>
      </w:r>
      <w:r w:rsidR="00492703">
        <w:t>27</w:t>
      </w:r>
      <w:r w:rsidR="005D2315">
        <w:t xml:space="preserve"> </w:t>
      </w:r>
      <w:r w:rsidR="00492703">
        <w:t>states and territories</w:t>
      </w:r>
      <w:r w:rsidR="005D2315">
        <w:t>.</w:t>
      </w:r>
    </w:p>
    <w:p w14:paraId="7413C514" w14:textId="77777777" w:rsidR="00F1759F" w:rsidRDefault="00F1759F" w:rsidP="004339C5">
      <w:pPr>
        <w:pStyle w:val="FigureCaptionAuto"/>
      </w:pPr>
      <w:bookmarkStart w:id="50" w:name="_Toc173187523"/>
      <w:r>
        <w:lastRenderedPageBreak/>
        <w:t>Gainwell Maintained Government Health and Human Services Portals</w:t>
      </w:r>
      <w:bookmarkEnd w:id="50"/>
    </w:p>
    <w:p w14:paraId="274E6254" w14:textId="362A7E42" w:rsidR="005D2315" w:rsidRDefault="003D2F91" w:rsidP="0059666E">
      <w:pPr>
        <w:pStyle w:val="BodyText"/>
      </w:pPr>
      <w:r>
        <w:rPr>
          <w:noProof/>
        </w:rPr>
        <w:drawing>
          <wp:inline distT="0" distB="0" distL="0" distR="0" wp14:anchorId="2D98854D" wp14:editId="6B075FF4">
            <wp:extent cx="6046468" cy="3905338"/>
            <wp:effectExtent l="0" t="0" r="0" b="0"/>
            <wp:docPr id="17584436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55687" cy="3911292"/>
                    </a:xfrm>
                    <a:prstGeom prst="rect">
                      <a:avLst/>
                    </a:prstGeom>
                    <a:noFill/>
                  </pic:spPr>
                </pic:pic>
              </a:graphicData>
            </a:graphic>
          </wp:inline>
        </w:drawing>
      </w:r>
    </w:p>
    <w:p w14:paraId="01B47B88" w14:textId="5DD4888D" w:rsidR="00727A44" w:rsidRDefault="001371E1" w:rsidP="00916F35">
      <w:pPr>
        <w:pStyle w:val="BodyText"/>
      </w:pPr>
      <w:r>
        <w:t>The “portal in progress” noted on the figure above in California refers to a</w:t>
      </w:r>
      <w:r w:rsidR="00E66B1A">
        <w:t xml:space="preserve"> member portal for </w:t>
      </w:r>
      <w:r w:rsidR="005236BF">
        <w:t>recipients</w:t>
      </w:r>
      <w:r w:rsidR="00E66B1A">
        <w:t xml:space="preserve"> of Medi-Cal that is under design as part of our </w:t>
      </w:r>
      <w:r w:rsidR="002910BA">
        <w:t>Population</w:t>
      </w:r>
      <w:r w:rsidR="00E66B1A">
        <w:t xml:space="preserve"> Health Management (PHM) </w:t>
      </w:r>
      <w:r w:rsidR="005236BF">
        <w:t>contract</w:t>
      </w:r>
      <w:r w:rsidR="00AB522F">
        <w:t xml:space="preserve">. </w:t>
      </w:r>
      <w:r w:rsidR="00844F42">
        <w:t>T</w:t>
      </w:r>
      <w:r w:rsidR="008A054F">
        <w:t xml:space="preserve">his project is currently in </w:t>
      </w:r>
      <w:r w:rsidR="00BB47E9">
        <w:t xml:space="preserve">the Identify phase as described </w:t>
      </w:r>
      <w:r w:rsidR="00D41E85">
        <w:t>later in this section</w:t>
      </w:r>
      <w:r w:rsidR="00AB522F">
        <w:t xml:space="preserve">. </w:t>
      </w:r>
    </w:p>
    <w:p w14:paraId="430FB338" w14:textId="5BE6B11A" w:rsidR="002D33F6" w:rsidRDefault="00D41E85" w:rsidP="00727A44">
      <w:pPr>
        <w:pStyle w:val="BodyText"/>
      </w:pPr>
      <w:r>
        <w:t>The vision for this member port</w:t>
      </w:r>
      <w:r w:rsidR="00CA409C">
        <w:t>al</w:t>
      </w:r>
      <w:r>
        <w:t xml:space="preserve"> is one of </w:t>
      </w:r>
      <w:r w:rsidR="002D33F6" w:rsidRPr="002D33F6">
        <w:t>an improved healthcare experience for Medi-Cal members that revolutionizes healthcare in the state of California</w:t>
      </w:r>
      <w:r w:rsidR="00AB522F" w:rsidRPr="002D33F6">
        <w:t>.</w:t>
      </w:r>
      <w:r w:rsidR="00AB522F">
        <w:t xml:space="preserve"> </w:t>
      </w:r>
      <w:r w:rsidR="00C9493F">
        <w:t xml:space="preserve">Discovery sessions are underway with the </w:t>
      </w:r>
      <w:r w:rsidR="00257E57">
        <w:t xml:space="preserve">California </w:t>
      </w:r>
      <w:r w:rsidR="00C9493F">
        <w:t>Department of Health Care Services (DHCS)</w:t>
      </w:r>
      <w:r w:rsidR="00AB522F">
        <w:t xml:space="preserve">. </w:t>
      </w:r>
      <w:r w:rsidR="00C9493F">
        <w:t xml:space="preserve">While </w:t>
      </w:r>
      <w:r w:rsidR="00143362">
        <w:t>the Medi-Cal member portal and BenefitsCal serve different populations, there is also tremendous overlap in the client</w:t>
      </w:r>
      <w:r w:rsidR="002A77A8">
        <w:t>s</w:t>
      </w:r>
      <w:r w:rsidR="00143362">
        <w:t xml:space="preserve"> each portal</w:t>
      </w:r>
      <w:r w:rsidR="00727A44">
        <w:t xml:space="preserve"> currently </w:t>
      </w:r>
      <w:r w:rsidR="002A77A8">
        <w:t>serves</w:t>
      </w:r>
      <w:r w:rsidR="00617D64">
        <w:t xml:space="preserve"> or will serve in the future</w:t>
      </w:r>
      <w:r w:rsidR="00AB522F">
        <w:t xml:space="preserve">. </w:t>
      </w:r>
      <w:r w:rsidR="002A77A8" w:rsidRPr="00727A44">
        <w:rPr>
          <w:b/>
          <w:bCs/>
        </w:rPr>
        <w:t xml:space="preserve">Gainwell provides a unique opportunity to increase collaboration with our DHCS state partner to consider the full </w:t>
      </w:r>
      <w:r w:rsidR="00DC1AC5" w:rsidRPr="00727A44">
        <w:rPr>
          <w:b/>
          <w:bCs/>
        </w:rPr>
        <w:t>user experience.</w:t>
      </w:r>
    </w:p>
    <w:p w14:paraId="07CECBC3" w14:textId="326506BF" w:rsidR="00916F35" w:rsidRPr="0029277E" w:rsidRDefault="00727A44" w:rsidP="00916F35">
      <w:pPr>
        <w:pStyle w:val="BodyText"/>
      </w:pPr>
      <w:r>
        <w:rPr>
          <w:noProof/>
        </w:rPr>
        <w:lastRenderedPageBreak/>
        <w:drawing>
          <wp:anchor distT="0" distB="18415" distL="114300" distR="114300" simplePos="0" relativeHeight="251658268" behindDoc="0" locked="0" layoutInCell="1" allowOverlap="1" wp14:anchorId="22AFE2B5" wp14:editId="1B323E24">
            <wp:simplePos x="0" y="0"/>
            <wp:positionH relativeFrom="margin">
              <wp:posOffset>-70485</wp:posOffset>
            </wp:positionH>
            <wp:positionV relativeFrom="paragraph">
              <wp:posOffset>8255</wp:posOffset>
            </wp:positionV>
            <wp:extent cx="2393950" cy="3368675"/>
            <wp:effectExtent l="0" t="0" r="6350" b="3175"/>
            <wp:wrapSquare wrapText="bothSides"/>
            <wp:docPr id="20400703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93950" cy="3368675"/>
                    </a:xfrm>
                    <a:prstGeom prst="rect">
                      <a:avLst/>
                    </a:prstGeom>
                    <a:noFill/>
                  </pic:spPr>
                </pic:pic>
              </a:graphicData>
            </a:graphic>
            <wp14:sizeRelH relativeFrom="page">
              <wp14:pctWidth>0</wp14:pctWidth>
            </wp14:sizeRelH>
            <wp14:sizeRelV relativeFrom="page">
              <wp14:pctHeight>0</wp14:pctHeight>
            </wp14:sizeRelV>
          </wp:anchor>
        </w:drawing>
      </w:r>
      <w:r w:rsidR="00CA4069">
        <w:t>Gainwell’s experience also includes providing a California human services portal for customers in 18 California Counties through the MyBenefitsCalWIN (MyBCW) portal</w:t>
      </w:r>
      <w:r w:rsidR="00AB522F">
        <w:t xml:space="preserve">. </w:t>
      </w:r>
      <w:r w:rsidR="00CA4069">
        <w:t>Though this portal has been retired with the consolidation of the SAWS into CalSAWS, MyBCW was an award</w:t>
      </w:r>
      <w:r w:rsidR="00773211">
        <w:t>-</w:t>
      </w:r>
      <w:r w:rsidR="00CA4069">
        <w:t>winning portal that provided similar functionality as BenefitsCal to many of the same customers</w:t>
      </w:r>
      <w:r w:rsidR="00A43315">
        <w:t xml:space="preserve">. </w:t>
      </w:r>
      <w:r w:rsidR="00CA4069">
        <w:t xml:space="preserve">This experience with the </w:t>
      </w:r>
      <w:r w:rsidR="00767CA7">
        <w:t xml:space="preserve">same </w:t>
      </w:r>
      <w:r w:rsidR="00CA4069">
        <w:t>customer base, advocates, and State partners means we understand the environment in which BenefitsCal operates and have the vision to anticipate potential roadblocks or</w:t>
      </w:r>
      <w:r w:rsidR="00767CA7">
        <w:t xml:space="preserve"> the need for</w:t>
      </w:r>
      <w:r w:rsidR="003653FF">
        <w:t xml:space="preserve"> increased</w:t>
      </w:r>
      <w:r w:rsidR="00CA4069">
        <w:t xml:space="preserve"> collaboration</w:t>
      </w:r>
      <w:r w:rsidR="00C900D8">
        <w:t xml:space="preserve">. </w:t>
      </w:r>
    </w:p>
    <w:p w14:paraId="486EEE57" w14:textId="3DDFBBA7" w:rsidR="004020AC" w:rsidRDefault="00683C77" w:rsidP="0059666E">
      <w:pPr>
        <w:pStyle w:val="BodyText"/>
      </w:pPr>
      <w:r>
        <w:t xml:space="preserve">Our extensive experience in providing public facing portals for our </w:t>
      </w:r>
      <w:r w:rsidR="00EF53F6">
        <w:t xml:space="preserve">health and human services </w:t>
      </w:r>
      <w:r>
        <w:t>clients in multiple states</w:t>
      </w:r>
      <w:r w:rsidR="00A55C30">
        <w:t>,</w:t>
      </w:r>
      <w:r>
        <w:t xml:space="preserve"> including California</w:t>
      </w:r>
      <w:r w:rsidR="00A55C30">
        <w:t>,</w:t>
      </w:r>
      <w:r>
        <w:t xml:space="preserve"> has </w:t>
      </w:r>
      <w:r w:rsidR="00EF53F6">
        <w:t>required an intense</w:t>
      </w:r>
      <w:r w:rsidR="00651609">
        <w:t xml:space="preserve"> focus on user centered design</w:t>
      </w:r>
      <w:r w:rsidR="00C900D8">
        <w:t xml:space="preserve">. </w:t>
      </w:r>
      <w:r w:rsidR="00F90869">
        <w:t xml:space="preserve">Our UCD process is integrated into our SDLC </w:t>
      </w:r>
      <w:r w:rsidR="00C91C82">
        <w:t>in</w:t>
      </w:r>
      <w:r w:rsidR="00F90869">
        <w:t xml:space="preserve"> four </w:t>
      </w:r>
      <w:r w:rsidR="004020AC">
        <w:t xml:space="preserve">focus areas or phases, Identify, Design, Build and Deploy and Feedback. </w:t>
      </w:r>
    </w:p>
    <w:p w14:paraId="3DAD49CE" w14:textId="04A4D379" w:rsidR="005E0179" w:rsidRPr="0059666E" w:rsidRDefault="00345A7D" w:rsidP="0029277E">
      <w:pPr>
        <w:pStyle w:val="BodyText"/>
        <w:keepNext/>
      </w:pPr>
      <w:r>
        <w:t xml:space="preserve">As illustrated in the figure below, the Gainwell team integrates UCD elements into each </w:t>
      </w:r>
      <w:r w:rsidR="00631990">
        <w:t>of these phases</w:t>
      </w:r>
      <w:r>
        <w:t xml:space="preserve"> of the SDLC.</w:t>
      </w:r>
    </w:p>
    <w:p w14:paraId="78E84543" w14:textId="77777777" w:rsidR="00F1759F" w:rsidRDefault="00F1759F" w:rsidP="004339C5">
      <w:pPr>
        <w:pStyle w:val="FigureCaptionAuto"/>
      </w:pPr>
      <w:bookmarkStart w:id="51" w:name="_Toc173187524"/>
      <w:r>
        <w:t>UCD Integration in the SDLC</w:t>
      </w:r>
      <w:bookmarkEnd w:id="51"/>
    </w:p>
    <w:p w14:paraId="5FED10E3" w14:textId="1FE3C3F7" w:rsidR="00EE162A" w:rsidRDefault="008977F2" w:rsidP="00F1759F">
      <w:pPr>
        <w:pStyle w:val="BodyText"/>
      </w:pPr>
      <w:r>
        <w:rPr>
          <w:noProof/>
        </w:rPr>
        <w:drawing>
          <wp:inline distT="0" distB="0" distL="0" distR="0" wp14:anchorId="25AB11EA" wp14:editId="77B1C735">
            <wp:extent cx="6225467" cy="2520950"/>
            <wp:effectExtent l="0" t="0" r="4445" b="0"/>
            <wp:docPr id="113861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61489" cy="2535537"/>
                    </a:xfrm>
                    <a:prstGeom prst="rect">
                      <a:avLst/>
                    </a:prstGeom>
                    <a:noFill/>
                  </pic:spPr>
                </pic:pic>
              </a:graphicData>
            </a:graphic>
          </wp:inline>
        </w:drawing>
      </w:r>
    </w:p>
    <w:p w14:paraId="5ABEF258" w14:textId="77777777" w:rsidR="002055C3" w:rsidRDefault="002055C3" w:rsidP="002055C3">
      <w:pPr>
        <w:pStyle w:val="BodyText"/>
      </w:pPr>
      <w:r>
        <w:t xml:space="preserve">Throughout the development lifecycle phases, our staff are responsible for reviewing the design and implementation using the concepts of: </w:t>
      </w:r>
    </w:p>
    <w:p w14:paraId="6A63F59B" w14:textId="77777777" w:rsidR="002055C3" w:rsidRDefault="002055C3" w:rsidP="002269E0">
      <w:pPr>
        <w:pStyle w:val="CvrLtrBullet1Double"/>
      </w:pPr>
      <w:r w:rsidRPr="00952B20">
        <w:rPr>
          <w:b/>
        </w:rPr>
        <w:t>User Research</w:t>
      </w:r>
      <w:r w:rsidRPr="00952B20">
        <w:rPr>
          <w:b/>
          <w:bCs w:val="0"/>
        </w:rPr>
        <w:t>.</w:t>
      </w:r>
      <w:r>
        <w:t xml:space="preserve"> Understand</w:t>
      </w:r>
      <w:r w:rsidRPr="00946707">
        <w:t xml:space="preserve"> user behaviors, needs, and motivations through observation</w:t>
      </w:r>
      <w:r>
        <w:t xml:space="preserve"> of users</w:t>
      </w:r>
      <w:r w:rsidRPr="00946707">
        <w:t xml:space="preserve">, </w:t>
      </w:r>
      <w:r>
        <w:t>usage analysis</w:t>
      </w:r>
      <w:r w:rsidRPr="00946707">
        <w:t xml:space="preserve">, and other </w:t>
      </w:r>
      <w:r>
        <w:t>available information</w:t>
      </w:r>
      <w:r w:rsidRPr="00946707">
        <w:t>.</w:t>
      </w:r>
    </w:p>
    <w:p w14:paraId="17D21AC5" w14:textId="77777777" w:rsidR="002055C3" w:rsidRPr="00946707" w:rsidRDefault="002055C3" w:rsidP="002269E0">
      <w:pPr>
        <w:pStyle w:val="CvrLtrBullet1Double"/>
      </w:pPr>
      <w:r w:rsidRPr="001A5B51">
        <w:rPr>
          <w:b/>
        </w:rPr>
        <w:lastRenderedPageBreak/>
        <w:t>Usability.</w:t>
      </w:r>
      <w:r>
        <w:t xml:space="preserve"> Assess h</w:t>
      </w:r>
      <w:r w:rsidRPr="00946707">
        <w:t xml:space="preserve">ow </w:t>
      </w:r>
      <w:r>
        <w:t xml:space="preserve">easy is it for </w:t>
      </w:r>
      <w:r w:rsidRPr="00946707">
        <w:t xml:space="preserve">users </w:t>
      </w:r>
      <w:r>
        <w:t>to</w:t>
      </w:r>
      <w:r w:rsidRPr="00946707">
        <w:t xml:space="preserve"> learn and use </w:t>
      </w:r>
      <w:r>
        <w:t>the functionality and how satisfied are they with the change</w:t>
      </w:r>
      <w:r w:rsidRPr="00946707">
        <w:t xml:space="preserve">. </w:t>
      </w:r>
    </w:p>
    <w:p w14:paraId="7259BAC6" w14:textId="77777777" w:rsidR="002055C3" w:rsidRPr="00946707" w:rsidRDefault="002055C3" w:rsidP="002269E0">
      <w:pPr>
        <w:pStyle w:val="CvrLtrBullet1Double"/>
      </w:pPr>
      <w:r w:rsidRPr="00952B20">
        <w:rPr>
          <w:b/>
        </w:rPr>
        <w:t>Information Architecture</w:t>
      </w:r>
      <w:r w:rsidRPr="00952B20">
        <w:rPr>
          <w:b/>
          <w:bCs w:val="0"/>
        </w:rPr>
        <w:t>.</w:t>
      </w:r>
      <w:r w:rsidRPr="00952B20">
        <w:t xml:space="preserve"> Consider ho</w:t>
      </w:r>
      <w:r w:rsidRPr="00946707">
        <w:t>w information is organized</w:t>
      </w:r>
      <w:r>
        <w:t xml:space="preserve"> </w:t>
      </w:r>
      <w:r w:rsidRPr="00946707">
        <w:t>and presented to users.</w:t>
      </w:r>
    </w:p>
    <w:p w14:paraId="775F3B82" w14:textId="77777777" w:rsidR="002055C3" w:rsidRPr="00946707" w:rsidRDefault="002055C3" w:rsidP="002269E0">
      <w:pPr>
        <w:pStyle w:val="CvrLtrBullet1Double"/>
      </w:pPr>
      <w:r w:rsidRPr="00952B20">
        <w:rPr>
          <w:b/>
        </w:rPr>
        <w:t>User Interface Design</w:t>
      </w:r>
      <w:r w:rsidRPr="00952B20">
        <w:rPr>
          <w:b/>
          <w:bCs w:val="0"/>
        </w:rPr>
        <w:t>.</w:t>
      </w:r>
      <w:r w:rsidRPr="001A5B51">
        <w:rPr>
          <w:b/>
          <w:bCs w:val="0"/>
        </w:rPr>
        <w:t xml:space="preserve"> </w:t>
      </w:r>
      <w:r>
        <w:t>A</w:t>
      </w:r>
      <w:r w:rsidRPr="00946707">
        <w:t>nticipat</w:t>
      </w:r>
      <w:r>
        <w:t>e</w:t>
      </w:r>
      <w:r w:rsidRPr="00946707">
        <w:t xml:space="preserve"> what users might need to do and ensur</w:t>
      </w:r>
      <w:r>
        <w:t>e</w:t>
      </w:r>
      <w:r w:rsidRPr="00946707">
        <w:t xml:space="preserve"> that the interface has elements that are easy to access, understand, and use to facilitate those actions.</w:t>
      </w:r>
    </w:p>
    <w:p w14:paraId="1B7AD48D" w14:textId="7739DDC4" w:rsidR="002055C3" w:rsidRPr="00946707" w:rsidRDefault="002055C3" w:rsidP="002269E0">
      <w:pPr>
        <w:pStyle w:val="CvrLtrBullet1Double"/>
      </w:pPr>
      <w:r w:rsidRPr="00952B20">
        <w:rPr>
          <w:b/>
        </w:rPr>
        <w:t>User Interaction Design</w:t>
      </w:r>
      <w:r w:rsidRPr="00952B20">
        <w:rPr>
          <w:b/>
          <w:bCs w:val="0"/>
        </w:rPr>
        <w:t>.</w:t>
      </w:r>
      <w:r w:rsidRPr="00952B20">
        <w:rPr>
          <w:b/>
        </w:rPr>
        <w:t xml:space="preserve"> </w:t>
      </w:r>
      <w:r>
        <w:t>Consider</w:t>
      </w:r>
      <w:r w:rsidRPr="004C2FA1">
        <w:t xml:space="preserve"> what users might need to do and </w:t>
      </w:r>
      <w:r>
        <w:t>include</w:t>
      </w:r>
      <w:r w:rsidRPr="004C2FA1">
        <w:t xml:space="preserve"> interface elements to facilitate those actions</w:t>
      </w:r>
      <w:r w:rsidRPr="008511B9">
        <w:t xml:space="preserve"> </w:t>
      </w:r>
      <w:r>
        <w:t xml:space="preserve">while </w:t>
      </w:r>
      <w:r w:rsidRPr="00946707">
        <w:t xml:space="preserve">creating engaging interactive </w:t>
      </w:r>
      <w:r>
        <w:t>interfaces</w:t>
      </w:r>
      <w:r w:rsidRPr="00946707">
        <w:t>.</w:t>
      </w:r>
    </w:p>
    <w:p w14:paraId="07AC4DE1" w14:textId="04BA396E" w:rsidR="00E00277" w:rsidRPr="00E00277" w:rsidRDefault="002055C3" w:rsidP="002269E0">
      <w:pPr>
        <w:pStyle w:val="CvrLtrBullet1Double"/>
      </w:pPr>
      <w:r w:rsidRPr="00952B20">
        <w:rPr>
          <w:b/>
        </w:rPr>
        <w:t>Accessibility</w:t>
      </w:r>
      <w:r w:rsidRPr="00952B20">
        <w:rPr>
          <w:b/>
          <w:bCs w:val="0"/>
        </w:rPr>
        <w:t>.</w:t>
      </w:r>
      <w:r>
        <w:t xml:space="preserve"> Design with a focus on access for persons with disabilities; often referred to as Section 508, which is the governing principle for accessibility. </w:t>
      </w:r>
    </w:p>
    <w:p w14:paraId="00CE1501" w14:textId="7B17E80D" w:rsidR="00BB3A10" w:rsidRPr="00E00277" w:rsidRDefault="00BB3A10" w:rsidP="00BB3A10">
      <w:pPr>
        <w:pStyle w:val="Bullet1Double"/>
        <w:ind w:left="0" w:firstLine="0"/>
      </w:pPr>
      <w:r>
        <w:t>In the following subsections, we describe the integration of our UCD techniques with our SDLC</w:t>
      </w:r>
      <w:r w:rsidR="00C21B82">
        <w:t xml:space="preserve"> in each of the four phases: Identify, Design, Build and Deploy, and Feedback.</w:t>
      </w:r>
    </w:p>
    <w:p w14:paraId="49D76C9C" w14:textId="4D7A2E3E" w:rsidR="00345A7D" w:rsidRDefault="00FA2234" w:rsidP="00C52E11">
      <w:pPr>
        <w:pStyle w:val="HeadingManual4"/>
      </w:pPr>
      <w:bookmarkStart w:id="52" w:name="_Toc172704160"/>
      <w:bookmarkStart w:id="53" w:name="_Toc173187482"/>
      <w:r>
        <w:rPr>
          <w:noProof/>
        </w:rPr>
        <w:drawing>
          <wp:anchor distT="0" distB="0" distL="114300" distR="114300" simplePos="0" relativeHeight="251658241" behindDoc="0" locked="0" layoutInCell="1" allowOverlap="1" wp14:anchorId="13FD2FB9" wp14:editId="0222F744">
            <wp:simplePos x="0" y="0"/>
            <wp:positionH relativeFrom="column">
              <wp:posOffset>4502150</wp:posOffset>
            </wp:positionH>
            <wp:positionV relativeFrom="paragraph">
              <wp:posOffset>177800</wp:posOffset>
            </wp:positionV>
            <wp:extent cx="1530985" cy="2559050"/>
            <wp:effectExtent l="0" t="0" r="0" b="0"/>
            <wp:wrapSquare wrapText="bothSides"/>
            <wp:docPr id="8737612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30985" cy="2559050"/>
                    </a:xfrm>
                    <a:prstGeom prst="rect">
                      <a:avLst/>
                    </a:prstGeom>
                    <a:noFill/>
                  </pic:spPr>
                </pic:pic>
              </a:graphicData>
            </a:graphic>
          </wp:anchor>
        </w:drawing>
      </w:r>
      <w:r w:rsidR="007726A5">
        <w:t>4.2.</w:t>
      </w:r>
      <w:r w:rsidR="00A469F8">
        <w:t>3.1</w:t>
      </w:r>
      <w:r w:rsidR="00766930">
        <w:tab/>
      </w:r>
      <w:r w:rsidR="0059666E">
        <w:t>Identify</w:t>
      </w:r>
      <w:bookmarkEnd w:id="52"/>
      <w:bookmarkEnd w:id="53"/>
    </w:p>
    <w:p w14:paraId="3184E599" w14:textId="6C1A830E" w:rsidR="0059666E" w:rsidRDefault="0059666E" w:rsidP="0059666E">
      <w:pPr>
        <w:pStyle w:val="BodyText"/>
      </w:pPr>
      <w:r>
        <w:t>Enhancements including both new functionality and elimination of pain points, areas of friction or annoyance causing reduced adoption or drop out, are identified through a variety of techniques</w:t>
      </w:r>
      <w:r w:rsidR="00C900D8">
        <w:t xml:space="preserve">. </w:t>
      </w:r>
    </w:p>
    <w:p w14:paraId="3440F744" w14:textId="77777777" w:rsidR="00163E88" w:rsidRPr="007726A5" w:rsidRDefault="00163E88" w:rsidP="00F1759F">
      <w:pPr>
        <w:pStyle w:val="Subheading"/>
        <w:rPr>
          <w:b w:val="0"/>
          <w:bCs/>
        </w:rPr>
      </w:pPr>
      <w:r w:rsidRPr="007726A5">
        <w:t>BenefitsCal Technical Service Desk Integration</w:t>
      </w:r>
    </w:p>
    <w:p w14:paraId="6789BFA6" w14:textId="2AEA9F90" w:rsidR="00AC0187" w:rsidRDefault="00813A7F" w:rsidP="0059666E">
      <w:pPr>
        <w:pStyle w:val="BodyText"/>
      </w:pPr>
      <w:r>
        <w:t>Some of the techniques we employ are in use today such as focus groups, customer surveys and social media</w:t>
      </w:r>
      <w:r w:rsidR="00C900D8">
        <w:t xml:space="preserve">. </w:t>
      </w:r>
      <w:r w:rsidR="008B2404">
        <w:t>In addition to those techniques, we will more tightly integrate with the BenefitsCal Technical Service Desk</w:t>
      </w:r>
      <w:r w:rsidR="00C900D8">
        <w:t xml:space="preserve">. </w:t>
      </w:r>
      <w:r w:rsidR="0040397C">
        <w:t>Beyond the</w:t>
      </w:r>
      <w:r w:rsidR="008B2404">
        <w:t xml:space="preserve"> tickets routed to our Tier 3 Service Desk Analysts, we will engage in regular discussions with BenefitsCal Technical Service Desk staff to obtain their insights and analyze the data they have gathered regarding pain points.</w:t>
      </w:r>
      <w:r w:rsidR="00AC0187">
        <w:t xml:space="preserve"> </w:t>
      </w:r>
    </w:p>
    <w:p w14:paraId="74F0DB93" w14:textId="07D7B155" w:rsidR="005F53DA" w:rsidRDefault="005F53DA" w:rsidP="0059666E">
      <w:pPr>
        <w:pStyle w:val="BodyText"/>
      </w:pPr>
      <w:r>
        <w:t>One example of a pain point that has been identified by the BenefitsCal Technical Service Desk relates to image point-of-capture</w:t>
      </w:r>
      <w:r w:rsidR="000B4AD7">
        <w:t xml:space="preserve"> as described below</w:t>
      </w:r>
      <w:r>
        <w:t>.</w:t>
      </w:r>
    </w:p>
    <w:p w14:paraId="335E0DCD" w14:textId="1A633829" w:rsidR="005B46DA" w:rsidRDefault="005B46DA" w:rsidP="0059666E">
      <w:pPr>
        <w:pStyle w:val="BodyText"/>
      </w:pPr>
      <w:r>
        <w:rPr>
          <w:noProof/>
          <w14:ligatures w14:val="standardContextual"/>
        </w:rPr>
        <mc:AlternateContent>
          <mc:Choice Requires="wps">
            <w:drawing>
              <wp:anchor distT="0" distB="0" distL="114300" distR="114300" simplePos="0" relativeHeight="251658265" behindDoc="0" locked="0" layoutInCell="1" allowOverlap="1" wp14:anchorId="35D87CB8" wp14:editId="736AC53F">
                <wp:simplePos x="0" y="0"/>
                <wp:positionH relativeFrom="margin">
                  <wp:posOffset>19050</wp:posOffset>
                </wp:positionH>
                <wp:positionV relativeFrom="paragraph">
                  <wp:posOffset>81475</wp:posOffset>
                </wp:positionV>
                <wp:extent cx="5891970" cy="7815"/>
                <wp:effectExtent l="0" t="0" r="33020" b="30480"/>
                <wp:wrapNone/>
                <wp:docPr id="890142290" name="Straight Connector 23"/>
                <wp:cNvGraphicFramePr/>
                <a:graphic xmlns:a="http://schemas.openxmlformats.org/drawingml/2006/main">
                  <a:graphicData uri="http://schemas.microsoft.com/office/word/2010/wordprocessingShape">
                    <wps:wsp>
                      <wps:cNvCnPr/>
                      <wps:spPr>
                        <a:xfrm flipV="1">
                          <a:off x="0" y="0"/>
                          <a:ext cx="5891970" cy="7815"/>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dgm="http://schemas.openxmlformats.org/drawingml/2006/diagram" xmlns:asvg="http://schemas.microsoft.com/office/drawing/2016/SVG/main" xmlns:a14="http://schemas.microsoft.com/office/drawing/2010/main" xmlns:pic="http://schemas.openxmlformats.org/drawingml/2006/picture" xmlns:a16="http://schemas.microsoft.com/office/drawing/2014/main" xmlns:a="http://schemas.openxmlformats.org/drawingml/2006/main">
            <w:pict w14:anchorId="1933E097">
              <v:line id="Straight Connector 23" style="position:absolute;flip:y;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0f9ed5 [3207]" strokeweight="1pt" from="1.5pt,6.4pt" to="465.45pt,7pt" w14:anchorId="28524E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">
                <v:stroke joinstyle="miter"/>
                <w10:wrap anchorx="margin"/>
              </v:line>
            </w:pict>
          </mc:Fallback>
        </mc:AlternateContent>
      </w:r>
    </w:p>
    <w:p w14:paraId="31A3F466" w14:textId="7F9380E2" w:rsidR="00500F77" w:rsidRDefault="000B4AD7" w:rsidP="00500F77">
      <w:pPr>
        <w:pStyle w:val="BodyText"/>
      </w:pPr>
      <w:r w:rsidRPr="000B4AD7">
        <w:rPr>
          <w:b/>
          <w:bCs/>
        </w:rPr>
        <w:t>Image Point-of-Capture.</w:t>
      </w:r>
      <w:r>
        <w:t xml:space="preserve"> </w:t>
      </w:r>
      <w:r w:rsidR="00500F77">
        <w:t xml:space="preserve">County staff indicate that the documents uploaded to BenefitsCal are not always usable. However, the customer believes that they have successfully accomplished the document upload. </w:t>
      </w:r>
    </w:p>
    <w:p w14:paraId="79E3C16C" w14:textId="2264A5F1" w:rsidR="00500F77" w:rsidRDefault="00500F77" w:rsidP="00500F77">
      <w:pPr>
        <w:pStyle w:val="BodyText"/>
      </w:pPr>
      <w:r>
        <w:t>There is a lack of feedback or instruction for users to submit better images for successful processing by County staff</w:t>
      </w:r>
      <w:r w:rsidR="00C900D8">
        <w:t xml:space="preserve">. </w:t>
      </w:r>
      <w:r>
        <w:t>These quality issues result in increased workload for County</w:t>
      </w:r>
      <w:r w:rsidR="00A92B26">
        <w:t xml:space="preserve"> </w:t>
      </w:r>
      <w:r>
        <w:t>staff and a poor customer experience.</w:t>
      </w:r>
    </w:p>
    <w:p w14:paraId="65020724" w14:textId="6B34665E" w:rsidR="00500F77" w:rsidRDefault="00500F77" w:rsidP="00500F77">
      <w:pPr>
        <w:pStyle w:val="BodyText"/>
      </w:pPr>
      <w:r>
        <w:lastRenderedPageBreak/>
        <w:t>Gainwell will partner with Hyland to conduct a point</w:t>
      </w:r>
      <w:r w:rsidR="00870CCD">
        <w:t>-</w:t>
      </w:r>
      <w:r>
        <w:t>of</w:t>
      </w:r>
      <w:r w:rsidR="00870CCD">
        <w:t>-</w:t>
      </w:r>
      <w:r>
        <w:t>capture technology</w:t>
      </w:r>
      <w:r w:rsidR="00FD091E">
        <w:t xml:space="preserve"> proof-of-concept</w:t>
      </w:r>
      <w:r>
        <w:t xml:space="preserve"> </w:t>
      </w:r>
      <w:r w:rsidR="00426A98">
        <w:t xml:space="preserve">(POC) </w:t>
      </w:r>
      <w:r>
        <w:t>to provide a more modernized user interface that gives the customer a chance to review and validate the quality of the image(s) being submitted. Users will upload image(s) and will be presented with a companion window showing a cleaned-up, optimized version of the image.</w:t>
      </w:r>
    </w:p>
    <w:p w14:paraId="19D8D29D" w14:textId="34528DC6" w:rsidR="00500F77" w:rsidRDefault="00500F77" w:rsidP="00500F77">
      <w:pPr>
        <w:pStyle w:val="BodyText"/>
      </w:pPr>
      <w:r>
        <w:t xml:space="preserve">Maintaining the existing integration to the CalSAWS Imaging solution and introducing this new functionality has the potential to </w:t>
      </w:r>
      <w:r w:rsidRPr="00456CA1">
        <w:rPr>
          <w:b/>
        </w:rPr>
        <w:t>improve the customer’s BenefitsCal experience and greatly reduce the number of processing delays</w:t>
      </w:r>
      <w:r>
        <w:t xml:space="preserve"> and County staff manual touch points required today</w:t>
      </w:r>
      <w:r w:rsidR="00383DF2">
        <w:t xml:space="preserve">. </w:t>
      </w:r>
    </w:p>
    <w:p w14:paraId="513263DD" w14:textId="10465001" w:rsidR="00F4701B" w:rsidRDefault="00500F77" w:rsidP="00F4701B">
      <w:pPr>
        <w:pStyle w:val="BodyText"/>
      </w:pPr>
      <w:r w:rsidRPr="008765C3">
        <w:rPr>
          <w:b/>
          <w:bCs/>
          <w:noProof/>
        </w:rPr>
        <w:drawing>
          <wp:anchor distT="0" distB="0" distL="114300" distR="114300" simplePos="0" relativeHeight="251658293" behindDoc="0" locked="0" layoutInCell="1" allowOverlap="1" wp14:anchorId="70B071BB" wp14:editId="4F43B953">
            <wp:simplePos x="0" y="0"/>
            <wp:positionH relativeFrom="margin">
              <wp:align>left</wp:align>
            </wp:positionH>
            <wp:positionV relativeFrom="paragraph">
              <wp:posOffset>7529</wp:posOffset>
            </wp:positionV>
            <wp:extent cx="1860605" cy="729518"/>
            <wp:effectExtent l="0" t="0" r="0" b="0"/>
            <wp:wrapSquare wrapText="bothSides"/>
            <wp:docPr id="1338826768" name="Graphic 2">
              <a:extLst xmlns:a="http://schemas.openxmlformats.org/drawingml/2006/main">
                <a:ext uri="{FF2B5EF4-FFF2-40B4-BE49-F238E27FC236}">
                  <a16:creationId xmlns:a16="http://schemas.microsoft.com/office/drawing/2014/main" id="{94E9AA52-CEC0-3B0A-3738-75FF0AAFC1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94E9AA52-CEC0-3B0A-3738-75FF0AAFC1CA}"/>
                        </a:ext>
                      </a:extLst>
                    </pic:cNvPr>
                    <pic:cNvPicPr>
                      <a:picLocks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1860605" cy="729518"/>
                    </a:xfrm>
                    <a:prstGeom prst="rect">
                      <a:avLst/>
                    </a:prstGeom>
                  </pic:spPr>
                </pic:pic>
              </a:graphicData>
            </a:graphic>
            <wp14:sizeRelH relativeFrom="page">
              <wp14:pctWidth>0</wp14:pctWidth>
            </wp14:sizeRelH>
            <wp14:sizeRelV relativeFrom="page">
              <wp14:pctHeight>0</wp14:pctHeight>
            </wp14:sizeRelV>
          </wp:anchor>
        </w:drawing>
      </w:r>
      <w:r w:rsidR="00F4701B" w:rsidRPr="008765C3">
        <w:rPr>
          <w:b/>
          <w:bCs/>
        </w:rPr>
        <w:t>Our proposal includes completion of the point</w:t>
      </w:r>
      <w:r w:rsidR="00426A98" w:rsidRPr="008765C3">
        <w:rPr>
          <w:b/>
          <w:bCs/>
        </w:rPr>
        <w:t>-</w:t>
      </w:r>
      <w:r w:rsidR="00F4701B" w:rsidRPr="008765C3">
        <w:rPr>
          <w:b/>
          <w:bCs/>
        </w:rPr>
        <w:t>of</w:t>
      </w:r>
      <w:r w:rsidR="00426A98" w:rsidRPr="008765C3">
        <w:rPr>
          <w:b/>
          <w:bCs/>
        </w:rPr>
        <w:t>-</w:t>
      </w:r>
      <w:r w:rsidR="00F4701B" w:rsidRPr="008765C3">
        <w:rPr>
          <w:b/>
          <w:bCs/>
        </w:rPr>
        <w:t>capture POC</w:t>
      </w:r>
      <w:r w:rsidR="00F4701B">
        <w:t xml:space="preserve"> including building the prototype and evaluating the results of the POC as </w:t>
      </w:r>
      <w:r>
        <w:t>further described in Section 4.3.</w:t>
      </w:r>
    </w:p>
    <w:p w14:paraId="53F09FE1" w14:textId="5750E39E" w:rsidR="00F4701B" w:rsidRDefault="005B46DA" w:rsidP="0059666E">
      <w:pPr>
        <w:pStyle w:val="BodyText"/>
      </w:pPr>
      <w:r>
        <w:rPr>
          <w:noProof/>
          <w14:ligatures w14:val="standardContextual"/>
        </w:rPr>
        <mc:AlternateContent>
          <mc:Choice Requires="wps">
            <w:drawing>
              <wp:anchor distT="0" distB="0" distL="114300" distR="114300" simplePos="0" relativeHeight="251658266" behindDoc="0" locked="0" layoutInCell="1" allowOverlap="1" wp14:anchorId="20EDB717" wp14:editId="6B88D8A4">
                <wp:simplePos x="0" y="0"/>
                <wp:positionH relativeFrom="margin">
                  <wp:posOffset>15631</wp:posOffset>
                </wp:positionH>
                <wp:positionV relativeFrom="paragraph">
                  <wp:posOffset>164123</wp:posOffset>
                </wp:positionV>
                <wp:extent cx="5923231" cy="0"/>
                <wp:effectExtent l="0" t="0" r="0" b="0"/>
                <wp:wrapNone/>
                <wp:docPr id="2514769" name="Straight Connector 23"/>
                <wp:cNvGraphicFramePr/>
                <a:graphic xmlns:a="http://schemas.openxmlformats.org/drawingml/2006/main">
                  <a:graphicData uri="http://schemas.microsoft.com/office/word/2010/wordprocessingShape">
                    <wps:wsp>
                      <wps:cNvCnPr/>
                      <wps:spPr>
                        <a:xfrm flipV="1">
                          <a:off x="0" y="0"/>
                          <a:ext cx="5923231" cy="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dgm="http://schemas.openxmlformats.org/drawingml/2006/diagram" xmlns:asvg="http://schemas.microsoft.com/office/drawing/2016/SVG/main" xmlns:a14="http://schemas.microsoft.com/office/drawing/2010/main" xmlns:pic="http://schemas.openxmlformats.org/drawingml/2006/picture" xmlns:a16="http://schemas.microsoft.com/office/drawing/2014/main" xmlns:a="http://schemas.openxmlformats.org/drawingml/2006/main">
            <w:pict w14:anchorId="12321555">
              <v:line id="Straight Connector 23" style="position:absolute;flip:y;z-index:251658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0f9ed5 [3207]" strokeweight="1pt" from="1.25pt,12.9pt" to="467.65pt,12.9pt" w14:anchorId="47ADEC2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">
                <v:stroke joinstyle="miter"/>
                <w10:wrap anchorx="margin"/>
              </v:line>
            </w:pict>
          </mc:Fallback>
        </mc:AlternateContent>
      </w:r>
    </w:p>
    <w:p w14:paraId="3931C340" w14:textId="2C3DBB8D" w:rsidR="00F13871" w:rsidRPr="007726A5" w:rsidRDefault="00F13871" w:rsidP="00E22631">
      <w:pPr>
        <w:pStyle w:val="Subheading"/>
        <w:rPr>
          <w:b w:val="0"/>
          <w:bCs/>
        </w:rPr>
      </w:pPr>
      <w:r w:rsidRPr="007726A5">
        <w:t>Outreach Interactions</w:t>
      </w:r>
    </w:p>
    <w:p w14:paraId="4C9D89F8" w14:textId="7F9B4765" w:rsidR="00C85226" w:rsidRDefault="0023557C" w:rsidP="008B2404">
      <w:pPr>
        <w:pStyle w:val="BodyText"/>
      </w:pPr>
      <w:r>
        <w:t xml:space="preserve">Client outreach is a rich source of information on how </w:t>
      </w:r>
      <w:r w:rsidR="00E371C7">
        <w:t>a</w:t>
      </w:r>
      <w:r>
        <w:t xml:space="preserve"> portal is used, what the barriers are to adoption and where individuals become frustrated with portal usage.</w:t>
      </w:r>
      <w:r w:rsidR="00741EAF">
        <w:t xml:space="preserve"> During a client outreach interaction, many individuals naturally provide this information</w:t>
      </w:r>
      <w:r w:rsidR="00383DF2">
        <w:t xml:space="preserve">. </w:t>
      </w:r>
      <w:r w:rsidR="00741EAF">
        <w:t>Persons providing the outreach assistance frequently</w:t>
      </w:r>
      <w:r w:rsidR="00E371C7">
        <w:t xml:space="preserve"> </w:t>
      </w:r>
      <w:r w:rsidR="00CF5030">
        <w:t>give</w:t>
      </w:r>
      <w:r w:rsidR="00E371C7">
        <w:t xml:space="preserve"> verbal assistance to individuals who are filling out an </w:t>
      </w:r>
      <w:r w:rsidR="00CF5030">
        <w:t xml:space="preserve">online </w:t>
      </w:r>
      <w:r w:rsidR="00E371C7">
        <w:t>application or attempting to complete another transaction on the portal.</w:t>
      </w:r>
    </w:p>
    <w:p w14:paraId="4ABC87DA" w14:textId="547C8733" w:rsidR="008B2404" w:rsidRDefault="00E41242" w:rsidP="008B2404">
      <w:pPr>
        <w:pStyle w:val="BodyText"/>
      </w:pPr>
      <w:r>
        <w:rPr>
          <w:noProof/>
        </w:rPr>
        <w:drawing>
          <wp:anchor distT="0" distB="0" distL="114300" distR="114300" simplePos="0" relativeHeight="251658245" behindDoc="0" locked="0" layoutInCell="1" allowOverlap="1" wp14:anchorId="30A47C45" wp14:editId="1CC945EA">
            <wp:simplePos x="0" y="0"/>
            <wp:positionH relativeFrom="margin">
              <wp:align>left</wp:align>
            </wp:positionH>
            <wp:positionV relativeFrom="paragraph">
              <wp:posOffset>687705</wp:posOffset>
            </wp:positionV>
            <wp:extent cx="2323465" cy="2945765"/>
            <wp:effectExtent l="0" t="0" r="635" b="6985"/>
            <wp:wrapSquare wrapText="bothSides"/>
            <wp:docPr id="16318111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23465" cy="2945765"/>
                    </a:xfrm>
                    <a:prstGeom prst="rect">
                      <a:avLst/>
                    </a:prstGeom>
                    <a:noFill/>
                  </pic:spPr>
                </pic:pic>
              </a:graphicData>
            </a:graphic>
            <wp14:sizeRelH relativeFrom="page">
              <wp14:pctWidth>0</wp14:pctWidth>
            </wp14:sizeRelH>
            <wp14:sizeRelV relativeFrom="page">
              <wp14:pctHeight>0</wp14:pctHeight>
            </wp14:sizeRelV>
          </wp:anchor>
        </w:drawing>
      </w:r>
      <w:r w:rsidR="00AE2313" w:rsidRPr="00F8463F">
        <w:t>Gainwell supports recipient communication and/or outreach services for 25.5 million recipients in 10 states</w:t>
      </w:r>
      <w:r w:rsidR="00AE2313">
        <w:t xml:space="preserve">. For the County of Placer, </w:t>
      </w:r>
      <w:r w:rsidR="008B2404">
        <w:t>Gainwell conducted outreach targeted at contacting Medi-Cal recipients who were not enrolled in CalFresh</w:t>
      </w:r>
      <w:r w:rsidR="00383DF2">
        <w:t xml:space="preserve">. </w:t>
      </w:r>
      <w:r w:rsidR="008B2404">
        <w:t xml:space="preserve">Beyond the goals of increasing CalFresh enrollment, this project resulted in a unique opportunity to observe and assist users in the </w:t>
      </w:r>
      <w:r w:rsidR="001232CD">
        <w:t xml:space="preserve">MyBCW </w:t>
      </w:r>
      <w:r w:rsidR="008B2404">
        <w:t>portal</w:t>
      </w:r>
      <w:r w:rsidR="001232CD">
        <w:t>, which was the portal</w:t>
      </w:r>
      <w:r w:rsidR="008B2404">
        <w:t xml:space="preserve"> in use at the time</w:t>
      </w:r>
      <w:r w:rsidR="00383DF2">
        <w:t xml:space="preserve">. </w:t>
      </w:r>
      <w:r w:rsidR="008B2404">
        <w:t>The County of Placer outreach project was a data-driven approach to increasing CalFresh enrollment</w:t>
      </w:r>
      <w:r w:rsidR="00383DF2">
        <w:t xml:space="preserve">. </w:t>
      </w:r>
      <w:r w:rsidR="008B2404">
        <w:t xml:space="preserve">Gainwell worked with the County of Placer to identify target candidates for </w:t>
      </w:r>
      <w:r w:rsidR="006244C6">
        <w:t>the</w:t>
      </w:r>
      <w:r w:rsidR="008B2404">
        <w:t xml:space="preserve"> outreach campaign.</w:t>
      </w:r>
    </w:p>
    <w:p w14:paraId="1CF37B98" w14:textId="4728199A" w:rsidR="00C45BB1" w:rsidRDefault="008B2404" w:rsidP="008B2404">
      <w:pPr>
        <w:pStyle w:val="BodyText"/>
      </w:pPr>
      <w:r w:rsidRPr="00F8463F">
        <w:t xml:space="preserve">The Gainwell team </w:t>
      </w:r>
      <w:r>
        <w:t>focused</w:t>
      </w:r>
      <w:r w:rsidRPr="00F8463F">
        <w:t xml:space="preserve"> on each </w:t>
      </w:r>
      <w:r w:rsidR="006244C6">
        <w:t xml:space="preserve">identified </w:t>
      </w:r>
      <w:r>
        <w:t xml:space="preserve">candidate </w:t>
      </w:r>
      <w:r w:rsidRPr="00F8463F">
        <w:t>with a service orientation, approaching each person with empathy, and seeking to assist them with overcoming barriers to submitting an application or maintaining their benefits</w:t>
      </w:r>
      <w:r w:rsidR="00383DF2" w:rsidRPr="00F8463F">
        <w:t>.</w:t>
      </w:r>
      <w:r w:rsidR="00383DF2">
        <w:t xml:space="preserve"> </w:t>
      </w:r>
      <w:r>
        <w:t>Gainwell staff member</w:t>
      </w:r>
      <w:r w:rsidR="00C45BB1">
        <w:t>s</w:t>
      </w:r>
      <w:r>
        <w:t xml:space="preserve"> conducting the outreach were also trained on MyBCW portal usage</w:t>
      </w:r>
      <w:r w:rsidR="00383DF2">
        <w:t xml:space="preserve">. </w:t>
      </w:r>
    </w:p>
    <w:p w14:paraId="3DB49FD8" w14:textId="6ECF0E3D" w:rsidR="008B2404" w:rsidRDefault="008B2404" w:rsidP="008B2404">
      <w:pPr>
        <w:pStyle w:val="BodyText"/>
      </w:pPr>
      <w:r>
        <w:lastRenderedPageBreak/>
        <w:t>Our staff assisted individuals with using MyBCW and observed areas of the portal where customers had difficulty or made suggestions as they navigated through the portal</w:t>
      </w:r>
      <w:r w:rsidR="00383DF2">
        <w:t xml:space="preserve">. </w:t>
      </w:r>
      <w:r>
        <w:t>Not only did the Gainwell staff perform the outreach service, but they also gathered invaluable information about pain points and improvement suggestions for the MyBCW portal based on actual usage of the portal.</w:t>
      </w:r>
    </w:p>
    <w:p w14:paraId="4495C8D1" w14:textId="323F0E65" w:rsidR="008B2404" w:rsidRDefault="008B2404" w:rsidP="008B2404">
      <w:pPr>
        <w:pStyle w:val="BodyText"/>
      </w:pPr>
      <w:r>
        <w:t>We are proposing to coordinate with the Consortium to identify interested Counties</w:t>
      </w:r>
      <w:r w:rsidR="00383DF2">
        <w:t xml:space="preserve">. </w:t>
      </w:r>
      <w:r>
        <w:t>The Gainwell team will work with the identified Counties to conduct similar outreach activities to obtain this same type of information regarding BenefitsCal</w:t>
      </w:r>
      <w:r w:rsidR="00383DF2">
        <w:t xml:space="preserve">. </w:t>
      </w:r>
      <w:r>
        <w:t xml:space="preserve">This </w:t>
      </w:r>
      <w:r w:rsidR="00C45BB1">
        <w:t>outreach activity</w:t>
      </w:r>
      <w:r>
        <w:t xml:space="preserve"> serves the double duty of assisting volunteer Counties with outreach activities</w:t>
      </w:r>
      <w:r w:rsidR="00C45BB1">
        <w:t xml:space="preserve"> while providing invaluable information to the BenefitsCal Product Team, Consortium, Counties and other stakeholders</w:t>
      </w:r>
      <w:r>
        <w:t>.</w:t>
      </w:r>
    </w:p>
    <w:p w14:paraId="6D534818" w14:textId="67E63FC0" w:rsidR="00C45BB1" w:rsidRPr="007726A5" w:rsidRDefault="00C45BB1" w:rsidP="00E22631">
      <w:pPr>
        <w:pStyle w:val="Subheading"/>
        <w:rPr>
          <w:b w:val="0"/>
          <w:bCs/>
        </w:rPr>
      </w:pPr>
      <w:r w:rsidRPr="007726A5">
        <w:t>Product Analytics</w:t>
      </w:r>
    </w:p>
    <w:p w14:paraId="01BAB012" w14:textId="5A8347E8" w:rsidR="00AB18EA" w:rsidRDefault="00AB18EA" w:rsidP="00C45BB1">
      <w:pPr>
        <w:pStyle w:val="BodyText"/>
      </w:pPr>
      <w:r>
        <w:t xml:space="preserve">Product analytics using information from </w:t>
      </w:r>
      <w:r w:rsidR="00BD14EE">
        <w:t xml:space="preserve">tools such as Amplitude provide insight into things such as where users are abandoning the portal, what features and functions they access, how often they successfully complete a journey, </w:t>
      </w:r>
      <w:r w:rsidR="00B72E81">
        <w:t xml:space="preserve">etc. </w:t>
      </w:r>
      <w:r w:rsidR="00BD14EE">
        <w:t xml:space="preserve">What this analysis of data </w:t>
      </w:r>
      <w:r w:rsidR="00210EA9">
        <w:t xml:space="preserve">often </w:t>
      </w:r>
      <w:r w:rsidR="00BD14EE">
        <w:t>does not provide is the “wh</w:t>
      </w:r>
      <w:r w:rsidR="00210EA9">
        <w:t xml:space="preserve">y,” leaving </w:t>
      </w:r>
      <w:r w:rsidR="000E0263">
        <w:t xml:space="preserve">product teams </w:t>
      </w:r>
      <w:r w:rsidR="000D26EB">
        <w:t xml:space="preserve">theorizing about what steps will address the problem area identified by </w:t>
      </w:r>
      <w:r w:rsidR="006B50C4">
        <w:t>analytics</w:t>
      </w:r>
      <w:r w:rsidR="00B72E81">
        <w:t xml:space="preserve">. </w:t>
      </w:r>
    </w:p>
    <w:p w14:paraId="40F8E6F1" w14:textId="6E9859D4" w:rsidR="00F81570" w:rsidRDefault="00F81570" w:rsidP="00C45BB1">
      <w:pPr>
        <w:pStyle w:val="BodyText"/>
      </w:pPr>
      <w:r w:rsidRPr="00F81570">
        <w:t>We</w:t>
      </w:r>
      <w:r>
        <w:t xml:space="preserve"> are proposing the introduction of advanced user research techniques</w:t>
      </w:r>
      <w:r w:rsidR="00040694">
        <w:t xml:space="preserve"> to increase our pool of data</w:t>
      </w:r>
      <w:r w:rsidR="006B50C4">
        <w:t xml:space="preserve"> and help identify the “why</w:t>
      </w:r>
      <w:r w:rsidR="00C25475">
        <w:t>.”</w:t>
      </w:r>
      <w:r w:rsidR="00A92B26">
        <w:t xml:space="preserve"> </w:t>
      </w:r>
      <w:r w:rsidR="00040694">
        <w:t>These techniques include:</w:t>
      </w:r>
    </w:p>
    <w:p w14:paraId="7C98EF9A" w14:textId="77777777" w:rsidR="00040694" w:rsidRDefault="00040694" w:rsidP="00EE642B">
      <w:pPr>
        <w:pStyle w:val="CvrLtrBullet1Double"/>
      </w:pPr>
      <w:r>
        <w:rPr>
          <w:b/>
        </w:rPr>
        <w:t>Ethnographic Studies</w:t>
      </w:r>
      <w:r>
        <w:t>: Provide rich, contextual insights into user behavior and cultural influences, leading to more user-centric designs.</w:t>
      </w:r>
    </w:p>
    <w:p w14:paraId="122CED72" w14:textId="5D5841F4" w:rsidR="00040694" w:rsidRDefault="00040694" w:rsidP="00EE642B">
      <w:pPr>
        <w:pStyle w:val="CvrLtrBullet1Double"/>
      </w:pPr>
      <w:r>
        <w:rPr>
          <w:b/>
        </w:rPr>
        <w:t>Longitudinal Studies</w:t>
      </w:r>
      <w:r>
        <w:t xml:space="preserve">: Offer a comprehensive understanding of how user needs and </w:t>
      </w:r>
      <w:r w:rsidR="0042328D">
        <w:t>portal</w:t>
      </w:r>
      <w:r>
        <w:t xml:space="preserve"> interactions change over time, allowing for continuous improvement.</w:t>
      </w:r>
    </w:p>
    <w:p w14:paraId="79BDACBE" w14:textId="677044C4" w:rsidR="00040694" w:rsidRDefault="00040694" w:rsidP="00C45BB1">
      <w:pPr>
        <w:pStyle w:val="BodyText"/>
      </w:pPr>
      <w:r w:rsidRPr="009F0686">
        <w:rPr>
          <w:b/>
          <w:bCs/>
        </w:rPr>
        <w:t>Ethn</w:t>
      </w:r>
      <w:r w:rsidR="00AB76A3" w:rsidRPr="009F0686">
        <w:rPr>
          <w:b/>
          <w:bCs/>
        </w:rPr>
        <w:t>ographic studies</w:t>
      </w:r>
      <w:r w:rsidR="00AB76A3">
        <w:t xml:space="preserve"> attempt to uncover the real usage of portal rather than the remembered experience. Often an individual’s recollection of an event or how they used the portal, may not align with the actual </w:t>
      </w:r>
      <w:r w:rsidR="00402C61">
        <w:t>usage</w:t>
      </w:r>
      <w:r w:rsidR="00AB76A3">
        <w:t xml:space="preserve">. This is a normal phenomenon encountered with post usage interviews or surveys. Ethnographic studies are designed to observe usage as it </w:t>
      </w:r>
      <w:r w:rsidR="00402C61">
        <w:t>happens to enhance the data obtained through other techniques</w:t>
      </w:r>
      <w:r w:rsidR="00AB76A3">
        <w:t>.</w:t>
      </w:r>
    </w:p>
    <w:p w14:paraId="5DDC23A4" w14:textId="1247E708" w:rsidR="005D7D18" w:rsidRDefault="005D7D18" w:rsidP="00C45BB1">
      <w:pPr>
        <w:pStyle w:val="BodyText"/>
      </w:pPr>
      <w:r>
        <w:t xml:space="preserve">We will work with the Consortium, Counties and other stakeholders to identify the participants and extent of the studies; however, the outreach interactions described previously and/or providing portal assistance in County offices that offer the online option in their lobbies are two potential ways to </w:t>
      </w:r>
      <w:r w:rsidR="0042328D">
        <w:t>conduct ethnographic research while providing assistance to volunteer Counties.</w:t>
      </w:r>
    </w:p>
    <w:p w14:paraId="1A9856E3" w14:textId="03E2A68E" w:rsidR="003C7E8F" w:rsidRDefault="003C7E8F" w:rsidP="00C45BB1">
      <w:pPr>
        <w:pStyle w:val="BodyText"/>
      </w:pPr>
      <w:r>
        <w:t xml:space="preserve">Ethnographic studies also lend credibility to research findings and assist with </w:t>
      </w:r>
      <w:r w:rsidR="00E85BA1">
        <w:t xml:space="preserve">stakeholder buy-in to the real source of </w:t>
      </w:r>
      <w:r w:rsidR="009F0686">
        <w:t>problems that users are encountering.</w:t>
      </w:r>
    </w:p>
    <w:p w14:paraId="490513DC" w14:textId="370EE5EE" w:rsidR="0042328D" w:rsidRDefault="0042328D" w:rsidP="00C45BB1">
      <w:pPr>
        <w:pStyle w:val="BodyText"/>
      </w:pPr>
      <w:r w:rsidRPr="006B50C4">
        <w:rPr>
          <w:b/>
          <w:bCs/>
        </w:rPr>
        <w:t>Longitudinal studies</w:t>
      </w:r>
      <w:r w:rsidR="003C7E8F">
        <w:t xml:space="preserve"> </w:t>
      </w:r>
      <w:r w:rsidR="00795F93">
        <w:t xml:space="preserve">are designed to </w:t>
      </w:r>
      <w:r w:rsidR="005C4A0C">
        <w:t xml:space="preserve">gather observations of the same participants over time. This information is invaluable in determining how usage patterns change as a </w:t>
      </w:r>
      <w:r w:rsidR="005C4A0C">
        <w:lastRenderedPageBreak/>
        <w:t>person moves from applicant to recipient</w:t>
      </w:r>
      <w:r w:rsidR="00A84D0E">
        <w:t xml:space="preserve"> or experiences life changes.</w:t>
      </w:r>
      <w:r w:rsidR="006B50C4">
        <w:t xml:space="preserve"> These individuals can also provide insight into what features they wish were present in the portal as they experience changes in their situation over time.</w:t>
      </w:r>
    </w:p>
    <w:p w14:paraId="5CA2F91F" w14:textId="5EB5722F" w:rsidR="007448DE" w:rsidRPr="00B97E15" w:rsidRDefault="00B97E15" w:rsidP="00E22631">
      <w:pPr>
        <w:pStyle w:val="Subheading"/>
        <w:rPr>
          <w:b w:val="0"/>
          <w:bCs/>
        </w:rPr>
      </w:pPr>
      <w:r w:rsidRPr="00B97E15">
        <w:t>Business Analytics</w:t>
      </w:r>
    </w:p>
    <w:p w14:paraId="39C4B3AE" w14:textId="68487FB7" w:rsidR="009C16B7" w:rsidRDefault="00B97E15" w:rsidP="009C16B7">
      <w:pPr>
        <w:pStyle w:val="BodyText"/>
      </w:pPr>
      <w:r>
        <w:t xml:space="preserve">The product analytics techniques described </w:t>
      </w:r>
      <w:r w:rsidR="009C16B7">
        <w:t>above</w:t>
      </w:r>
      <w:r>
        <w:t xml:space="preserve"> are focused on BenefitsCal usage patterns</w:t>
      </w:r>
      <w:r w:rsidR="003709A5">
        <w:t xml:space="preserve">. </w:t>
      </w:r>
      <w:r w:rsidR="009C16B7">
        <w:t>As discussed in the Gainwell Genius</w:t>
      </w:r>
      <w:r w:rsidR="009C16B7" w:rsidRPr="009C16B7">
        <w:rPr>
          <w:vertAlign w:val="superscript"/>
        </w:rPr>
        <w:t>TM</w:t>
      </w:r>
      <w:r w:rsidR="009C16B7">
        <w:t xml:space="preserve"> subsection, access to the CalSAWS data allows us to conduct analytics research not only on the usage of BenefitsCal, but also the outcome of that usage</w:t>
      </w:r>
      <w:r w:rsidR="003709A5">
        <w:t xml:space="preserve">. </w:t>
      </w:r>
      <w:r w:rsidR="00710045">
        <w:t>In that subsection we presented examples of the types of questions that could be posed for analytics research studies across BenefitsCal and CalSAWS</w:t>
      </w:r>
      <w:r w:rsidR="003709A5">
        <w:t xml:space="preserve">. </w:t>
      </w:r>
      <w:r w:rsidR="00710045">
        <w:t>These business analytics studies expand our understanding of the impact and outcomes achieved by BenefitsCal as well as identifying areas for BenefitsCal enhancement</w:t>
      </w:r>
      <w:r w:rsidR="003709A5">
        <w:t xml:space="preserve">. </w:t>
      </w:r>
    </w:p>
    <w:p w14:paraId="484EF13C" w14:textId="559EEB74" w:rsidR="00B97E15" w:rsidRDefault="008B6719" w:rsidP="00C45BB1">
      <w:pPr>
        <w:pStyle w:val="BodyText"/>
      </w:pPr>
      <w:r>
        <w:t>We</w:t>
      </w:r>
      <w:r w:rsidR="00B97E15">
        <w:t xml:space="preserve"> </w:t>
      </w:r>
      <w:r w:rsidR="00BD3687">
        <w:t>recommend</w:t>
      </w:r>
      <w:r w:rsidR="00B97E15">
        <w:t xml:space="preserve"> </w:t>
      </w:r>
      <w:r>
        <w:t xml:space="preserve">the </w:t>
      </w:r>
      <w:r w:rsidRPr="00BD3687">
        <w:rPr>
          <w:b/>
          <w:bCs/>
        </w:rPr>
        <w:t>addition of a</w:t>
      </w:r>
      <w:r w:rsidR="00A92B26">
        <w:rPr>
          <w:b/>
          <w:bCs/>
        </w:rPr>
        <w:t xml:space="preserve"> </w:t>
      </w:r>
      <w:r w:rsidR="00B97E15" w:rsidRPr="00BD3687">
        <w:rPr>
          <w:b/>
          <w:bCs/>
        </w:rPr>
        <w:t>focus group</w:t>
      </w:r>
      <w:r w:rsidR="00B97E15">
        <w:t xml:space="preserve"> comprised of Consortium and Gainwell staff, County management staff and other stakeholders to </w:t>
      </w:r>
      <w:r w:rsidR="00B97E15" w:rsidRPr="00BD3687">
        <w:rPr>
          <w:b/>
          <w:bCs/>
        </w:rPr>
        <w:t xml:space="preserve">identify and vet the </w:t>
      </w:r>
      <w:r w:rsidR="00BD3687">
        <w:rPr>
          <w:b/>
          <w:bCs/>
        </w:rPr>
        <w:t xml:space="preserve">business </w:t>
      </w:r>
      <w:r w:rsidR="00B97E15" w:rsidRPr="00BD3687">
        <w:rPr>
          <w:b/>
          <w:bCs/>
        </w:rPr>
        <w:t>analytics research questions that will be pursued</w:t>
      </w:r>
      <w:r w:rsidR="00BD3687">
        <w:t>.</w:t>
      </w:r>
    </w:p>
    <w:p w14:paraId="2D3A8DB5" w14:textId="7245FE7F" w:rsidR="007726A5" w:rsidRDefault="005300E0" w:rsidP="00C52E11">
      <w:pPr>
        <w:pStyle w:val="HeadingManual4"/>
      </w:pPr>
      <w:bookmarkStart w:id="54" w:name="_Toc172704161"/>
      <w:bookmarkStart w:id="55" w:name="_Toc173187483"/>
      <w:r>
        <w:rPr>
          <w:noProof/>
        </w:rPr>
        <w:drawing>
          <wp:anchor distT="0" distB="0" distL="114300" distR="114300" simplePos="0" relativeHeight="251658242" behindDoc="0" locked="0" layoutInCell="1" allowOverlap="1" wp14:anchorId="18788EB5" wp14:editId="1EDA2C2E">
            <wp:simplePos x="0" y="0"/>
            <wp:positionH relativeFrom="column">
              <wp:posOffset>4477385</wp:posOffset>
            </wp:positionH>
            <wp:positionV relativeFrom="paragraph">
              <wp:posOffset>80645</wp:posOffset>
            </wp:positionV>
            <wp:extent cx="1522730" cy="2546350"/>
            <wp:effectExtent l="0" t="0" r="1270" b="6350"/>
            <wp:wrapSquare wrapText="bothSides"/>
            <wp:docPr id="2208858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22730" cy="2546350"/>
                    </a:xfrm>
                    <a:prstGeom prst="rect">
                      <a:avLst/>
                    </a:prstGeom>
                    <a:noFill/>
                  </pic:spPr>
                </pic:pic>
              </a:graphicData>
            </a:graphic>
            <wp14:sizeRelH relativeFrom="page">
              <wp14:pctWidth>0</wp14:pctWidth>
            </wp14:sizeRelH>
            <wp14:sizeRelV relativeFrom="page">
              <wp14:pctHeight>0</wp14:pctHeight>
            </wp14:sizeRelV>
          </wp:anchor>
        </w:drawing>
      </w:r>
      <w:r w:rsidR="007726A5">
        <w:t>4.2.</w:t>
      </w:r>
      <w:r w:rsidR="00A469F8">
        <w:t>3.</w:t>
      </w:r>
      <w:r w:rsidR="007726A5">
        <w:t>2</w:t>
      </w:r>
      <w:r w:rsidR="00766930">
        <w:tab/>
      </w:r>
      <w:r w:rsidR="007726A5">
        <w:t>Design</w:t>
      </w:r>
      <w:bookmarkEnd w:id="54"/>
      <w:bookmarkEnd w:id="55"/>
    </w:p>
    <w:p w14:paraId="11DDD19E" w14:textId="456D7B27" w:rsidR="007726A5" w:rsidRDefault="00B22E0B" w:rsidP="007726A5">
      <w:pPr>
        <w:pStyle w:val="BodyText"/>
      </w:pPr>
      <w:r>
        <w:t xml:space="preserve">Once additional functionality or </w:t>
      </w:r>
      <w:r w:rsidR="00BD0588">
        <w:t>pain points to alleviate are identified, the change</w:t>
      </w:r>
      <w:r w:rsidR="00305FF8">
        <w:t xml:space="preserve"> is prioritized in conjunction with the Collaboration Model. </w:t>
      </w:r>
      <w:r w:rsidR="0069261A">
        <w:t>Regardless</w:t>
      </w:r>
      <w:r w:rsidR="00BD0588">
        <w:t xml:space="preserve"> o</w:t>
      </w:r>
      <w:r w:rsidR="0069261A">
        <w:t>f</w:t>
      </w:r>
      <w:r w:rsidR="00BD0588">
        <w:t xml:space="preserve"> the SDLC methodology chosen for </w:t>
      </w:r>
      <w:r w:rsidR="00305FF8">
        <w:t xml:space="preserve">a prioritized </w:t>
      </w:r>
      <w:r w:rsidR="00BD0588">
        <w:t xml:space="preserve">change request, agile or hybrid agile, design activities are undertaken. </w:t>
      </w:r>
    </w:p>
    <w:p w14:paraId="73B687B2" w14:textId="041BF849" w:rsidR="001512EE" w:rsidRDefault="001512EE" w:rsidP="001512EE">
      <w:pPr>
        <w:pStyle w:val="BodyText"/>
      </w:pPr>
      <w:r>
        <w:t xml:space="preserve">We have a long history of including users and Consortium staff in System Change Request (SCR) requirements identification and design. </w:t>
      </w:r>
      <w:r w:rsidRPr="00420EE4">
        <w:rPr>
          <w:b/>
          <w:bCs/>
        </w:rPr>
        <w:t>Project Action Teams</w:t>
      </w:r>
      <w:r>
        <w:t xml:space="preserve"> (PATs) </w:t>
      </w:r>
      <w:r w:rsidR="001E20AD">
        <w:t xml:space="preserve">are formed </w:t>
      </w:r>
      <w:r>
        <w:t xml:space="preserve">to gather requirements. Participants for each </w:t>
      </w:r>
      <w:r w:rsidR="00743F8D">
        <w:t>PAT</w:t>
      </w:r>
      <w:r>
        <w:t xml:space="preserve"> are determined based on the anticipated scope of the change. Participants beyond Gainwell and Consortium application staff may include Regional Managers, County PPOCs, State policy staff, </w:t>
      </w:r>
      <w:r w:rsidR="00743F8D">
        <w:t xml:space="preserve">users, advocates, </w:t>
      </w:r>
      <w:r>
        <w:t>QA, and other contractors</w:t>
      </w:r>
      <w:r w:rsidR="005A6005">
        <w:t xml:space="preserve"> as applicable</w:t>
      </w:r>
      <w:r>
        <w:t xml:space="preserve">. </w:t>
      </w:r>
    </w:p>
    <w:p w14:paraId="6DEA83D4" w14:textId="141482CD" w:rsidR="000F1BDE" w:rsidRPr="00110F85" w:rsidRDefault="005D31C1" w:rsidP="000F1BDE">
      <w:pPr>
        <w:pStyle w:val="BodyText"/>
      </w:pPr>
      <w:r>
        <w:rPr>
          <w:noProof/>
        </w:rPr>
        <w:lastRenderedPageBreak/>
        <w:drawing>
          <wp:anchor distT="0" distB="0" distL="114300" distR="114300" simplePos="0" relativeHeight="251658263" behindDoc="0" locked="0" layoutInCell="1" allowOverlap="1" wp14:anchorId="4BBB0870" wp14:editId="543ECD6E">
            <wp:simplePos x="0" y="0"/>
            <wp:positionH relativeFrom="margin">
              <wp:align>left</wp:align>
            </wp:positionH>
            <wp:positionV relativeFrom="paragraph">
              <wp:posOffset>4113</wp:posOffset>
            </wp:positionV>
            <wp:extent cx="2638425" cy="4491355"/>
            <wp:effectExtent l="0" t="0" r="9525" b="4445"/>
            <wp:wrapSquare wrapText="bothSides"/>
            <wp:docPr id="180084096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38425" cy="4491355"/>
                    </a:xfrm>
                    <a:prstGeom prst="rect">
                      <a:avLst/>
                    </a:prstGeom>
                    <a:noFill/>
                  </pic:spPr>
                </pic:pic>
              </a:graphicData>
            </a:graphic>
            <wp14:sizeRelH relativeFrom="page">
              <wp14:pctWidth>0</wp14:pctWidth>
            </wp14:sizeRelH>
            <wp14:sizeRelV relativeFrom="page">
              <wp14:pctHeight>0</wp14:pctHeight>
            </wp14:sizeRelV>
          </wp:anchor>
        </w:drawing>
      </w:r>
      <w:r w:rsidR="00A65A0B" w:rsidRPr="00110F85">
        <w:t xml:space="preserve">Our Gainwell staff are </w:t>
      </w:r>
      <w:r w:rsidR="000F1BDE" w:rsidRPr="00110F85">
        <w:t xml:space="preserve">accustomed to working with the Counties. In our support of the CalWIN system, </w:t>
      </w:r>
      <w:r w:rsidR="00A65A0B" w:rsidRPr="00110F85">
        <w:t>we</w:t>
      </w:r>
      <w:r w:rsidR="000F1BDE" w:rsidRPr="00110F85">
        <w:t xml:space="preserve"> arrange</w:t>
      </w:r>
      <w:r w:rsidR="00A65A0B" w:rsidRPr="00110F85">
        <w:t>d</w:t>
      </w:r>
      <w:r w:rsidR="000F1BDE" w:rsidRPr="00110F85">
        <w:t xml:space="preserve"> and </w:t>
      </w:r>
      <w:r w:rsidR="00A65A0B" w:rsidRPr="00110F85">
        <w:t>facilitated</w:t>
      </w:r>
      <w:r w:rsidR="000F1BDE" w:rsidRPr="00110F85">
        <w:t xml:space="preserve"> Project Action Team (PAT) meetings. PATs use information and understanding gained directly from Counties or other stakeholders to collaboratively develop solutions as described in the </w:t>
      </w:r>
      <w:r>
        <w:t>callout box</w:t>
      </w:r>
      <w:r w:rsidR="000F1BDE" w:rsidRPr="00110F85">
        <w:t>.</w:t>
      </w:r>
    </w:p>
    <w:p w14:paraId="3C80AD01" w14:textId="2971E22D" w:rsidR="001512EE" w:rsidRDefault="001512EE" w:rsidP="001512EE">
      <w:pPr>
        <w:pStyle w:val="BodyText"/>
      </w:pPr>
      <w:r>
        <w:t>A PAT may be formed for various reasons, including the need to obtain user input regarding the user experience.</w:t>
      </w:r>
      <w:r w:rsidRPr="00B82CFD">
        <w:t xml:space="preserve"> </w:t>
      </w:r>
      <w:r w:rsidR="005A6005">
        <w:t>The</w:t>
      </w:r>
      <w:r>
        <w:t xml:space="preserve"> PAT includes users to obtain their input into the </w:t>
      </w:r>
      <w:r w:rsidRPr="00420EE4">
        <w:rPr>
          <w:b/>
          <w:bCs/>
        </w:rPr>
        <w:t>user stories</w:t>
      </w:r>
      <w:r>
        <w:t xml:space="preserve"> and overall design of the SCR. </w:t>
      </w:r>
    </w:p>
    <w:p w14:paraId="0C829337" w14:textId="7AF01E85" w:rsidR="00B33C0B" w:rsidRDefault="00B33C0B" w:rsidP="001512EE">
      <w:pPr>
        <w:pStyle w:val="BodyText"/>
      </w:pPr>
      <w:r>
        <w:t>Our understanding is that personas have been developed for currently known user</w:t>
      </w:r>
      <w:r w:rsidR="00F61C21">
        <w:t>s</w:t>
      </w:r>
      <w:r w:rsidR="003709A5">
        <w:t xml:space="preserve">. </w:t>
      </w:r>
      <w:r>
        <w:t>Gainwell staff will review those personas for potential update</w:t>
      </w:r>
      <w:r w:rsidR="00391C00">
        <w:t>s</w:t>
      </w:r>
      <w:r w:rsidR="003709A5">
        <w:t xml:space="preserve">. </w:t>
      </w:r>
      <w:r w:rsidR="00391C00" w:rsidRPr="00391C00">
        <w:rPr>
          <w:b/>
          <w:bCs/>
        </w:rPr>
        <w:t>Persona development</w:t>
      </w:r>
      <w:r w:rsidR="00391C00">
        <w:t xml:space="preserve"> will also be included in any design that identifies a new user type</w:t>
      </w:r>
      <w:r w:rsidR="003709A5">
        <w:t xml:space="preserve">. </w:t>
      </w:r>
      <w:r w:rsidR="00283A6D">
        <w:t xml:space="preserve">The following figure presents a </w:t>
      </w:r>
      <w:r w:rsidR="00C5735A">
        <w:t xml:space="preserve">sample persona from </w:t>
      </w:r>
      <w:r w:rsidR="00962CFB">
        <w:t>one of our portal development efforts.</w:t>
      </w:r>
    </w:p>
    <w:p w14:paraId="1D9E182A" w14:textId="6E23FFD9" w:rsidR="00962CFB" w:rsidRDefault="00962CFB" w:rsidP="004339C5">
      <w:pPr>
        <w:pStyle w:val="FigureCaptionAuto"/>
      </w:pPr>
      <w:bookmarkStart w:id="56" w:name="_Toc173187525"/>
      <w:r>
        <w:lastRenderedPageBreak/>
        <w:t>Sample Beneficiary Persona</w:t>
      </w:r>
      <w:bookmarkEnd w:id="56"/>
    </w:p>
    <w:p w14:paraId="1B2FE58F" w14:textId="6F7CAE12" w:rsidR="003F6E26" w:rsidRDefault="00962CFB" w:rsidP="001512EE">
      <w:pPr>
        <w:pStyle w:val="BodyText"/>
      </w:pPr>
      <w:r>
        <w:rPr>
          <w:noProof/>
          <w14:ligatures w14:val="standardContextual"/>
        </w:rPr>
        <w:drawing>
          <wp:inline distT="0" distB="0" distL="0" distR="0" wp14:anchorId="1D2ED184" wp14:editId="69074F71">
            <wp:extent cx="5943600" cy="4210050"/>
            <wp:effectExtent l="0" t="0" r="0" b="0"/>
            <wp:docPr id="1492267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67150" name=""/>
                    <pic:cNvPicPr/>
                  </pic:nvPicPr>
                  <pic:blipFill>
                    <a:blip r:embed="rId87"/>
                    <a:stretch>
                      <a:fillRect/>
                    </a:stretch>
                  </pic:blipFill>
                  <pic:spPr>
                    <a:xfrm>
                      <a:off x="0" y="0"/>
                      <a:ext cx="5943600" cy="4210050"/>
                    </a:xfrm>
                    <a:prstGeom prst="rect">
                      <a:avLst/>
                    </a:prstGeom>
                  </pic:spPr>
                </pic:pic>
              </a:graphicData>
            </a:graphic>
          </wp:inline>
        </w:drawing>
      </w:r>
      <w:r w:rsidR="003F6E26">
        <w:t xml:space="preserve">Our UCD </w:t>
      </w:r>
      <w:r w:rsidR="000476D7">
        <w:t>designers</w:t>
      </w:r>
      <w:r w:rsidR="003F6E26">
        <w:t xml:space="preserve"> use </w:t>
      </w:r>
      <w:r w:rsidR="003F6E26" w:rsidRPr="00D2550F">
        <w:rPr>
          <w:b/>
          <w:bCs/>
        </w:rPr>
        <w:t>wireframes</w:t>
      </w:r>
      <w:r w:rsidR="003F6E26">
        <w:t xml:space="preserve"> to </w:t>
      </w:r>
      <w:r w:rsidR="000476D7">
        <w:t>gather feedback.</w:t>
      </w:r>
      <w:r w:rsidR="00D2550F">
        <w:t xml:space="preserve"> </w:t>
      </w:r>
      <w:r w:rsidR="004929EF">
        <w:t>Wireframes act as blueprints.</w:t>
      </w:r>
      <w:r w:rsidR="00D2550F">
        <w:t xml:space="preserve"> They provide a rapid way to help members of the PAT visual the proposed design and give early feedback.</w:t>
      </w:r>
    </w:p>
    <w:p w14:paraId="2F79C439" w14:textId="75E05E29" w:rsidR="001512EE" w:rsidRDefault="001512EE" w:rsidP="001512EE">
      <w:pPr>
        <w:pStyle w:val="BodyText"/>
      </w:pPr>
      <w:r>
        <w:t>PAT members review the user stories</w:t>
      </w:r>
      <w:r w:rsidR="003F6E26">
        <w:t xml:space="preserve"> and wireframes</w:t>
      </w:r>
      <w:r>
        <w:t xml:space="preserve"> when developed and are also included in the Agile sprint demonstration to obtain user feedback on the usability and in the testing phase for verification that the design meets the intended user experience best practices.</w:t>
      </w:r>
    </w:p>
    <w:p w14:paraId="1A407305" w14:textId="41DB0D0D" w:rsidR="00700CFE" w:rsidRDefault="006D5A1D" w:rsidP="007726A5">
      <w:pPr>
        <w:pStyle w:val="BodyText"/>
      </w:pPr>
      <w:r w:rsidRPr="006D5A1D">
        <w:rPr>
          <w:noProof/>
        </w:rPr>
        <w:drawing>
          <wp:anchor distT="0" distB="0" distL="114300" distR="114300" simplePos="0" relativeHeight="251658294" behindDoc="0" locked="0" layoutInCell="1" allowOverlap="1" wp14:anchorId="565925C9" wp14:editId="42C203F6">
            <wp:simplePos x="0" y="0"/>
            <wp:positionH relativeFrom="column">
              <wp:posOffset>0</wp:posOffset>
            </wp:positionH>
            <wp:positionV relativeFrom="paragraph">
              <wp:posOffset>-415</wp:posOffset>
            </wp:positionV>
            <wp:extent cx="1689035" cy="716361"/>
            <wp:effectExtent l="0" t="0" r="0" b="7620"/>
            <wp:wrapSquare wrapText="bothSides"/>
            <wp:docPr id="12" name="Graphic 11">
              <a:extLst xmlns:a="http://schemas.openxmlformats.org/drawingml/2006/main">
                <a:ext uri="{FF2B5EF4-FFF2-40B4-BE49-F238E27FC236}">
                  <a16:creationId xmlns:a16="http://schemas.microsoft.com/office/drawing/2014/main" id="{C33ADF9B-C1E7-8B84-7702-A861EED7B8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1">
                      <a:extLst>
                        <a:ext uri="{FF2B5EF4-FFF2-40B4-BE49-F238E27FC236}">
                          <a16:creationId xmlns:a16="http://schemas.microsoft.com/office/drawing/2014/main" id="{C33ADF9B-C1E7-8B84-7702-A861EED7B894}"/>
                        </a:ext>
                      </a:extLst>
                    </pic:cNvPr>
                    <pic:cNvPicPr>
                      <a:picLocks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1689035" cy="716361"/>
                    </a:xfrm>
                    <a:prstGeom prst="rect">
                      <a:avLst/>
                    </a:prstGeom>
                  </pic:spPr>
                </pic:pic>
              </a:graphicData>
            </a:graphic>
          </wp:anchor>
        </w:drawing>
      </w:r>
      <w:r w:rsidR="008C6275">
        <w:t xml:space="preserve">The design must also </w:t>
      </w:r>
      <w:r w:rsidR="006F657F">
        <w:t>consider</w:t>
      </w:r>
      <w:r w:rsidR="008C6275">
        <w:t xml:space="preserve"> accessibility and language needs. While the implementation using </w:t>
      </w:r>
      <w:r w:rsidR="008C6275" w:rsidRPr="00B22241">
        <w:rPr>
          <w:b/>
          <w:bCs/>
        </w:rPr>
        <w:t>Web Content Accessibility Guidelines</w:t>
      </w:r>
      <w:r w:rsidR="007C5CE2" w:rsidRPr="00B22241">
        <w:rPr>
          <w:b/>
          <w:bCs/>
        </w:rPr>
        <w:t xml:space="preserve"> (WCAG</w:t>
      </w:r>
      <w:r w:rsidR="007C5CE2">
        <w:t>) is further discussed in the next subsection</w:t>
      </w:r>
      <w:r w:rsidR="008C6275">
        <w:t>, these guidelines must be considered in the design</w:t>
      </w:r>
      <w:r w:rsidR="006F657F">
        <w:t xml:space="preserve">. </w:t>
      </w:r>
      <w:r w:rsidR="0069120A">
        <w:t>WCAG</w:t>
      </w:r>
      <w:r w:rsidR="00700CFE">
        <w:t xml:space="preserve"> includes four guiding principles.</w:t>
      </w:r>
    </w:p>
    <w:p w14:paraId="420E1305" w14:textId="731744D3" w:rsidR="00700CFE" w:rsidRDefault="00700CFE" w:rsidP="00EE642B">
      <w:pPr>
        <w:pStyle w:val="CvrLtrBullet1Double"/>
      </w:pPr>
      <w:r w:rsidRPr="006A405D">
        <w:rPr>
          <w:b/>
        </w:rPr>
        <w:t>Perceivable</w:t>
      </w:r>
      <w:r>
        <w:t xml:space="preserve"> </w:t>
      </w:r>
      <w:r w:rsidR="00F91D79">
        <w:t>–</w:t>
      </w:r>
      <w:r>
        <w:t xml:space="preserve"> </w:t>
      </w:r>
      <w:r w:rsidR="00F91D79">
        <w:t>Focused on providing access and comprehension of information on the portal for people with various sensory impairments, for example, captions added to videos.</w:t>
      </w:r>
    </w:p>
    <w:p w14:paraId="26E05EC0" w14:textId="0F8E1E9B" w:rsidR="00F91D79" w:rsidRDefault="00F91D79" w:rsidP="00EE642B">
      <w:pPr>
        <w:pStyle w:val="CvrLtrBullet1Double"/>
      </w:pPr>
      <w:r w:rsidRPr="006A405D">
        <w:rPr>
          <w:b/>
        </w:rPr>
        <w:t>Operable</w:t>
      </w:r>
      <w:r>
        <w:t xml:space="preserve"> – Providing the ability for users to operate the portal regardless of ability, for example, navigation by keyboard or sight-assisted navigation.</w:t>
      </w:r>
    </w:p>
    <w:p w14:paraId="6850A964" w14:textId="163C9B13" w:rsidR="00F91D79" w:rsidRDefault="00F91D79" w:rsidP="00EE642B">
      <w:pPr>
        <w:pStyle w:val="CvrLtrBullet1Double"/>
      </w:pPr>
      <w:r w:rsidRPr="006A405D">
        <w:rPr>
          <w:b/>
        </w:rPr>
        <w:lastRenderedPageBreak/>
        <w:t>Understandable</w:t>
      </w:r>
      <w:r>
        <w:t xml:space="preserve"> – </w:t>
      </w:r>
      <w:r w:rsidR="00352A6D">
        <w:t>Providing a</w:t>
      </w:r>
      <w:r>
        <w:t>n ease of understanding with a layout that is simple and predictable, for example, menus appear consistently throughout the entire portal.</w:t>
      </w:r>
    </w:p>
    <w:p w14:paraId="25DC75FD" w14:textId="490E7995" w:rsidR="00F91D79" w:rsidRDefault="00F91D79" w:rsidP="00EE642B">
      <w:pPr>
        <w:pStyle w:val="CvrLtrBullet1Double"/>
      </w:pPr>
      <w:r w:rsidRPr="006A405D">
        <w:rPr>
          <w:b/>
        </w:rPr>
        <w:t>Robust</w:t>
      </w:r>
      <w:r>
        <w:t xml:space="preserve"> </w:t>
      </w:r>
      <w:r w:rsidR="00352A6D">
        <w:t>–</w:t>
      </w:r>
      <w:r w:rsidR="003A0E3C">
        <w:t xml:space="preserve"> </w:t>
      </w:r>
      <w:r w:rsidR="00352A6D">
        <w:t xml:space="preserve">Focused on content </w:t>
      </w:r>
      <w:r w:rsidR="0001390B">
        <w:t>that can be interpreted by a wide range of users including assistive technology</w:t>
      </w:r>
      <w:r w:rsidR="00A45F16">
        <w:t>, for example, the website functions as intended when using assi</w:t>
      </w:r>
      <w:r w:rsidR="00275B3F">
        <w:t>stive tools.</w:t>
      </w:r>
    </w:p>
    <w:p w14:paraId="60E11E5F" w14:textId="77156A20" w:rsidR="007726A5" w:rsidRDefault="009C3DFA" w:rsidP="00B816E9">
      <w:pPr>
        <w:pStyle w:val="HeadingManual4"/>
      </w:pPr>
      <w:bookmarkStart w:id="57" w:name="_Toc172704162"/>
      <w:bookmarkStart w:id="58" w:name="_Toc173187484"/>
      <w:r>
        <w:rPr>
          <w:noProof/>
        </w:rPr>
        <w:drawing>
          <wp:anchor distT="0" distB="0" distL="114300" distR="114300" simplePos="0" relativeHeight="251658243" behindDoc="0" locked="0" layoutInCell="1" allowOverlap="1" wp14:anchorId="6F7951D5" wp14:editId="6BE2B152">
            <wp:simplePos x="0" y="0"/>
            <wp:positionH relativeFrom="margin">
              <wp:align>right</wp:align>
            </wp:positionH>
            <wp:positionV relativeFrom="paragraph">
              <wp:posOffset>159891</wp:posOffset>
            </wp:positionV>
            <wp:extent cx="1409517" cy="2355850"/>
            <wp:effectExtent l="0" t="0" r="635" b="6350"/>
            <wp:wrapSquare wrapText="bothSides"/>
            <wp:docPr id="2953651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409517" cy="2355850"/>
                    </a:xfrm>
                    <a:prstGeom prst="rect">
                      <a:avLst/>
                    </a:prstGeom>
                    <a:noFill/>
                  </pic:spPr>
                </pic:pic>
              </a:graphicData>
            </a:graphic>
          </wp:anchor>
        </w:drawing>
      </w:r>
      <w:r w:rsidR="007726A5">
        <w:t>4.2.3</w:t>
      </w:r>
      <w:r w:rsidR="00A469F8">
        <w:t>.3</w:t>
      </w:r>
      <w:r w:rsidR="00766930">
        <w:tab/>
      </w:r>
      <w:r w:rsidR="007726A5">
        <w:t>Build and Deploy</w:t>
      </w:r>
      <w:bookmarkEnd w:id="57"/>
      <w:bookmarkEnd w:id="58"/>
    </w:p>
    <w:p w14:paraId="37570D5C" w14:textId="03F9FA22" w:rsidR="007726A5" w:rsidRDefault="00867C08" w:rsidP="007726A5">
      <w:pPr>
        <w:pStyle w:val="BodyText"/>
      </w:pPr>
      <w:r>
        <w:t>Building on the identify and design phases, the developers build based on the various artifacts available such as user stories</w:t>
      </w:r>
      <w:r w:rsidR="00BF61DB">
        <w:t xml:space="preserve"> and journey maps</w:t>
      </w:r>
      <w:r>
        <w:t xml:space="preserve">. </w:t>
      </w:r>
      <w:r w:rsidR="0034113E">
        <w:t xml:space="preserve">Each </w:t>
      </w:r>
      <w:r w:rsidR="0034113E" w:rsidRPr="0034113E">
        <w:rPr>
          <w:b/>
          <w:bCs/>
        </w:rPr>
        <w:t>Agile iteration</w:t>
      </w:r>
      <w:r w:rsidR="0034113E">
        <w:t xml:space="preserve"> during the build phase will include increased user feedback.</w:t>
      </w:r>
      <w:r w:rsidR="004E720F">
        <w:t xml:space="preserve"> </w:t>
      </w:r>
      <w:r w:rsidR="00651871">
        <w:t>Each component is tested not only for functionality, but also for usability</w:t>
      </w:r>
      <w:r w:rsidR="006F657F">
        <w:t xml:space="preserve">. </w:t>
      </w:r>
      <w:r w:rsidR="005D31C1">
        <w:t>D</w:t>
      </w:r>
      <w:r w:rsidR="00651871">
        <w:t xml:space="preserve">uring the </w:t>
      </w:r>
      <w:r w:rsidR="002E23AA" w:rsidRPr="002E23AA">
        <w:rPr>
          <w:b/>
          <w:bCs/>
        </w:rPr>
        <w:t xml:space="preserve">usability </w:t>
      </w:r>
      <w:r w:rsidR="00651871" w:rsidRPr="002E23AA">
        <w:rPr>
          <w:b/>
          <w:bCs/>
        </w:rPr>
        <w:t>testing</w:t>
      </w:r>
      <w:r w:rsidR="00651871">
        <w:t xml:space="preserve"> process, members of the PAT and other </w:t>
      </w:r>
      <w:r w:rsidR="00651871" w:rsidRPr="00651871">
        <w:rPr>
          <w:b/>
          <w:bCs/>
        </w:rPr>
        <w:t>stakeholders review</w:t>
      </w:r>
      <w:r w:rsidR="00651871">
        <w:t xml:space="preserve"> the changes</w:t>
      </w:r>
      <w:r w:rsidR="00D15BAD">
        <w:t xml:space="preserve"> and provide feedback on the user experience</w:t>
      </w:r>
      <w:r w:rsidR="006F657F">
        <w:t xml:space="preserve">. </w:t>
      </w:r>
      <w:r w:rsidR="00237CEB">
        <w:t xml:space="preserve">We also propose introducing </w:t>
      </w:r>
      <w:r w:rsidR="00237CEB" w:rsidRPr="00237CEB">
        <w:rPr>
          <w:b/>
          <w:bCs/>
        </w:rPr>
        <w:t>remote usability testing</w:t>
      </w:r>
      <w:r w:rsidR="00237CEB">
        <w:t xml:space="preserve"> </w:t>
      </w:r>
      <w:r w:rsidR="00237CEB">
        <w:rPr>
          <w:rFonts w:eastAsia="Times New Roman"/>
          <w:szCs w:val="22"/>
        </w:rPr>
        <w:t>with a broader and more diverse user base</w:t>
      </w:r>
      <w:r w:rsidR="006F657F">
        <w:rPr>
          <w:rFonts w:eastAsia="Times New Roman"/>
          <w:szCs w:val="22"/>
        </w:rPr>
        <w:t xml:space="preserve">. </w:t>
      </w:r>
    </w:p>
    <w:p w14:paraId="0D16F640" w14:textId="44B9E0ED" w:rsidR="00A958A0" w:rsidRDefault="00A958A0" w:rsidP="007726A5">
      <w:pPr>
        <w:pStyle w:val="BodyText"/>
      </w:pPr>
      <w:r>
        <w:t>The usability testing allows for members of the communication team to observe usage and create communication artifacts as appropriate to the change</w:t>
      </w:r>
      <w:r w:rsidR="006F657F">
        <w:t xml:space="preserve">. </w:t>
      </w:r>
      <w:r>
        <w:t>These artifacts may range from messages on the BenefitsCal portal to video training to instructor-led training webinars.</w:t>
      </w:r>
    </w:p>
    <w:p w14:paraId="0DD78723" w14:textId="03288A00" w:rsidR="004E720F" w:rsidRDefault="004E720F" w:rsidP="007726A5">
      <w:pPr>
        <w:pStyle w:val="BodyText"/>
      </w:pPr>
      <w:r>
        <w:t xml:space="preserve">As mentioned in the prior subsection, the build incorporates </w:t>
      </w:r>
      <w:r w:rsidRPr="004E720F">
        <w:rPr>
          <w:b/>
          <w:bCs/>
        </w:rPr>
        <w:t>Web Content Accessibility Guidelines</w:t>
      </w:r>
      <w:r>
        <w:t xml:space="preserve"> (WCAG) that have been chosen as BenefitsCal standards</w:t>
      </w:r>
      <w:r w:rsidR="006F657F">
        <w:t xml:space="preserve">. </w:t>
      </w:r>
      <w:r w:rsidR="003B439A">
        <w:t>A WCAG audit scan provides hidden locations that are not in compliance with the standards and provides details on which item</w:t>
      </w:r>
      <w:r w:rsidR="00196E3A">
        <w:t xml:space="preserve"> is affected</w:t>
      </w:r>
      <w:r w:rsidR="006F657F">
        <w:t xml:space="preserve">. </w:t>
      </w:r>
      <w:r w:rsidR="00196E3A">
        <w:t>For example, an audit scan may reveal buttons or data entry fields that are not accessible by keyboard only or locations in the portal that may not be properly set up for assistive technology.</w:t>
      </w:r>
    </w:p>
    <w:p w14:paraId="14CD07CC" w14:textId="7C0BE651" w:rsidR="0016443B" w:rsidRDefault="0016443B" w:rsidP="007726A5">
      <w:pPr>
        <w:pStyle w:val="BodyText"/>
      </w:pPr>
      <w:r>
        <w:t>Language translation of the portal pages is also an important accessibility aspect</w:t>
      </w:r>
      <w:r w:rsidR="006F657F">
        <w:t xml:space="preserve">. </w:t>
      </w:r>
      <w:r w:rsidR="00327A4E">
        <w:t xml:space="preserve">We use Google Translate to rapidly obtain the initial version of </w:t>
      </w:r>
      <w:r w:rsidR="00025BFA">
        <w:t>the translation</w:t>
      </w:r>
      <w:r w:rsidR="006F657F">
        <w:t xml:space="preserve">. </w:t>
      </w:r>
      <w:r w:rsidR="00025BFA">
        <w:t>This initial version is provided to our translation service to correct any errors and incorporate c</w:t>
      </w:r>
      <w:r w:rsidR="0058700B">
        <w:t>hanges that are needed to adjust for normal patterns within the target language.</w:t>
      </w:r>
    </w:p>
    <w:p w14:paraId="56BF82EF" w14:textId="25F8B7AA" w:rsidR="007726A5" w:rsidRDefault="00614B9E" w:rsidP="00B816E9">
      <w:pPr>
        <w:pStyle w:val="HeadingManual4"/>
      </w:pPr>
      <w:bookmarkStart w:id="59" w:name="_Toc172704163"/>
      <w:bookmarkStart w:id="60" w:name="_Toc173187485"/>
      <w:r>
        <w:rPr>
          <w:noProof/>
          <w:szCs w:val="22"/>
        </w:rPr>
        <w:lastRenderedPageBreak/>
        <w:drawing>
          <wp:anchor distT="0" distB="0" distL="91440" distR="91440" simplePos="0" relativeHeight="251658244" behindDoc="0" locked="0" layoutInCell="1" allowOverlap="1" wp14:anchorId="3DAF59D8" wp14:editId="77B4BDCF">
            <wp:simplePos x="0" y="0"/>
            <wp:positionH relativeFrom="margin">
              <wp:align>right</wp:align>
            </wp:positionH>
            <wp:positionV relativeFrom="paragraph">
              <wp:posOffset>130</wp:posOffset>
            </wp:positionV>
            <wp:extent cx="1444752" cy="2414016"/>
            <wp:effectExtent l="0" t="0" r="3175" b="5715"/>
            <wp:wrapSquare wrapText="bothSides"/>
            <wp:docPr id="16650618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44752" cy="2414016"/>
                    </a:xfrm>
                    <a:prstGeom prst="rect">
                      <a:avLst/>
                    </a:prstGeom>
                    <a:noFill/>
                  </pic:spPr>
                </pic:pic>
              </a:graphicData>
            </a:graphic>
            <wp14:sizeRelH relativeFrom="page">
              <wp14:pctWidth>0</wp14:pctWidth>
            </wp14:sizeRelH>
            <wp14:sizeRelV relativeFrom="page">
              <wp14:pctHeight>0</wp14:pctHeight>
            </wp14:sizeRelV>
          </wp:anchor>
        </w:drawing>
      </w:r>
      <w:r w:rsidR="007726A5">
        <w:t>4.2.</w:t>
      </w:r>
      <w:r w:rsidR="00A469F8">
        <w:t>3.</w:t>
      </w:r>
      <w:r w:rsidR="007726A5">
        <w:t>4</w:t>
      </w:r>
      <w:r w:rsidR="00766930">
        <w:tab/>
      </w:r>
      <w:r w:rsidR="007726A5">
        <w:t>Feedback</w:t>
      </w:r>
      <w:bookmarkEnd w:id="59"/>
      <w:bookmarkEnd w:id="60"/>
    </w:p>
    <w:p w14:paraId="04396CC7" w14:textId="0793002C" w:rsidR="00112AE7" w:rsidRDefault="00025094" w:rsidP="00950015">
      <w:pPr>
        <w:pStyle w:val="BodyText"/>
      </w:pPr>
      <w:r>
        <w:t>As part of the UCD process, two</w:t>
      </w:r>
      <w:r w:rsidR="00112AE7">
        <w:t xml:space="preserve"> types of feedback are pursued</w:t>
      </w:r>
      <w:r w:rsidR="006F657F">
        <w:t xml:space="preserve">. </w:t>
      </w:r>
      <w:r w:rsidR="00112AE7">
        <w:t>First, feedback that is associated with</w:t>
      </w:r>
      <w:r w:rsidR="007C60DE">
        <w:t xml:space="preserve"> an</w:t>
      </w:r>
      <w:r w:rsidR="00112AE7">
        <w:t xml:space="preserve"> implemented change</w:t>
      </w:r>
      <w:r w:rsidR="006F657F">
        <w:t xml:space="preserve">. </w:t>
      </w:r>
      <w:r w:rsidR="00112AE7">
        <w:t xml:space="preserve">This type of feedback is designed to obtain information on the effectiveness of the change </w:t>
      </w:r>
      <w:r>
        <w:t>in addressing</w:t>
      </w:r>
      <w:r w:rsidR="00112AE7">
        <w:t xml:space="preserve"> </w:t>
      </w:r>
      <w:r>
        <w:t>a problem area</w:t>
      </w:r>
      <w:r w:rsidR="00112AE7">
        <w:t xml:space="preserve"> or provid</w:t>
      </w:r>
      <w:r>
        <w:t xml:space="preserve">ing </w:t>
      </w:r>
      <w:r w:rsidR="00112AE7">
        <w:t>desired functionality.</w:t>
      </w:r>
    </w:p>
    <w:p w14:paraId="09BD70DF" w14:textId="5A435E9E" w:rsidR="007726A5" w:rsidRDefault="00112AE7" w:rsidP="00950015">
      <w:pPr>
        <w:pStyle w:val="BodyText"/>
      </w:pPr>
      <w:r>
        <w:t>Second, continuous feedback through a variety of methods informs the Identify phase.</w:t>
      </w:r>
    </w:p>
    <w:p w14:paraId="56EB59D8" w14:textId="4A2EC2B3" w:rsidR="00950015" w:rsidRDefault="004A0BA8" w:rsidP="00950015">
      <w:pPr>
        <w:pStyle w:val="BodyText"/>
      </w:pPr>
      <w:r>
        <w:t xml:space="preserve">Feedback associated with an implemented change can include </w:t>
      </w:r>
      <w:r w:rsidRPr="007C60DE">
        <w:rPr>
          <w:b/>
          <w:bCs/>
        </w:rPr>
        <w:t>user surveys</w:t>
      </w:r>
      <w:r>
        <w:t xml:space="preserve"> directed towards obtaining information related to recently implemented functionality</w:t>
      </w:r>
      <w:r w:rsidR="006F657F">
        <w:t xml:space="preserve">. </w:t>
      </w:r>
    </w:p>
    <w:p w14:paraId="2E570AFF" w14:textId="5BBC1341" w:rsidR="00D23B5C" w:rsidRDefault="004A0BA8" w:rsidP="00950015">
      <w:pPr>
        <w:pStyle w:val="BodyText"/>
      </w:pPr>
      <w:r>
        <w:t xml:space="preserve">Additionally, a </w:t>
      </w:r>
      <w:r w:rsidRPr="007C60DE">
        <w:rPr>
          <w:b/>
          <w:bCs/>
        </w:rPr>
        <w:t>user advisory panel</w:t>
      </w:r>
      <w:r>
        <w:t xml:space="preserve"> can be convened to discuss recently implemented functionality including its effectiveness for users and whether the functionality had the anticipated effect on county workload</w:t>
      </w:r>
      <w:r w:rsidR="006F657F">
        <w:t xml:space="preserve">. </w:t>
      </w:r>
      <w:r w:rsidR="00246D4F">
        <w:t>The user advisory panel can also assist with identifying any unintended consequences</w:t>
      </w:r>
      <w:r w:rsidR="006F657F">
        <w:t xml:space="preserve">. </w:t>
      </w:r>
      <w:r w:rsidR="00025094">
        <w:t>For example, new functionality may reduce County workload when used correctly, but it may have increased phone calls to the County contact centers indicating that additional training materials or in-application help may</w:t>
      </w:r>
      <w:r w:rsidR="00054607">
        <w:t xml:space="preserve"> be needed.</w:t>
      </w:r>
    </w:p>
    <w:p w14:paraId="2980B5CD" w14:textId="59BFA1B3" w:rsidR="00C844F1" w:rsidRDefault="00C844F1" w:rsidP="00950015">
      <w:pPr>
        <w:pStyle w:val="BodyText"/>
      </w:pPr>
      <w:r>
        <w:t xml:space="preserve">Monitoring </w:t>
      </w:r>
      <w:r w:rsidRPr="00A773D7">
        <w:rPr>
          <w:b/>
          <w:bCs/>
        </w:rPr>
        <w:t>social media</w:t>
      </w:r>
      <w:r>
        <w:t xml:space="preserve"> </w:t>
      </w:r>
      <w:r w:rsidR="007969F4">
        <w:t>may provide insights</w:t>
      </w:r>
      <w:r w:rsidR="00A773D7">
        <w:t xml:space="preserve"> into whether the general attitude toward a change is positive or negative</w:t>
      </w:r>
      <w:r w:rsidR="006F657F">
        <w:t xml:space="preserve">. </w:t>
      </w:r>
      <w:r w:rsidR="00A773D7">
        <w:t>This medium may also shed some light on why a change is viewed favorably or not.</w:t>
      </w:r>
    </w:p>
    <w:p w14:paraId="3F838B48" w14:textId="50C74540" w:rsidR="00C800AE" w:rsidRDefault="0045642A" w:rsidP="00950015">
      <w:pPr>
        <w:pStyle w:val="BodyText"/>
      </w:pPr>
      <w:r w:rsidRPr="004717DF">
        <w:rPr>
          <w:b/>
          <w:bCs/>
        </w:rPr>
        <w:t>Product analysis</w:t>
      </w:r>
      <w:r>
        <w:t xml:space="preserve"> </w:t>
      </w:r>
      <w:r w:rsidR="00B33958">
        <w:t>is conducted</w:t>
      </w:r>
      <w:r>
        <w:t xml:space="preserve"> through data and usage analysis such as gathering information from </w:t>
      </w:r>
      <w:r w:rsidR="00096394">
        <w:t>Amplitude</w:t>
      </w:r>
      <w:r w:rsidR="00054607">
        <w:t xml:space="preserve"> to determine where usage has improved or where portal abandonment occurs</w:t>
      </w:r>
      <w:r w:rsidR="006F657F">
        <w:t xml:space="preserve">. </w:t>
      </w:r>
      <w:r w:rsidR="00611D42">
        <w:t>Comparison of data and usage analysis pre-change versus the data and usage post-change is important information in assessing the effectiveness of a change</w:t>
      </w:r>
      <w:r w:rsidR="006F657F">
        <w:t xml:space="preserve">. </w:t>
      </w:r>
      <w:r w:rsidR="00054607">
        <w:t>This information is enhanced</w:t>
      </w:r>
      <w:r w:rsidR="00096394">
        <w:t xml:space="preserve"> </w:t>
      </w:r>
      <w:r w:rsidR="00054607">
        <w:t>with information</w:t>
      </w:r>
      <w:r w:rsidR="00096394">
        <w:t xml:space="preserve"> from other methods such as </w:t>
      </w:r>
      <w:r w:rsidR="00B33958">
        <w:t xml:space="preserve">from longitudinal study participants or feedback from </w:t>
      </w:r>
      <w:r w:rsidR="00B33958" w:rsidRPr="00C844F1">
        <w:rPr>
          <w:b/>
          <w:bCs/>
        </w:rPr>
        <w:t>outreach i</w:t>
      </w:r>
      <w:r w:rsidR="004717DF" w:rsidRPr="00C844F1">
        <w:rPr>
          <w:b/>
          <w:bCs/>
        </w:rPr>
        <w:t>n</w:t>
      </w:r>
      <w:r w:rsidR="00B33958" w:rsidRPr="00C844F1">
        <w:rPr>
          <w:b/>
          <w:bCs/>
        </w:rPr>
        <w:t>tera</w:t>
      </w:r>
      <w:r w:rsidR="004717DF" w:rsidRPr="00C844F1">
        <w:rPr>
          <w:b/>
          <w:bCs/>
        </w:rPr>
        <w:t>c</w:t>
      </w:r>
      <w:r w:rsidR="00B33958" w:rsidRPr="00C844F1">
        <w:rPr>
          <w:b/>
          <w:bCs/>
        </w:rPr>
        <w:t>tions</w:t>
      </w:r>
      <w:r w:rsidR="00C800AE">
        <w:t xml:space="preserve"> to assist with determining why a particular behavior is occurring.</w:t>
      </w:r>
    </w:p>
    <w:p w14:paraId="1670368B" w14:textId="2F1DE90E" w:rsidR="007B00D1" w:rsidRDefault="00FF0015" w:rsidP="00950015">
      <w:pPr>
        <w:pStyle w:val="BodyText"/>
      </w:pPr>
      <w:r>
        <w:t xml:space="preserve">Insight from the </w:t>
      </w:r>
      <w:r w:rsidRPr="007B00D1">
        <w:rPr>
          <w:b/>
          <w:bCs/>
        </w:rPr>
        <w:t>BenefitsCal Technical Service Desk</w:t>
      </w:r>
      <w:r>
        <w:t xml:space="preserve"> and </w:t>
      </w:r>
      <w:r w:rsidRPr="007B00D1">
        <w:rPr>
          <w:b/>
          <w:bCs/>
        </w:rPr>
        <w:t>County help desks</w:t>
      </w:r>
      <w:r>
        <w:t xml:space="preserve"> can also be invaluable in understanding the effects of a change</w:t>
      </w:r>
      <w:r w:rsidR="006F657F">
        <w:t xml:space="preserve">. </w:t>
      </w:r>
      <w:r w:rsidR="007B00D1">
        <w:t>The direct interaction with BenefitsCal users can inform the Product team of immediate changes either to the functionality or to the communication and training materials available</w:t>
      </w:r>
      <w:r w:rsidR="006F657F">
        <w:t xml:space="preserve">. </w:t>
      </w:r>
    </w:p>
    <w:p w14:paraId="011CCEB6" w14:textId="50A1AEE7" w:rsidR="00611D42" w:rsidRDefault="007B00D1" w:rsidP="00950015">
      <w:pPr>
        <w:pStyle w:val="BodyText"/>
      </w:pPr>
      <w:r>
        <w:t>This feedback also provides lessons learned to incorporate for continuous improvement along with informing the Identify phase for future enhancements as shown on the figure below.</w:t>
      </w:r>
    </w:p>
    <w:p w14:paraId="38E9CE5C" w14:textId="77777777" w:rsidR="00C13C1E" w:rsidRDefault="00C13C1E" w:rsidP="004339C5">
      <w:pPr>
        <w:pStyle w:val="FigureCaptionAuto"/>
      </w:pPr>
      <w:bookmarkStart w:id="61" w:name="_Toc173187526"/>
      <w:r>
        <w:lastRenderedPageBreak/>
        <w:t>UCD Feedback to the Identify Phase</w:t>
      </w:r>
      <w:bookmarkEnd w:id="61"/>
    </w:p>
    <w:p w14:paraId="697DB027" w14:textId="70F34C9D" w:rsidR="002F070F" w:rsidRDefault="000F0C03" w:rsidP="00C13C1E">
      <w:pPr>
        <w:pStyle w:val="BodyText"/>
        <w:rPr>
          <w:shd w:val="clear" w:color="auto" w:fill="FFFFFF"/>
        </w:rPr>
      </w:pPr>
      <w:r>
        <w:rPr>
          <w:noProof/>
          <w:shd w:val="clear" w:color="auto" w:fill="FFFFFF"/>
        </w:rPr>
        <w:drawing>
          <wp:inline distT="0" distB="0" distL="0" distR="0" wp14:anchorId="56C77CEB" wp14:editId="2FF62FB6">
            <wp:extent cx="5943600" cy="5387586"/>
            <wp:effectExtent l="0" t="0" r="0" b="3810"/>
            <wp:docPr id="1529031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5387586"/>
                    </a:xfrm>
                    <a:prstGeom prst="rect">
                      <a:avLst/>
                    </a:prstGeom>
                    <a:noFill/>
                  </pic:spPr>
                </pic:pic>
              </a:graphicData>
            </a:graphic>
          </wp:inline>
        </w:drawing>
      </w:r>
    </w:p>
    <w:p w14:paraId="25C24AF2" w14:textId="119835F2" w:rsidR="00BE0265" w:rsidRDefault="00827828" w:rsidP="00827828">
      <w:pPr>
        <w:pStyle w:val="BodyText"/>
      </w:pPr>
      <w:r>
        <w:t>The Gainwell approach to UCD integrates the UCD techniques into each phase of the SDLC</w:t>
      </w:r>
      <w:r w:rsidR="006F657F">
        <w:t xml:space="preserve">. </w:t>
      </w:r>
      <w:r>
        <w:t>In addition to the UCD efforts currently in use in BenefitsCal, we propose to e</w:t>
      </w:r>
      <w:r w:rsidR="00BE0265">
        <w:t>nhance</w:t>
      </w:r>
      <w:r w:rsidR="005E0179">
        <w:t xml:space="preserve"> UCD and the overall user experience </w:t>
      </w:r>
      <w:r>
        <w:t>through the following techniques.</w:t>
      </w:r>
    </w:p>
    <w:p w14:paraId="359DA141" w14:textId="3C10B1EF" w:rsidR="005E0179" w:rsidRPr="007C490D" w:rsidRDefault="00E21C7F" w:rsidP="00E21C7F">
      <w:pPr>
        <w:pStyle w:val="Subheading"/>
        <w:rPr>
          <w:b w:val="0"/>
          <w:bCs/>
        </w:rPr>
      </w:pPr>
      <w:r>
        <w:t xml:space="preserve">1. </w:t>
      </w:r>
      <w:r w:rsidR="005E0179" w:rsidRPr="007C490D">
        <w:t xml:space="preserve">Integration of Advanced User </w:t>
      </w:r>
      <w:r w:rsidR="005E0179" w:rsidRPr="007C490D">
        <w:rPr>
          <w:bCs/>
        </w:rPr>
        <w:t>Research Techniques</w:t>
      </w:r>
    </w:p>
    <w:p w14:paraId="7B4006F6" w14:textId="77777777" w:rsidR="005E0179" w:rsidRDefault="005E0179" w:rsidP="0026783D">
      <w:pPr>
        <w:pStyle w:val="BodyText"/>
      </w:pPr>
      <w:r>
        <w:t>Gainwell will enhance the UCD approach by incorporating advanced user research techniques such as ethnographic, longitudinal, and remote usability testing. These methods will provide deeper insights into user behaviors and long-term interactions with the product.</w:t>
      </w:r>
    </w:p>
    <w:p w14:paraId="62580F17" w14:textId="77777777" w:rsidR="005E0179" w:rsidRDefault="005E0179" w:rsidP="00EE642B">
      <w:pPr>
        <w:pStyle w:val="CvrLtrBullet1Double"/>
      </w:pPr>
      <w:r>
        <w:rPr>
          <w:b/>
        </w:rPr>
        <w:t>Ethnographic Studies</w:t>
      </w:r>
      <w:r>
        <w:t>: Provide rich, contextual insights into user behavior and cultural influences, leading to more user-centric designs.</w:t>
      </w:r>
    </w:p>
    <w:p w14:paraId="6747CBC8" w14:textId="32110B6D" w:rsidR="005E0179" w:rsidRDefault="005E0179" w:rsidP="00EE642B">
      <w:pPr>
        <w:pStyle w:val="CvrLtrBullet1Double"/>
      </w:pPr>
      <w:r>
        <w:rPr>
          <w:b/>
        </w:rPr>
        <w:lastRenderedPageBreak/>
        <w:t>Longitudinal Studies</w:t>
      </w:r>
      <w:r>
        <w:t xml:space="preserve">: Offer a comprehensive understanding of how user </w:t>
      </w:r>
      <w:r w:rsidR="006F657F">
        <w:t>needs,</w:t>
      </w:r>
      <w:r>
        <w:t xml:space="preserve"> and </w:t>
      </w:r>
      <w:r w:rsidR="00E85C94">
        <w:t>portal</w:t>
      </w:r>
      <w:r>
        <w:t xml:space="preserve"> interactions change over time, allowing for continuous improvement.</w:t>
      </w:r>
    </w:p>
    <w:p w14:paraId="48619D1C" w14:textId="63216CD0" w:rsidR="005E0179" w:rsidRDefault="005E0179" w:rsidP="00EE642B">
      <w:pPr>
        <w:pStyle w:val="CvrLtrBullet1Double"/>
      </w:pPr>
      <w:r>
        <w:rPr>
          <w:b/>
        </w:rPr>
        <w:t>Remote Usability Testing</w:t>
      </w:r>
      <w:r>
        <w:t xml:space="preserve">: Enables testing with a broader and more diverse user base, leading to insights that </w:t>
      </w:r>
      <w:r w:rsidR="0026783D">
        <w:t>confirm</w:t>
      </w:r>
      <w:r>
        <w:t xml:space="preserve"> the product is accessible and user-friendly for intended users.</w:t>
      </w:r>
    </w:p>
    <w:p w14:paraId="003DA9A5" w14:textId="5F85B8C2" w:rsidR="005E0179" w:rsidRPr="00524593" w:rsidRDefault="00E21C7F" w:rsidP="00E21C7F">
      <w:pPr>
        <w:pStyle w:val="Subheading"/>
        <w:rPr>
          <w:b w:val="0"/>
          <w:bCs/>
        </w:rPr>
      </w:pPr>
      <w:r>
        <w:t xml:space="preserve">2. </w:t>
      </w:r>
      <w:r w:rsidR="005E0179" w:rsidRPr="00524593">
        <w:t xml:space="preserve">Continuous User Engagement </w:t>
      </w:r>
    </w:p>
    <w:p w14:paraId="58A1DA82" w14:textId="4A8A958A" w:rsidR="005E0179" w:rsidRDefault="00050430" w:rsidP="0026783D">
      <w:pPr>
        <w:pStyle w:val="BodyText"/>
      </w:pPr>
      <w:r w:rsidRPr="00050430">
        <w:rPr>
          <w:noProof/>
        </w:rPr>
        <w:drawing>
          <wp:anchor distT="0" distB="0" distL="114300" distR="114300" simplePos="0" relativeHeight="251658269" behindDoc="1" locked="0" layoutInCell="1" allowOverlap="1" wp14:anchorId="782CDE31" wp14:editId="2168961B">
            <wp:simplePos x="0" y="0"/>
            <wp:positionH relativeFrom="margin">
              <wp:posOffset>4052570</wp:posOffset>
            </wp:positionH>
            <wp:positionV relativeFrom="paragraph">
              <wp:posOffset>281305</wp:posOffset>
            </wp:positionV>
            <wp:extent cx="2039112" cy="1920240"/>
            <wp:effectExtent l="0" t="0" r="0" b="3810"/>
            <wp:wrapTight wrapText="left">
              <wp:wrapPolygon edited="0">
                <wp:start x="6660" y="0"/>
                <wp:lineTo x="3431" y="3214"/>
                <wp:lineTo x="3027" y="5143"/>
                <wp:lineTo x="3431" y="6429"/>
                <wp:lineTo x="5449" y="6857"/>
                <wp:lineTo x="2018" y="8571"/>
                <wp:lineTo x="0" y="9643"/>
                <wp:lineTo x="0" y="13286"/>
                <wp:lineTo x="3027" y="13714"/>
                <wp:lineTo x="3027" y="17143"/>
                <wp:lineTo x="4843" y="20571"/>
                <wp:lineTo x="5045" y="21429"/>
                <wp:lineTo x="10494" y="21429"/>
                <wp:lineTo x="10292" y="20571"/>
                <wp:lineTo x="13319" y="20571"/>
                <wp:lineTo x="20181" y="18214"/>
                <wp:lineTo x="19979" y="17143"/>
                <wp:lineTo x="21391" y="16929"/>
                <wp:lineTo x="21391" y="13500"/>
                <wp:lineTo x="15741" y="10286"/>
                <wp:lineTo x="14732" y="6857"/>
                <wp:lineTo x="9889" y="3429"/>
                <wp:lineTo x="10696" y="3214"/>
                <wp:lineTo x="9687" y="1714"/>
                <wp:lineTo x="7669" y="0"/>
                <wp:lineTo x="6660" y="0"/>
              </wp:wrapPolygon>
            </wp:wrapTight>
            <wp:docPr id="14" name="Picture 13" descr="A person holding a child in the air&#10;&#10;Description automatically generated">
              <a:extLst xmlns:a="http://schemas.openxmlformats.org/drawingml/2006/main">
                <a:ext uri="{FF2B5EF4-FFF2-40B4-BE49-F238E27FC236}">
                  <a16:creationId xmlns:a16="http://schemas.microsoft.com/office/drawing/2014/main" id="{809202FB-48A0-9B34-55A9-13AADBB448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person holding a child in the air&#10;&#10;Description automatically generated">
                      <a:extLst>
                        <a:ext uri="{FF2B5EF4-FFF2-40B4-BE49-F238E27FC236}">
                          <a16:creationId xmlns:a16="http://schemas.microsoft.com/office/drawing/2014/main" id="{809202FB-48A0-9B34-55A9-13AADBB44824}"/>
                        </a:ext>
                      </a:extLst>
                    </pic:cNvPr>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039112" cy="1920240"/>
                    </a:xfrm>
                    <a:prstGeom prst="rect">
                      <a:avLst/>
                    </a:prstGeom>
                  </pic:spPr>
                </pic:pic>
              </a:graphicData>
            </a:graphic>
            <wp14:sizeRelH relativeFrom="page">
              <wp14:pctWidth>0</wp14:pctWidth>
            </wp14:sizeRelH>
            <wp14:sizeRelV relativeFrom="page">
              <wp14:pctHeight>0</wp14:pctHeight>
            </wp14:sizeRelV>
          </wp:anchor>
        </w:drawing>
      </w:r>
      <w:r w:rsidR="005E0179">
        <w:t>While BenefitsCal has engaged many users, Gainwell will ensure continuous engagement. This includes:</w:t>
      </w:r>
    </w:p>
    <w:p w14:paraId="54489694" w14:textId="30EBE524" w:rsidR="005E0179" w:rsidRDefault="005E0179" w:rsidP="00EE642B">
      <w:pPr>
        <w:pStyle w:val="CvrLtrBullet1Double"/>
      </w:pPr>
      <w:r>
        <w:rPr>
          <w:b/>
        </w:rPr>
        <w:t>Regular User Feedback Loops</w:t>
      </w:r>
      <w:r>
        <w:t>: Implementing mechanisms for ongoing user feedback collection post-launch to continually refine the product.</w:t>
      </w:r>
    </w:p>
    <w:p w14:paraId="7FC57C76" w14:textId="3312E06F" w:rsidR="005E0179" w:rsidRDefault="005E0179" w:rsidP="00EE642B">
      <w:pPr>
        <w:pStyle w:val="CvrLtrBullet1Double"/>
      </w:pPr>
      <w:r>
        <w:rPr>
          <w:b/>
        </w:rPr>
        <w:t>User Advisory Panels</w:t>
      </w:r>
      <w:r>
        <w:t>: Establishing panels that regularly provide input on upcoming features and changes.</w:t>
      </w:r>
    </w:p>
    <w:p w14:paraId="46B7D568" w14:textId="1AB7B0E7" w:rsidR="0006168C" w:rsidRDefault="0006168C" w:rsidP="00EE642B">
      <w:pPr>
        <w:pStyle w:val="CvrLtrBullet1Double"/>
      </w:pPr>
      <w:r>
        <w:rPr>
          <w:b/>
        </w:rPr>
        <w:t>Outreach</w:t>
      </w:r>
      <w:r w:rsidRPr="0006168C">
        <w:t>:</w:t>
      </w:r>
      <w:r>
        <w:t xml:space="preserve"> Client outreach is a rich source of information on how a portal is used, what the barriers are to adoption and where individuals become frustrated with portal usage</w:t>
      </w:r>
    </w:p>
    <w:p w14:paraId="23A46BEA" w14:textId="4953FFFC" w:rsidR="005E0179" w:rsidRPr="00524593" w:rsidRDefault="00E21C7F" w:rsidP="00E21C7F">
      <w:pPr>
        <w:pStyle w:val="Subheading"/>
        <w:rPr>
          <w:b w:val="0"/>
          <w:bCs/>
        </w:rPr>
      </w:pPr>
      <w:r>
        <w:t xml:space="preserve">3. </w:t>
      </w:r>
      <w:r w:rsidR="005E0179" w:rsidRPr="00524593">
        <w:t xml:space="preserve">Enhanced Data Analytics </w:t>
      </w:r>
    </w:p>
    <w:p w14:paraId="6D1FAEFD" w14:textId="57F00B8E" w:rsidR="00F24E9C" w:rsidRDefault="005E0179" w:rsidP="0026783D">
      <w:pPr>
        <w:pStyle w:val="BodyText"/>
      </w:pPr>
      <w:r>
        <w:t>Gainwell will leverage data</w:t>
      </w:r>
      <w:r w:rsidR="00F24E9C">
        <w:t>/product</w:t>
      </w:r>
      <w:r>
        <w:t xml:space="preserve"> analytics to gain actionable insights from user interactions. By analyzing user data, Gainwell can identify patterns and areas for improvement that may not be evident through traditional UCD methods.</w:t>
      </w:r>
    </w:p>
    <w:p w14:paraId="4B54812C" w14:textId="3AB1426A" w:rsidR="00F24E9C" w:rsidRDefault="00F24E9C" w:rsidP="0026783D">
      <w:pPr>
        <w:pStyle w:val="BodyText"/>
      </w:pPr>
      <w:r>
        <w:t>Product analytics provides insights into user behavior. These insights can identify friction points, provide areas for optimization client access and onboarding and measure engagement.</w:t>
      </w:r>
    </w:p>
    <w:p w14:paraId="1CD2183B" w14:textId="63EA4815" w:rsidR="00F24E9C" w:rsidRDefault="00F24E9C" w:rsidP="0026783D">
      <w:pPr>
        <w:pStyle w:val="BodyText"/>
      </w:pPr>
      <w:r w:rsidRPr="00A6660B">
        <w:t xml:space="preserve">By increasing the analysis of data provided through Amplitude, </w:t>
      </w:r>
      <w:r w:rsidR="00D62790">
        <w:t>user drop off can be identified and better understood</w:t>
      </w:r>
      <w:r w:rsidR="006F657F">
        <w:t xml:space="preserve">. </w:t>
      </w:r>
      <w:r w:rsidR="00175E1D">
        <w:t xml:space="preserve">Using this information, other UCD techniques such as </w:t>
      </w:r>
      <w:r w:rsidR="0095670D">
        <w:t>focus groups, interviews and observation can be employed to identify improvements for a better customer experience.</w:t>
      </w:r>
    </w:p>
    <w:p w14:paraId="25610588" w14:textId="3748B446" w:rsidR="0026783D" w:rsidRDefault="0026783D" w:rsidP="0026783D">
      <w:pPr>
        <w:pStyle w:val="BodyText"/>
      </w:pPr>
      <w:r>
        <w:t xml:space="preserve">Provided access to the CalSAWS data, we utilize our analytics expertise to conduct business analytics analysis answering not only questions about BenefitsCal usage, but also determining and eventually predicting </w:t>
      </w:r>
      <w:r w:rsidR="008A7150">
        <w:t>BenefitsCal</w:t>
      </w:r>
      <w:r>
        <w:t>’s effect on outcomes visible in CalSAWS.</w:t>
      </w:r>
    </w:p>
    <w:p w14:paraId="5EF496FD" w14:textId="7A0FE4F2" w:rsidR="005E0179" w:rsidRPr="00C548CD" w:rsidRDefault="00E21C7F" w:rsidP="00E21C7F">
      <w:pPr>
        <w:pStyle w:val="Subheading"/>
        <w:rPr>
          <w:b w:val="0"/>
          <w:bCs/>
        </w:rPr>
      </w:pPr>
      <w:r>
        <w:t xml:space="preserve">4. </w:t>
      </w:r>
      <w:r w:rsidR="005E0179" w:rsidRPr="00C548CD">
        <w:t>Accessibility and Inclusivity</w:t>
      </w:r>
    </w:p>
    <w:p w14:paraId="68515168" w14:textId="540939AF" w:rsidR="005E0179" w:rsidRDefault="005E0179" w:rsidP="0026783D">
      <w:pPr>
        <w:pStyle w:val="BodyText"/>
        <w:rPr>
          <w:rFonts w:eastAsiaTheme="minorHAnsi"/>
        </w:rPr>
      </w:pPr>
      <w:r>
        <w:t xml:space="preserve">Building on the inclusivity of the BenefitsCal approach, Gainwell will prioritize accessibility by adhering to the latest Web Content Accessibility Guidelines (WCAG). This will </w:t>
      </w:r>
      <w:r w:rsidR="00C548CD">
        <w:t>provide</w:t>
      </w:r>
      <w:r>
        <w:t xml:space="preserve"> an optimal experience for all users, including those with disabilities.</w:t>
      </w:r>
    </w:p>
    <w:p w14:paraId="10E85FC7" w14:textId="2844388C" w:rsidR="005E0179" w:rsidRPr="00C548CD" w:rsidRDefault="00E21C7F" w:rsidP="00E21C7F">
      <w:pPr>
        <w:pStyle w:val="Subheading"/>
        <w:rPr>
          <w:b w:val="0"/>
          <w:bCs/>
        </w:rPr>
      </w:pPr>
      <w:r>
        <w:lastRenderedPageBreak/>
        <w:t xml:space="preserve">5. </w:t>
      </w:r>
      <w:r w:rsidR="005E0179" w:rsidRPr="00C548CD">
        <w:t xml:space="preserve">Agile and Iterative Design Process </w:t>
      </w:r>
    </w:p>
    <w:p w14:paraId="3DAEFEBB" w14:textId="77777777" w:rsidR="005E0179" w:rsidRDefault="005E0179" w:rsidP="0026783D">
      <w:pPr>
        <w:pStyle w:val="BodyText"/>
        <w:rPr>
          <w:rFonts w:eastAsiaTheme="minorHAnsi"/>
        </w:rPr>
      </w:pPr>
      <w:r>
        <w:t>Gainwell will utilize agile and iterative design processes for rapid prototyping, testing, and refinement. This approach will enable quicker adjustments based on user feedback, ensuring that the product evolves in alignment with user needs.</w:t>
      </w:r>
    </w:p>
    <w:p w14:paraId="28DB7334" w14:textId="129E2214" w:rsidR="005E0179" w:rsidRPr="00C548CD" w:rsidRDefault="00E21C7F" w:rsidP="00E21C7F">
      <w:pPr>
        <w:pStyle w:val="Subheading"/>
        <w:rPr>
          <w:b w:val="0"/>
          <w:bCs/>
        </w:rPr>
      </w:pPr>
      <w:r>
        <w:t xml:space="preserve">6. </w:t>
      </w:r>
      <w:r w:rsidR="005E0179" w:rsidRPr="00C548CD">
        <w:t xml:space="preserve">Holistic Stakeholder Engagement </w:t>
      </w:r>
    </w:p>
    <w:p w14:paraId="05DF545B" w14:textId="44BA3504" w:rsidR="005E0179" w:rsidRPr="000E7B9B" w:rsidRDefault="005E0179" w:rsidP="0026783D">
      <w:pPr>
        <w:pStyle w:val="BodyText"/>
      </w:pPr>
      <w:r>
        <w:t xml:space="preserve">Expanding on BenefitsCal’s stakeholder engagement, Gainwell will involve a broader </w:t>
      </w:r>
      <w:r w:rsidRPr="000E7B9B">
        <w:t xml:space="preserve">range of stakeholders throughout the product lifecycle, including </w:t>
      </w:r>
      <w:r w:rsidR="00800DDE" w:rsidRPr="000E7B9B">
        <w:t xml:space="preserve">State partners, </w:t>
      </w:r>
      <w:r w:rsidRPr="000E7B9B">
        <w:t>community leaders</w:t>
      </w:r>
      <w:r w:rsidR="00800DDE" w:rsidRPr="000E7B9B">
        <w:t xml:space="preserve"> which may include CWDA, advocates or union representatives as appropriate</w:t>
      </w:r>
      <w:r w:rsidRPr="000E7B9B">
        <w:t>, and</w:t>
      </w:r>
      <w:r w:rsidR="00800DDE" w:rsidRPr="000E7B9B">
        <w:t>, of course,</w:t>
      </w:r>
      <w:r w:rsidRPr="000E7B9B">
        <w:t xml:space="preserve"> end-users. This </w:t>
      </w:r>
      <w:r w:rsidR="00800DDE" w:rsidRPr="000E7B9B">
        <w:t>inclusivity</w:t>
      </w:r>
      <w:r w:rsidRPr="000E7B9B">
        <w:t xml:space="preserve"> </w:t>
      </w:r>
      <w:r w:rsidR="00800DDE" w:rsidRPr="000E7B9B">
        <w:t>considers all</w:t>
      </w:r>
      <w:r w:rsidRPr="000E7B9B">
        <w:t xml:space="preserve"> perspectives in the design and development process.</w:t>
      </w:r>
    </w:p>
    <w:p w14:paraId="067D23D1" w14:textId="22DB4D80" w:rsidR="005E0179" w:rsidRPr="00C548CD" w:rsidRDefault="00E21C7F" w:rsidP="00E21C7F">
      <w:pPr>
        <w:pStyle w:val="Subheading"/>
        <w:rPr>
          <w:b w:val="0"/>
          <w:bCs/>
        </w:rPr>
      </w:pPr>
      <w:r>
        <w:t xml:space="preserve">7. </w:t>
      </w:r>
      <w:r w:rsidR="005E0179" w:rsidRPr="00C548CD">
        <w:t xml:space="preserve">Governance and Oversight </w:t>
      </w:r>
    </w:p>
    <w:p w14:paraId="09D3AEFE" w14:textId="279565DA" w:rsidR="005E0179" w:rsidRPr="000E7B9B" w:rsidRDefault="00DE1EB1" w:rsidP="000E7B9B">
      <w:pPr>
        <w:pStyle w:val="BodyText"/>
      </w:pPr>
      <w:r>
        <w:t xml:space="preserve">In addition to the Collaboration Model, </w:t>
      </w:r>
      <w:r w:rsidR="005E0179" w:rsidRPr="000E7B9B">
        <w:t>Gainwell will implement a governance framework</w:t>
      </w:r>
      <w:r w:rsidR="00BD0381">
        <w:t xml:space="preserve"> specifically</w:t>
      </w:r>
      <w:r w:rsidR="005E0179" w:rsidRPr="000E7B9B">
        <w:t xml:space="preserve"> to oversee the UCD process, ensuring adherence to best practices and continuous improvement. This framework will include regular reviews and audits of the UCD activities </w:t>
      </w:r>
      <w:r w:rsidR="0020773F" w:rsidRPr="000E7B9B">
        <w:t>to verify</w:t>
      </w:r>
      <w:r w:rsidR="005E0179" w:rsidRPr="000E7B9B">
        <w:t xml:space="preserve"> they deliver value.</w:t>
      </w:r>
    </w:p>
    <w:p w14:paraId="57C87A51" w14:textId="4C4FAEE8" w:rsidR="005E0179" w:rsidRPr="00C86032" w:rsidRDefault="00474A07" w:rsidP="00522DC0">
      <w:pPr>
        <w:pStyle w:val="Subheading"/>
        <w:rPr>
          <w:b w:val="0"/>
          <w:bCs/>
        </w:rPr>
      </w:pPr>
      <w:r w:rsidRPr="00505162">
        <w:rPr>
          <w:noProof/>
        </w:rPr>
        <w:drawing>
          <wp:anchor distT="0" distB="0" distL="114300" distR="114300" simplePos="0" relativeHeight="251658295" behindDoc="0" locked="0" layoutInCell="1" allowOverlap="1" wp14:anchorId="34804EFD" wp14:editId="5A74B3E0">
            <wp:simplePos x="0" y="0"/>
            <wp:positionH relativeFrom="column">
              <wp:posOffset>4292600</wp:posOffset>
            </wp:positionH>
            <wp:positionV relativeFrom="paragraph">
              <wp:posOffset>5715</wp:posOffset>
            </wp:positionV>
            <wp:extent cx="1771015" cy="1938655"/>
            <wp:effectExtent l="0" t="0" r="635" b="4445"/>
            <wp:wrapSquare wrapText="bothSides"/>
            <wp:docPr id="10" name="Graphic 9">
              <a:extLst xmlns:a="http://schemas.openxmlformats.org/drawingml/2006/main">
                <a:ext uri="{FF2B5EF4-FFF2-40B4-BE49-F238E27FC236}">
                  <a16:creationId xmlns:a16="http://schemas.microsoft.com/office/drawing/2014/main" id="{B5A36752-4DC0-C7B7-5F95-64DBA2356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B5A36752-4DC0-C7B7-5F95-64DBA2356C5A}"/>
                        </a:ext>
                      </a:extLst>
                    </pic:cNvPr>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1771015" cy="1938655"/>
                    </a:xfrm>
                    <a:prstGeom prst="rect">
                      <a:avLst/>
                    </a:prstGeom>
                  </pic:spPr>
                </pic:pic>
              </a:graphicData>
            </a:graphic>
            <wp14:sizeRelH relativeFrom="margin">
              <wp14:pctWidth>0</wp14:pctWidth>
            </wp14:sizeRelH>
            <wp14:sizeRelV relativeFrom="margin">
              <wp14:pctHeight>0</wp14:pctHeight>
            </wp14:sizeRelV>
          </wp:anchor>
        </w:drawing>
      </w:r>
      <w:r w:rsidR="005E0179" w:rsidRPr="00C86032">
        <w:rPr>
          <w:bCs/>
        </w:rPr>
        <w:t>Expected Outcomes</w:t>
      </w:r>
    </w:p>
    <w:p w14:paraId="41094D51" w14:textId="005D8C5B" w:rsidR="005E0179" w:rsidRPr="00BD0381" w:rsidRDefault="005E0179" w:rsidP="00BD0381">
      <w:pPr>
        <w:pStyle w:val="BodyText"/>
      </w:pPr>
      <w:r w:rsidRPr="00BD0381">
        <w:t>By implementing these enhancements, Gainwell:</w:t>
      </w:r>
      <w:r w:rsidR="00474A07" w:rsidRPr="00BD0381">
        <w:t xml:space="preserve"> </w:t>
      </w:r>
    </w:p>
    <w:p w14:paraId="1CE7F8BD" w14:textId="1FDE2F8A" w:rsidR="005E0179" w:rsidRDefault="005E0179" w:rsidP="00EE642B">
      <w:pPr>
        <w:pStyle w:val="CvrLtrBullet1Double"/>
      </w:pPr>
      <w:r>
        <w:rPr>
          <w:b/>
        </w:rPr>
        <w:t>Increase</w:t>
      </w:r>
      <w:r w:rsidR="00BD0381">
        <w:rPr>
          <w:b/>
        </w:rPr>
        <w:t>s</w:t>
      </w:r>
      <w:r>
        <w:rPr>
          <w:b/>
        </w:rPr>
        <w:t xml:space="preserve"> User Satisfaction</w:t>
      </w:r>
      <w:r>
        <w:t>: Deliver a product that better meets the needs and expectations of users</w:t>
      </w:r>
      <w:r w:rsidR="00C86032">
        <w:t xml:space="preserve"> increasing adoption and usage</w:t>
      </w:r>
      <w:r>
        <w:t>.</w:t>
      </w:r>
    </w:p>
    <w:p w14:paraId="0A3E3C1C" w14:textId="29D2889E" w:rsidR="005E0179" w:rsidRDefault="005E0179" w:rsidP="00EE642B">
      <w:pPr>
        <w:pStyle w:val="CvrLtrBullet1Double"/>
      </w:pPr>
      <w:r>
        <w:rPr>
          <w:b/>
        </w:rPr>
        <w:t>Improve</w:t>
      </w:r>
      <w:r w:rsidR="00BD0381">
        <w:rPr>
          <w:b/>
        </w:rPr>
        <w:t>s</w:t>
      </w:r>
      <w:r>
        <w:rPr>
          <w:b/>
        </w:rPr>
        <w:t xml:space="preserve"> Usability</w:t>
      </w:r>
      <w:r>
        <w:t>: Create a more intuitive and user-friendly interface.</w:t>
      </w:r>
    </w:p>
    <w:p w14:paraId="1094C2A9" w14:textId="0CCFE234" w:rsidR="005E0179" w:rsidRDefault="005E0179" w:rsidP="00EE642B">
      <w:pPr>
        <w:pStyle w:val="CvrLtrBullet1Double"/>
      </w:pPr>
      <w:r>
        <w:rPr>
          <w:b/>
        </w:rPr>
        <w:t>Enhance</w:t>
      </w:r>
      <w:r w:rsidR="00BD0381">
        <w:rPr>
          <w:b/>
        </w:rPr>
        <w:t>s</w:t>
      </w:r>
      <w:r>
        <w:rPr>
          <w:b/>
        </w:rPr>
        <w:t xml:space="preserve"> Engagement</w:t>
      </w:r>
      <w:r>
        <w:t>: Foster greater user and stakeholder engagement throughout the product lifecycle.</w:t>
      </w:r>
    </w:p>
    <w:p w14:paraId="35FC819F" w14:textId="1E259F56" w:rsidR="005E0179" w:rsidRDefault="0020773F" w:rsidP="00EE642B">
      <w:pPr>
        <w:pStyle w:val="CvrLtrBullet1Double"/>
      </w:pPr>
      <w:r>
        <w:rPr>
          <w:b/>
        </w:rPr>
        <w:t>Increase</w:t>
      </w:r>
      <w:r w:rsidR="00BD0381">
        <w:rPr>
          <w:b/>
        </w:rPr>
        <w:t>s</w:t>
      </w:r>
      <w:r w:rsidR="005E0179">
        <w:rPr>
          <w:b/>
        </w:rPr>
        <w:t xml:space="preserve"> Accessibility</w:t>
      </w:r>
      <w:r w:rsidR="005E0179">
        <w:t>: Provide an inclusive experience for all users, including those with disabilities.</w:t>
      </w:r>
    </w:p>
    <w:p w14:paraId="5E60F3A1" w14:textId="245E73CC" w:rsidR="003E1F12" w:rsidRDefault="003E1F12" w:rsidP="00EE642B">
      <w:pPr>
        <w:pStyle w:val="CvrLtrBullet1Double"/>
      </w:pPr>
      <w:r>
        <w:rPr>
          <w:b/>
        </w:rPr>
        <w:t>Reduce</w:t>
      </w:r>
      <w:r w:rsidR="00BD0381">
        <w:rPr>
          <w:b/>
        </w:rPr>
        <w:t>s</w:t>
      </w:r>
      <w:r>
        <w:rPr>
          <w:b/>
        </w:rPr>
        <w:t xml:space="preserve"> County Workload</w:t>
      </w:r>
      <w:r w:rsidRPr="003E1F12">
        <w:t>:</w:t>
      </w:r>
      <w:r>
        <w:t xml:space="preserve"> Increase BenefitsCal adoption and usage to reduce County office and contact center traffic</w:t>
      </w:r>
      <w:r w:rsidR="00007A3E">
        <w:t>.</w:t>
      </w:r>
    </w:p>
    <w:p w14:paraId="773F86E6" w14:textId="77412280" w:rsidR="0006168C" w:rsidRDefault="005E0179" w:rsidP="00EE642B">
      <w:pPr>
        <w:pStyle w:val="CvrLtrBullet1Double"/>
      </w:pPr>
      <w:r>
        <w:rPr>
          <w:b/>
        </w:rPr>
        <w:t>Drive</w:t>
      </w:r>
      <w:r w:rsidR="00BD0381">
        <w:rPr>
          <w:b/>
        </w:rPr>
        <w:t>s</w:t>
      </w:r>
      <w:r>
        <w:rPr>
          <w:b/>
        </w:rPr>
        <w:t xml:space="preserve"> Continuous Improvement</w:t>
      </w:r>
      <w:r>
        <w:t xml:space="preserve">: Establish a process for ongoing refinement and enhancement of the </w:t>
      </w:r>
      <w:r w:rsidR="0020773F">
        <w:t xml:space="preserve">BenefitsCal </w:t>
      </w:r>
      <w:r>
        <w:t>product based on user feedback and data insights.</w:t>
      </w:r>
      <w:r w:rsidR="002F0157">
        <w:t xml:space="preserve"> This process will result in better prioritization of enhancements and increased understanding of the information and training needs of users.</w:t>
      </w:r>
    </w:p>
    <w:p w14:paraId="0E4B4625" w14:textId="77777777" w:rsidR="007003FA" w:rsidRDefault="007003FA" w:rsidP="00EE642B">
      <w:pPr>
        <w:pStyle w:val="CvrLtrBullet1Double"/>
        <w:numPr>
          <w:ilvl w:val="0"/>
          <w:numId w:val="0"/>
        </w:numPr>
        <w:ind w:left="288"/>
      </w:pPr>
    </w:p>
    <w:p w14:paraId="2D64B2AE" w14:textId="77777777" w:rsidR="007003FA" w:rsidRDefault="007003FA" w:rsidP="00EE642B">
      <w:pPr>
        <w:pStyle w:val="CvrLtrBullet1Double"/>
        <w:numPr>
          <w:ilvl w:val="0"/>
          <w:numId w:val="0"/>
        </w:numPr>
        <w:ind w:left="288"/>
      </w:pPr>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1237A7" w14:paraId="412349C2" w14:textId="77777777" w:rsidTr="001237A7">
        <w:tc>
          <w:tcPr>
            <w:tcW w:w="9350" w:type="dxa"/>
            <w:shd w:val="clear" w:color="auto" w:fill="EBEDF5"/>
          </w:tcPr>
          <w:tbl>
            <w:tblPr>
              <w:tblW w:w="9072" w:type="dxa"/>
              <w:tblLook w:val="04A0" w:firstRow="1" w:lastRow="0" w:firstColumn="1" w:lastColumn="0" w:noHBand="0" w:noVBand="1"/>
            </w:tblPr>
            <w:tblGrid>
              <w:gridCol w:w="990"/>
              <w:gridCol w:w="8082"/>
            </w:tblGrid>
            <w:tr w:rsidR="001237A7" w:rsidRPr="00A7028F" w14:paraId="485CE8EA" w14:textId="77777777" w:rsidTr="00522DC0">
              <w:trPr>
                <w:trHeight w:val="300"/>
              </w:trPr>
              <w:tc>
                <w:tcPr>
                  <w:tcW w:w="990" w:type="dxa"/>
                  <w:shd w:val="clear" w:color="auto" w:fill="auto"/>
                  <w:noWrap/>
                </w:tcPr>
                <w:p w14:paraId="176C2E11" w14:textId="77777777" w:rsidR="001237A7" w:rsidRPr="00A7028F" w:rsidRDefault="001237A7" w:rsidP="00522DC0">
                  <w:pPr>
                    <w:pStyle w:val="ReqNo"/>
                    <w:framePr w:wrap="around"/>
                  </w:pPr>
                </w:p>
              </w:tc>
              <w:tc>
                <w:tcPr>
                  <w:tcW w:w="8082" w:type="dxa"/>
                  <w:shd w:val="clear" w:color="auto" w:fill="auto"/>
                </w:tcPr>
                <w:p w14:paraId="2C2FFF2B" w14:textId="77777777" w:rsidR="001237A7" w:rsidRPr="00A7028F" w:rsidRDefault="001237A7" w:rsidP="00522DC0">
                  <w:pPr>
                    <w:pStyle w:val="BodyText0"/>
                    <w:framePr w:wrap="around"/>
                    <w:rPr>
                      <w:rFonts w:eastAsia="Century Gothic" w:cs="Century Gothic"/>
                    </w:rPr>
                  </w:pPr>
                  <w:r>
                    <w:t xml:space="preserve">Describe your approach to strengthening security measures associated with the application prior to release, including the CI/CD process, proactive security controls and testing. </w:t>
                  </w:r>
                </w:p>
              </w:tc>
            </w:tr>
          </w:tbl>
          <w:p w14:paraId="7DEB2625" w14:textId="77777777" w:rsidR="001237A7" w:rsidRDefault="001237A7" w:rsidP="00B75D08">
            <w:pPr>
              <w:pStyle w:val="BodyText0"/>
              <w:keepNext/>
              <w:keepLines/>
              <w:framePr w:hSpace="0" w:wrap="auto" w:vAnchor="margin" w:yAlign="inline"/>
              <w:suppressOverlap w:val="0"/>
            </w:pPr>
          </w:p>
        </w:tc>
      </w:tr>
    </w:tbl>
    <w:p w14:paraId="6F44BE5B" w14:textId="4CAE53C0" w:rsidR="00942149" w:rsidRDefault="004E78F0" w:rsidP="00942149">
      <w:pPr>
        <w:pStyle w:val="BodyText"/>
      </w:pPr>
      <w:r>
        <w:t xml:space="preserve">In support of moving to consistent processes across the CalSAWS multi-vendor environment, our Security Manager coordinates </w:t>
      </w:r>
      <w:r w:rsidR="00942149">
        <w:t>with the Consortium security team and Infrastructure</w:t>
      </w:r>
      <w:r w:rsidR="00CE037C">
        <w:t xml:space="preserve"> and M&amp;E</w:t>
      </w:r>
      <w:r w:rsidR="00942149">
        <w:t xml:space="preserve"> </w:t>
      </w:r>
      <w:r w:rsidR="00085F1F">
        <w:t>co</w:t>
      </w:r>
      <w:r w:rsidR="00942149" w:rsidRPr="00952B20">
        <w:t>ntractor</w:t>
      </w:r>
      <w:r w:rsidR="00CE037C">
        <w:t>s</w:t>
      </w:r>
      <w:r w:rsidR="00982F4F">
        <w:t xml:space="preserve"> to</w:t>
      </w:r>
      <w:r w:rsidR="00CE037C">
        <w:rPr>
          <w:bCs/>
        </w:rPr>
        <w:t xml:space="preserve"> </w:t>
      </w:r>
      <w:r w:rsidR="00942149" w:rsidRPr="00AA44DB">
        <w:t>provide a forward-looking security roadmap, including improvement recommendations mapped to security functional domains.</w:t>
      </w:r>
      <w:r w:rsidR="00942149">
        <w:t xml:space="preserve"> We anticipate that some recommended Application Security (AppSec) improvements on the roadmap will relate to:</w:t>
      </w:r>
    </w:p>
    <w:p w14:paraId="455256D0" w14:textId="77777777" w:rsidR="00942149" w:rsidRPr="00503C78" w:rsidRDefault="00942149" w:rsidP="00EE642B">
      <w:pPr>
        <w:pStyle w:val="CvrLtrBullet1Double"/>
      </w:pPr>
      <w:r w:rsidRPr="00364D4C">
        <w:t>A</w:t>
      </w:r>
      <w:r w:rsidRPr="00503C78">
        <w:t>pp</w:t>
      </w:r>
      <w:r w:rsidRPr="00364D4C">
        <w:t>lication</w:t>
      </w:r>
      <w:r w:rsidRPr="00503C78">
        <w:t xml:space="preserve"> security testing orchestration</w:t>
      </w:r>
    </w:p>
    <w:p w14:paraId="02D94BB9" w14:textId="77777777" w:rsidR="00942149" w:rsidRPr="00503C78" w:rsidRDefault="00942149" w:rsidP="00EE642B">
      <w:pPr>
        <w:pStyle w:val="CvrLtrBullet1Double"/>
      </w:pPr>
      <w:r w:rsidRPr="00364D4C">
        <w:t>T</w:t>
      </w:r>
      <w:r w:rsidRPr="00503C78">
        <w:t>est coverage analyzers</w:t>
      </w:r>
    </w:p>
    <w:p w14:paraId="653AA9BC" w14:textId="77777777" w:rsidR="00942149" w:rsidRPr="00364D4C" w:rsidRDefault="00942149" w:rsidP="00EE642B">
      <w:pPr>
        <w:pStyle w:val="CvrLtrBullet1Double"/>
      </w:pPr>
      <w:r w:rsidRPr="00364D4C">
        <w:t>Software</w:t>
      </w:r>
      <w:r w:rsidRPr="00503C78">
        <w:t xml:space="preserve"> composition analysis, which is strong in finding vulnerabilities in common and open</w:t>
      </w:r>
      <w:r w:rsidRPr="00952B20">
        <w:t>-</w:t>
      </w:r>
      <w:r w:rsidRPr="00503C78">
        <w:t>source components</w:t>
      </w:r>
    </w:p>
    <w:p w14:paraId="168E6D9D" w14:textId="6BDEA1F6" w:rsidR="00942149" w:rsidRDefault="00527081" w:rsidP="00942149">
      <w:pPr>
        <w:pStyle w:val="BodyText"/>
      </w:pPr>
      <w:r>
        <w:t>Our Security Manager</w:t>
      </w:r>
      <w:r w:rsidR="00942149" w:rsidRPr="00AA44DB">
        <w:t xml:space="preserve"> </w:t>
      </w:r>
      <w:r w:rsidR="00942149">
        <w:t>is</w:t>
      </w:r>
      <w:r w:rsidR="00942149" w:rsidRPr="00AA44DB">
        <w:t xml:space="preserve"> also</w:t>
      </w:r>
      <w:r w:rsidR="00942149">
        <w:t xml:space="preserve"> responsible for implementing </w:t>
      </w:r>
      <w:r w:rsidR="00942149" w:rsidRPr="00A7028F">
        <w:t>continuous improvement and continuous auditing across security operational activities</w:t>
      </w:r>
      <w:r w:rsidR="00942149">
        <w:t xml:space="preserve"> while seeking to minimize data and privacy risk. </w:t>
      </w:r>
    </w:p>
    <w:p w14:paraId="710FE21F" w14:textId="702152AF" w:rsidR="00942149" w:rsidRDefault="00942149" w:rsidP="00942149">
      <w:pPr>
        <w:pStyle w:val="BodyText"/>
      </w:pPr>
      <w:r>
        <w:t>As part of our response to application/architecture evolution, we identif</w:t>
      </w:r>
      <w:r w:rsidR="0094063C">
        <w:t>y</w:t>
      </w:r>
      <w:r>
        <w:t xml:space="preserve"> several areas of process change and improvement that will be proven out by our </w:t>
      </w:r>
      <w:r w:rsidR="0094063C">
        <w:t>Product</w:t>
      </w:r>
      <w:r>
        <w:t xml:space="preserve"> Team. The </w:t>
      </w:r>
      <w:r w:rsidR="0094063C">
        <w:t>Product</w:t>
      </w:r>
      <w:r>
        <w:t xml:space="preserve"> Team coordinates with our Security Manager, Enterprise Architect, and the Consortium security team to verify that security has been integrated into our processes and system changes before they are rolled out to the larger organization. Specifically, we propose enhancement of the CalSAWS security posture through the items listed in </w:t>
      </w:r>
      <w:r w:rsidR="004E78F0">
        <w:t>the table below</w:t>
      </w:r>
      <w:r>
        <w:t>.</w:t>
      </w:r>
    </w:p>
    <w:p w14:paraId="0962A10C" w14:textId="77777777" w:rsidR="00942149" w:rsidRPr="007E3246" w:rsidRDefault="00942149" w:rsidP="007E3246">
      <w:pPr>
        <w:pStyle w:val="TableCaptionAuto"/>
      </w:pPr>
      <w:bookmarkStart w:id="62" w:name="_Ref122510352"/>
      <w:bookmarkStart w:id="63" w:name="_Toc123585867"/>
      <w:bookmarkStart w:id="64" w:name="_Toc123721774"/>
      <w:bookmarkStart w:id="65" w:name="_Toc172704191"/>
      <w:bookmarkStart w:id="66" w:name="_Toc173187553"/>
      <w:r w:rsidRPr="007E3246">
        <w:t>Improving Security Through Our Approach</w:t>
      </w:r>
      <w:bookmarkEnd w:id="62"/>
      <w:bookmarkEnd w:id="63"/>
      <w:bookmarkEnd w:id="64"/>
      <w:bookmarkEnd w:id="65"/>
      <w:bookmarkEnd w:id="66"/>
    </w:p>
    <w:tbl>
      <w:tblPr>
        <w:tblStyle w:val="GridTable4-Accent1"/>
        <w:tblW w:w="0" w:type="auto"/>
        <w:tblBorders>
          <w:top w:val="none" w:sz="0" w:space="0" w:color="auto"/>
          <w:left w:val="none" w:sz="0" w:space="0" w:color="auto"/>
          <w:bottom w:val="single" w:sz="4" w:space="0" w:color="2B3A44"/>
          <w:right w:val="none" w:sz="0" w:space="0" w:color="auto"/>
          <w:insideH w:val="single" w:sz="4" w:space="0" w:color="2B3A44"/>
          <w:insideV w:val="none" w:sz="0" w:space="0" w:color="auto"/>
        </w:tblBorders>
        <w:tblLayout w:type="fixed"/>
        <w:tblCellMar>
          <w:top w:w="57" w:type="dxa"/>
        </w:tblCellMar>
        <w:tblLook w:val="04A0" w:firstRow="1" w:lastRow="0" w:firstColumn="1" w:lastColumn="0" w:noHBand="0" w:noVBand="1"/>
      </w:tblPr>
      <w:tblGrid>
        <w:gridCol w:w="1872"/>
        <w:gridCol w:w="7488"/>
      </w:tblGrid>
      <w:tr w:rsidR="00942149" w14:paraId="4104287E" w14:textId="77777777" w:rsidTr="0082211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72" w:type="dxa"/>
            <w:tcBorders>
              <w:top w:val="single" w:sz="8" w:space="0" w:color="7030A0"/>
              <w:left w:val="nil"/>
              <w:bottom w:val="single" w:sz="8" w:space="0" w:color="7030A0"/>
            </w:tcBorders>
            <w:shd w:val="clear" w:color="auto" w:fill="EFE5F7"/>
          </w:tcPr>
          <w:p w14:paraId="27C8FE7C" w14:textId="77777777" w:rsidR="00942149" w:rsidRPr="00946707" w:rsidRDefault="00942149" w:rsidP="00822115">
            <w:pPr>
              <w:pStyle w:val="TableHeading10"/>
              <w:rPr>
                <w:b/>
                <w:bCs w:val="0"/>
              </w:rPr>
            </w:pPr>
            <w:r>
              <w:rPr>
                <w:b/>
                <w:bCs w:val="0"/>
              </w:rPr>
              <w:t>Approach Area</w:t>
            </w:r>
          </w:p>
        </w:tc>
        <w:tc>
          <w:tcPr>
            <w:tcW w:w="7488" w:type="dxa"/>
            <w:tcBorders>
              <w:top w:val="single" w:sz="8" w:space="0" w:color="7030A0"/>
              <w:bottom w:val="single" w:sz="8" w:space="0" w:color="7030A0"/>
              <w:right w:val="nil"/>
            </w:tcBorders>
            <w:shd w:val="clear" w:color="auto" w:fill="EFE5F7"/>
          </w:tcPr>
          <w:p w14:paraId="64D7AC91" w14:textId="77777777" w:rsidR="00942149" w:rsidRPr="00946707" w:rsidRDefault="00942149" w:rsidP="00822115">
            <w:pPr>
              <w:pStyle w:val="TableHeading10"/>
              <w:cnfStyle w:val="100000000000" w:firstRow="1" w:lastRow="0" w:firstColumn="0" w:lastColumn="0" w:oddVBand="0" w:evenVBand="0" w:oddHBand="0" w:evenHBand="0" w:firstRowFirstColumn="0" w:firstRowLastColumn="0" w:lastRowFirstColumn="0" w:lastRowLastColumn="0"/>
              <w:rPr>
                <w:b/>
                <w:bCs w:val="0"/>
              </w:rPr>
            </w:pPr>
            <w:r>
              <w:rPr>
                <w:b/>
                <w:bCs w:val="0"/>
              </w:rPr>
              <w:t>Improving Security</w:t>
            </w:r>
          </w:p>
        </w:tc>
      </w:tr>
      <w:tr w:rsidR="00942149" w14:paraId="52D81C8B" w14:textId="77777777" w:rsidTr="00822115">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1872" w:type="dxa"/>
            <w:tcBorders>
              <w:top w:val="single" w:sz="8" w:space="0" w:color="7030A0"/>
            </w:tcBorders>
            <w:shd w:val="clear" w:color="auto" w:fill="auto"/>
          </w:tcPr>
          <w:p w14:paraId="5792403D" w14:textId="77777777" w:rsidR="00942149" w:rsidRPr="002452BA" w:rsidRDefault="00942149" w:rsidP="00822115">
            <w:pPr>
              <w:pStyle w:val="TableText10Double"/>
              <w:rPr>
                <w:b w:val="0"/>
                <w:color w:val="0E2841" w:themeColor="text2"/>
              </w:rPr>
            </w:pPr>
            <w:r>
              <w:t>Software Development Lifecycle</w:t>
            </w:r>
          </w:p>
        </w:tc>
        <w:tc>
          <w:tcPr>
            <w:tcW w:w="7488" w:type="dxa"/>
            <w:tcBorders>
              <w:top w:val="single" w:sz="8" w:space="0" w:color="7030A0"/>
            </w:tcBorders>
            <w:shd w:val="clear" w:color="auto" w:fill="auto"/>
          </w:tcPr>
          <w:p w14:paraId="20B75587" w14:textId="77777777" w:rsidR="00942149" w:rsidRDefault="00942149" w:rsidP="00822115">
            <w:pPr>
              <w:pStyle w:val="TableText10Bullet1Double"/>
              <w:cnfStyle w:val="000000100000" w:firstRow="0" w:lastRow="0" w:firstColumn="0" w:lastColumn="0" w:oddVBand="0" w:evenVBand="0" w:oddHBand="1" w:evenHBand="0" w:firstRowFirstColumn="0" w:firstRowLastColumn="0" w:lastRowFirstColumn="0" w:lastRowLastColumn="0"/>
            </w:pPr>
            <w:r>
              <w:t>Include security in Agile Program Increment planning</w:t>
            </w:r>
          </w:p>
          <w:p w14:paraId="3458EF11" w14:textId="77777777" w:rsidR="00942149" w:rsidRPr="00035FD7" w:rsidRDefault="00942149" w:rsidP="00822115">
            <w:pPr>
              <w:pStyle w:val="TableText10Bullet1Double"/>
              <w:cnfStyle w:val="000000100000" w:firstRow="0" w:lastRow="0" w:firstColumn="0" w:lastColumn="0" w:oddVBand="0" w:evenVBand="0" w:oddHBand="1" w:evenHBand="0" w:firstRowFirstColumn="0" w:firstRowLastColumn="0" w:lastRowFirstColumn="0" w:lastRowLastColumn="0"/>
            </w:pPr>
            <w:r>
              <w:t>Continue use of the Fortify tool for Static Application Security Testing (SAST) and introduce/expand Dynamic Application Security Testing (DAST)</w:t>
            </w:r>
          </w:p>
        </w:tc>
      </w:tr>
      <w:tr w:rsidR="00942149" w14:paraId="6D8BC6BE" w14:textId="77777777" w:rsidTr="00822115">
        <w:tc>
          <w:tcPr>
            <w:cnfStyle w:val="001000000000" w:firstRow="0" w:lastRow="0" w:firstColumn="1" w:lastColumn="0" w:oddVBand="0" w:evenVBand="0" w:oddHBand="0" w:evenHBand="0" w:firstRowFirstColumn="0" w:firstRowLastColumn="0" w:lastRowFirstColumn="0" w:lastRowLastColumn="0"/>
            <w:tcW w:w="1872" w:type="dxa"/>
            <w:shd w:val="clear" w:color="auto" w:fill="auto"/>
          </w:tcPr>
          <w:p w14:paraId="47CBD145" w14:textId="77777777" w:rsidR="00942149" w:rsidRPr="002452BA" w:rsidRDefault="00942149" w:rsidP="00822115">
            <w:pPr>
              <w:pStyle w:val="TableText10Double"/>
              <w:rPr>
                <w:b w:val="0"/>
                <w:bCs w:val="0"/>
              </w:rPr>
            </w:pPr>
            <w:r>
              <w:t>DevSecOps</w:t>
            </w:r>
          </w:p>
        </w:tc>
        <w:tc>
          <w:tcPr>
            <w:tcW w:w="7488" w:type="dxa"/>
            <w:shd w:val="clear" w:color="auto" w:fill="auto"/>
          </w:tcPr>
          <w:p w14:paraId="7128168F" w14:textId="77777777" w:rsidR="00942149" w:rsidRDefault="00942149" w:rsidP="00822115">
            <w:pPr>
              <w:pStyle w:val="TableText10Bullet1Double"/>
              <w:cnfStyle w:val="000000000000" w:firstRow="0" w:lastRow="0" w:firstColumn="0" w:lastColumn="0" w:oddVBand="0" w:evenVBand="0" w:oddHBand="0" w:evenHBand="0" w:firstRowFirstColumn="0" w:firstRowLastColumn="0" w:lastRowFirstColumn="0" w:lastRowLastColumn="0"/>
            </w:pPr>
            <w:r w:rsidRPr="002452BA">
              <w:t>Matur</w:t>
            </w:r>
            <w:r>
              <w:t>e</w:t>
            </w:r>
            <w:r w:rsidRPr="002452BA">
              <w:t xml:space="preserve"> and expand use of DevSecOps</w:t>
            </w:r>
            <w:r>
              <w:t>, incorporating security monitoring and controls in the development and operations processes</w:t>
            </w:r>
          </w:p>
          <w:p w14:paraId="29F66BA1" w14:textId="496E0427" w:rsidR="00942149" w:rsidRPr="00035FD7" w:rsidRDefault="00942149" w:rsidP="00822115">
            <w:pPr>
              <w:pStyle w:val="TableText10Bullet1Double"/>
              <w:cnfStyle w:val="000000000000" w:firstRow="0" w:lastRow="0" w:firstColumn="0" w:lastColumn="0" w:oddVBand="0" w:evenVBand="0" w:oddHBand="0" w:evenHBand="0" w:firstRowFirstColumn="0" w:firstRowLastColumn="0" w:lastRowFirstColumn="0" w:lastRowLastColumn="0"/>
            </w:pPr>
            <w:r w:rsidRPr="002452BA">
              <w:t xml:space="preserve">Expand use of Infrastructure as Code </w:t>
            </w:r>
          </w:p>
        </w:tc>
      </w:tr>
      <w:tr w:rsidR="00942149" w14:paraId="792DB88B" w14:textId="77777777" w:rsidTr="008221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shd w:val="clear" w:color="auto" w:fill="auto"/>
          </w:tcPr>
          <w:p w14:paraId="26545D43" w14:textId="77777777" w:rsidR="00942149" w:rsidRPr="002452BA" w:rsidRDefault="00942149" w:rsidP="00822115">
            <w:pPr>
              <w:pStyle w:val="TableText10Double"/>
              <w:rPr>
                <w:b w:val="0"/>
                <w:bCs w:val="0"/>
              </w:rPr>
            </w:pPr>
            <w:r>
              <w:t>Testing</w:t>
            </w:r>
            <w:r>
              <w:rPr>
                <w:b w:val="0"/>
                <w:bCs w:val="0"/>
              </w:rPr>
              <w:t xml:space="preserve"> </w:t>
            </w:r>
          </w:p>
        </w:tc>
        <w:tc>
          <w:tcPr>
            <w:tcW w:w="7488" w:type="dxa"/>
            <w:shd w:val="clear" w:color="auto" w:fill="auto"/>
          </w:tcPr>
          <w:p w14:paraId="0D8A9F19" w14:textId="77777777" w:rsidR="00942149" w:rsidRDefault="00942149" w:rsidP="00822115">
            <w:pPr>
              <w:pStyle w:val="TableText10Bullet1Double"/>
              <w:cnfStyle w:val="000000100000" w:firstRow="0" w:lastRow="0" w:firstColumn="0" w:lastColumn="0" w:oddVBand="0" w:evenVBand="0" w:oddHBand="1" w:evenHBand="0" w:firstRowFirstColumn="0" w:firstRowLastColumn="0" w:lastRowFirstColumn="0" w:lastRowLastColumn="0"/>
            </w:pPr>
            <w:r w:rsidRPr="002452BA">
              <w:t>Enhanc</w:t>
            </w:r>
            <w:r>
              <w:t>e</w:t>
            </w:r>
            <w:r w:rsidRPr="002452BA">
              <w:t xml:space="preserve"> and expand automated testing</w:t>
            </w:r>
            <w:r>
              <w:t>,</w:t>
            </w:r>
            <w:r w:rsidRPr="002452BA">
              <w:t xml:space="preserve"> including continuous testing augmented by Artificial Intelligence/Machine Learning (AI/ML)</w:t>
            </w:r>
          </w:p>
          <w:p w14:paraId="1A0627B3" w14:textId="77777777" w:rsidR="00942149" w:rsidRPr="00035FD7" w:rsidRDefault="00942149" w:rsidP="00822115">
            <w:pPr>
              <w:pStyle w:val="TableText10Bullet1Double"/>
              <w:cnfStyle w:val="000000100000" w:firstRow="0" w:lastRow="0" w:firstColumn="0" w:lastColumn="0" w:oddVBand="0" w:evenVBand="0" w:oddHBand="1" w:evenHBand="0" w:firstRowFirstColumn="0" w:firstRowLastColumn="0" w:lastRowFirstColumn="0" w:lastRowLastColumn="0"/>
            </w:pPr>
            <w:r w:rsidRPr="002452BA">
              <w:t>Expand application security testing automation</w:t>
            </w:r>
          </w:p>
        </w:tc>
      </w:tr>
    </w:tbl>
    <w:p w14:paraId="6A0DA760" w14:textId="77777777" w:rsidR="00942149" w:rsidRDefault="00942149" w:rsidP="00942149">
      <w:pPr>
        <w:pStyle w:val="TableText9Single"/>
      </w:pPr>
    </w:p>
    <w:p w14:paraId="28DB09E2" w14:textId="77777777" w:rsidR="00942149" w:rsidRDefault="00942149" w:rsidP="00942149">
      <w:pPr>
        <w:pStyle w:val="BodyText"/>
      </w:pPr>
      <w:r>
        <w:t>Additionally,</w:t>
      </w:r>
      <w:r w:rsidDel="00602DAE">
        <w:t xml:space="preserve"> </w:t>
      </w:r>
      <w:r>
        <w:t xml:space="preserve">our team of account security officers/account privacy officers brings proven best practices for training and for policies and procedures that support project teams in protecting the privacy of personally identifiable information (PII) and meet </w:t>
      </w:r>
      <w:r>
        <w:lastRenderedPageBreak/>
        <w:t>HIPAA requirements in our systems and our operations. Our mandatory security and privacy training for all Gainwell employees is in addition to the annual CalSAWS security training.</w:t>
      </w:r>
    </w:p>
    <w:p w14:paraId="380106C5" w14:textId="413476A1" w:rsidR="00907F27" w:rsidRPr="003926B1" w:rsidRDefault="00907F27" w:rsidP="00907F27">
      <w:pPr>
        <w:pStyle w:val="BodyText"/>
      </w:pPr>
      <w:r>
        <w:t>As previously described, our approach includes many of the features that are main components of DevOps. We also incorporate security into our DevOps model to further the strategy toward Development/Security/Operations (DevSecOps).</w:t>
      </w:r>
    </w:p>
    <w:p w14:paraId="60606CF4" w14:textId="0C9116FB" w:rsidR="009403D2" w:rsidRDefault="009403D2" w:rsidP="009403D2">
      <w:pPr>
        <w:pStyle w:val="HeadingManual3"/>
      </w:pPr>
      <w:bookmarkStart w:id="67" w:name="_Toc173187486"/>
      <w:r>
        <w:t>4.2.4</w:t>
      </w:r>
      <w:r>
        <w:tab/>
        <w:t>DevSecOps</w:t>
      </w:r>
      <w:bookmarkEnd w:id="67"/>
    </w:p>
    <w:p w14:paraId="740B0C2A" w14:textId="77777777" w:rsidR="00907F27" w:rsidRDefault="00907F27" w:rsidP="00907F27">
      <w:pPr>
        <w:pStyle w:val="BodyText"/>
        <w:keepNext/>
      </w:pPr>
      <w:r>
        <w:t>The expansion of the DevSecOps model is designed to achieve the benefits of:</w:t>
      </w:r>
    </w:p>
    <w:p w14:paraId="66DE8C7C" w14:textId="77777777" w:rsidR="00907F27" w:rsidRDefault="00907F27" w:rsidP="00EE642B">
      <w:pPr>
        <w:pStyle w:val="CvrLtrBullet1Double"/>
      </w:pPr>
      <w:r w:rsidRPr="003D2868">
        <w:rPr>
          <w:b/>
        </w:rPr>
        <w:t>Speed</w:t>
      </w:r>
      <w:r>
        <w:rPr>
          <w:b/>
        </w:rPr>
        <w:t>.</w:t>
      </w:r>
      <w:r>
        <w:t xml:space="preserve"> We change and innovate faster using techniques such as microservices and increase the frequency and/or pace of releases through continuous integration and continuous delivery to automate the software release process.</w:t>
      </w:r>
    </w:p>
    <w:p w14:paraId="02C05A2D" w14:textId="77777777" w:rsidR="00907F27" w:rsidRDefault="00907F27" w:rsidP="00EE642B">
      <w:pPr>
        <w:pStyle w:val="CvrLtrBullet1Double"/>
      </w:pPr>
      <w:r w:rsidRPr="003D2868">
        <w:rPr>
          <w:b/>
        </w:rPr>
        <w:t>Reliability</w:t>
      </w:r>
      <w:r>
        <w:rPr>
          <w:b/>
        </w:rPr>
        <w:t>.</w:t>
      </w:r>
      <w:r>
        <w:t xml:space="preserve"> We verify the quality of application changes through automated testing in the continuous integration/continuous delivery process.</w:t>
      </w:r>
    </w:p>
    <w:p w14:paraId="28501DC2" w14:textId="77777777" w:rsidR="00907F27" w:rsidRDefault="00907F27" w:rsidP="00EE642B">
      <w:pPr>
        <w:pStyle w:val="CvrLtrBullet1Double"/>
      </w:pPr>
      <w:r w:rsidRPr="003D2868">
        <w:rPr>
          <w:b/>
        </w:rPr>
        <w:t>Scale</w:t>
      </w:r>
      <w:r>
        <w:t xml:space="preserve">. We operate development processes at scale, through automation including infrastructure as code, in collaboration with the Infrastructure </w:t>
      </w:r>
      <w:r w:rsidRPr="00952B20">
        <w:t>Contractor</w:t>
      </w:r>
      <w:r>
        <w:t xml:space="preserve"> to manage environments in a repeatable manner.</w:t>
      </w:r>
    </w:p>
    <w:p w14:paraId="249251CE" w14:textId="77777777" w:rsidR="00907F27" w:rsidRDefault="00907F27" w:rsidP="00EE642B">
      <w:pPr>
        <w:pStyle w:val="CvrLtrBullet1Double"/>
      </w:pPr>
      <w:r w:rsidRPr="003D2868">
        <w:rPr>
          <w:b/>
        </w:rPr>
        <w:t>Security</w:t>
      </w:r>
      <w:r>
        <w:rPr>
          <w:b/>
        </w:rPr>
        <w:t>.</w:t>
      </w:r>
      <w:r>
        <w:t xml:space="preserve"> We introduce/enhance automated compliance policies, fine-grained controls, and increased configuration management through techniques such as infrastructure as code.</w:t>
      </w:r>
    </w:p>
    <w:p w14:paraId="1C590A67" w14:textId="77777777" w:rsidR="00907F27" w:rsidRDefault="00907F27" w:rsidP="00907F27">
      <w:pPr>
        <w:spacing w:line="0" w:lineRule="auto"/>
        <w:rPr>
          <w:rFonts w:ascii="Helvetica" w:hAnsi="Helvetica"/>
          <w:color w:val="333333"/>
          <w:sz w:val="21"/>
          <w:szCs w:val="21"/>
        </w:rPr>
      </w:pPr>
    </w:p>
    <w:p w14:paraId="1EF0DE99" w14:textId="77777777" w:rsidR="00907F27" w:rsidRDefault="00907F27" w:rsidP="00907F27">
      <w:pPr>
        <w:spacing w:line="0" w:lineRule="auto"/>
        <w:rPr>
          <w:rFonts w:ascii="Helvetica" w:hAnsi="Helvetica"/>
          <w:color w:val="333333"/>
          <w:sz w:val="21"/>
          <w:szCs w:val="21"/>
        </w:rPr>
      </w:pPr>
    </w:p>
    <w:p w14:paraId="19984A82" w14:textId="77777777" w:rsidR="00907F27" w:rsidRDefault="00907F27" w:rsidP="00907F27">
      <w:pPr>
        <w:spacing w:line="0" w:lineRule="auto"/>
        <w:rPr>
          <w:rFonts w:ascii="Helvetica" w:hAnsi="Helvetica"/>
          <w:color w:val="333333"/>
          <w:sz w:val="21"/>
          <w:szCs w:val="21"/>
        </w:rPr>
      </w:pPr>
    </w:p>
    <w:p w14:paraId="026F162D" w14:textId="77777777" w:rsidR="00907F27" w:rsidRDefault="00907F27" w:rsidP="00907F27">
      <w:pPr>
        <w:spacing w:line="0" w:lineRule="auto"/>
        <w:rPr>
          <w:rFonts w:ascii="Helvetica" w:hAnsi="Helvetica"/>
          <w:color w:val="333333"/>
          <w:sz w:val="21"/>
          <w:szCs w:val="21"/>
        </w:rPr>
      </w:pPr>
    </w:p>
    <w:p w14:paraId="7AB2719E" w14:textId="77777777" w:rsidR="00907F27" w:rsidRDefault="00907F27" w:rsidP="00907F27">
      <w:pPr>
        <w:pStyle w:val="BodyText"/>
      </w:pPr>
      <w:r>
        <w:t xml:space="preserve">Enhancing the current DevOps and moving to DevSecOps </w:t>
      </w:r>
      <w:r w:rsidRPr="003D2868">
        <w:t xml:space="preserve">requires a change in culture and mindset. </w:t>
      </w:r>
      <w:r>
        <w:t>Barriers</w:t>
      </w:r>
      <w:r w:rsidRPr="003D2868">
        <w:t xml:space="preserve"> between </w:t>
      </w:r>
      <w:r>
        <w:t xml:space="preserve">application </w:t>
      </w:r>
      <w:r w:rsidRPr="003D2868">
        <w:t>development and operations</w:t>
      </w:r>
      <w:r>
        <w:t xml:space="preserve"> must be removed</w:t>
      </w:r>
      <w:r w:rsidRPr="003D2868">
        <w:t xml:space="preserve">. </w:t>
      </w:r>
      <w:r>
        <w:t>The expansion to DevSecOps requires that staff:</w:t>
      </w:r>
    </w:p>
    <w:p w14:paraId="2ABDC039" w14:textId="77777777" w:rsidR="00907F27" w:rsidRDefault="00907F27" w:rsidP="00EE642B">
      <w:pPr>
        <w:pStyle w:val="CvrLtrBullet1Double"/>
      </w:pPr>
      <w:r>
        <w:t>Communicate</w:t>
      </w:r>
      <w:r w:rsidRPr="003D2868">
        <w:t xml:space="preserve"> frequently</w:t>
      </w:r>
    </w:p>
    <w:p w14:paraId="4C8424FF" w14:textId="77777777" w:rsidR="00907F27" w:rsidRDefault="00907F27" w:rsidP="00EE642B">
      <w:pPr>
        <w:pStyle w:val="CvrLtrBullet1Double"/>
      </w:pPr>
      <w:r>
        <w:t xml:space="preserve">Take </w:t>
      </w:r>
      <w:r w:rsidRPr="003D2868">
        <w:t xml:space="preserve">full ownership for their services, thinking about the </w:t>
      </w:r>
      <w:r>
        <w:t>user’s</w:t>
      </w:r>
      <w:r w:rsidRPr="003D2868">
        <w:t xml:space="preserve"> need</w:t>
      </w:r>
      <w:r>
        <w:t>s</w:t>
      </w:r>
    </w:p>
    <w:p w14:paraId="048C1FC2" w14:textId="77777777" w:rsidR="00907F27" w:rsidRDefault="00907F27" w:rsidP="00EE642B">
      <w:pPr>
        <w:pStyle w:val="CvrLtrBullet1Double"/>
      </w:pPr>
      <w:r>
        <w:t>Tightly integrate q</w:t>
      </w:r>
      <w:r w:rsidRPr="003D2868">
        <w:t xml:space="preserve">uality assurance and security </w:t>
      </w:r>
    </w:p>
    <w:p w14:paraId="547D338D" w14:textId="70B73B11" w:rsidR="00907F27" w:rsidRDefault="00907F27" w:rsidP="00907F27">
      <w:pPr>
        <w:pStyle w:val="BodyText"/>
      </w:pPr>
      <w:r>
        <w:t xml:space="preserve">Our expansion of DevSecOps for </w:t>
      </w:r>
      <w:r w:rsidR="00D5035D">
        <w:t>BenefitsCal</w:t>
      </w:r>
      <w:r>
        <w:t xml:space="preserve"> is based on fundamental DevSecOps principles:</w:t>
      </w:r>
    </w:p>
    <w:p w14:paraId="622F8535" w14:textId="77777777" w:rsidR="00907F27" w:rsidRDefault="00907F27" w:rsidP="00EE642B">
      <w:pPr>
        <w:pStyle w:val="CvrLtrBullet1Double"/>
      </w:pPr>
      <w:r>
        <w:t xml:space="preserve">More frequent, but smaller software updates </w:t>
      </w:r>
    </w:p>
    <w:p w14:paraId="54162C0D" w14:textId="595FEE9A" w:rsidR="00907F27" w:rsidRDefault="00907F27" w:rsidP="00EE642B">
      <w:pPr>
        <w:pStyle w:val="CvrLtrBullet1Double"/>
      </w:pPr>
      <w:r>
        <w:t xml:space="preserve">Employing a microservices architecture to make the </w:t>
      </w:r>
      <w:r w:rsidR="00D5035D">
        <w:t>BenefitsCal</w:t>
      </w:r>
      <w:r>
        <w:t xml:space="preserve"> application more flexible </w:t>
      </w:r>
    </w:p>
    <w:p w14:paraId="5C6C6E6D" w14:textId="77777777" w:rsidR="00907F27" w:rsidRDefault="00907F27" w:rsidP="00EE642B">
      <w:pPr>
        <w:pStyle w:val="CvrLtrBullet1Double"/>
      </w:pPr>
      <w:r>
        <w:t>Enhancing the continuous integration and continuous delivery features of the deployment process to reduce the challenges associated with more frequent releases (as described in the Continuous Integration/Continuous Delivery subsection below)</w:t>
      </w:r>
    </w:p>
    <w:p w14:paraId="46D54368" w14:textId="79A05649" w:rsidR="00907F27" w:rsidRDefault="00907F27" w:rsidP="00EE642B">
      <w:pPr>
        <w:pStyle w:val="CvrLtrBullet1Double"/>
      </w:pPr>
      <w:r>
        <w:t xml:space="preserve">Deploying infrastructure automation practices such as infrastructure as code to increase responsiveness to environment requests </w:t>
      </w:r>
    </w:p>
    <w:p w14:paraId="7E87D7A0" w14:textId="77777777" w:rsidR="00907F27" w:rsidRDefault="00907F27" w:rsidP="00EE642B">
      <w:pPr>
        <w:pStyle w:val="CvrLtrBullet1Double"/>
      </w:pPr>
      <w:r>
        <w:lastRenderedPageBreak/>
        <w:t>Tightly coupling security practices such as continuous code scanning with the development process</w:t>
      </w:r>
    </w:p>
    <w:p w14:paraId="09CAD64C" w14:textId="0AF0CC31" w:rsidR="00D5035D" w:rsidRDefault="00D5035D" w:rsidP="00EE642B">
      <w:pPr>
        <w:pStyle w:val="CvrLtrBullet1Double"/>
      </w:pPr>
      <w:r>
        <w:t>Integrating the event monitoring into our Security and Event Monitoring solution following the CalSAWS established processes for security events</w:t>
      </w:r>
    </w:p>
    <w:p w14:paraId="6D126266" w14:textId="677DCDB5" w:rsidR="009403D2" w:rsidRDefault="009403D2" w:rsidP="009403D2">
      <w:pPr>
        <w:pStyle w:val="HeadingManual3"/>
      </w:pPr>
      <w:bookmarkStart w:id="68" w:name="_Toc173187487"/>
      <w:r>
        <w:t>4.2.4</w:t>
      </w:r>
      <w:r>
        <w:tab/>
      </w:r>
      <w:r w:rsidRPr="009403D2">
        <w:t>Continuous Integration/Continuous Delivery (CI/CD)</w:t>
      </w:r>
      <w:bookmarkEnd w:id="68"/>
    </w:p>
    <w:p w14:paraId="0023C7F9" w14:textId="4F82DA78" w:rsidR="00907F27" w:rsidRDefault="00907F27" w:rsidP="00907F27">
      <w:pPr>
        <w:pStyle w:val="BodyText"/>
      </w:pPr>
      <w:r>
        <w:t>Using c</w:t>
      </w:r>
      <w:r w:rsidRPr="003D2868">
        <w:t>ontinuous integration</w:t>
      </w:r>
      <w:r>
        <w:t xml:space="preserve">, </w:t>
      </w:r>
      <w:r w:rsidRPr="003D2868">
        <w:t xml:space="preserve">developers regularly merge their </w:t>
      </w:r>
      <w:r>
        <w:t xml:space="preserve">software </w:t>
      </w:r>
      <w:r w:rsidRPr="003D2868">
        <w:t xml:space="preserve">changes into a central repository, after which automated tests </w:t>
      </w:r>
      <w:r>
        <w:t>can be executed</w:t>
      </w:r>
      <w:r w:rsidRPr="003D2868">
        <w:t xml:space="preserve">. </w:t>
      </w:r>
      <w:r>
        <w:t xml:space="preserve">Continuous integration occurs to the point of packaging, which is where we will </w:t>
      </w:r>
      <w:r w:rsidR="00523437">
        <w:t>synchronize</w:t>
      </w:r>
      <w:r>
        <w:t xml:space="preserve"> </w:t>
      </w:r>
      <w:r w:rsidR="00247D7B">
        <w:t>the code into a single code base</w:t>
      </w:r>
      <w:r>
        <w:t>.</w:t>
      </w:r>
    </w:p>
    <w:p w14:paraId="77BB529A" w14:textId="33AF1068" w:rsidR="00907F27" w:rsidRPr="001106E6" w:rsidRDefault="00907F27" w:rsidP="00907F27">
      <w:pPr>
        <w:pStyle w:val="BodyText"/>
      </w:pPr>
      <w:r>
        <w:t>C</w:t>
      </w:r>
      <w:r w:rsidRPr="003D2868">
        <w:t xml:space="preserve">ontinuous delivery expands on continuous integration by deploying </w:t>
      </w:r>
      <w:r>
        <w:t>software</w:t>
      </w:r>
      <w:r w:rsidRPr="003D2868">
        <w:t xml:space="preserve"> changes to a testing environment and</w:t>
      </w:r>
      <w:r>
        <w:t xml:space="preserve"> subsequently</w:t>
      </w:r>
      <w:r w:rsidRPr="003D2868">
        <w:t xml:space="preserve"> </w:t>
      </w:r>
      <w:r>
        <w:t>the</w:t>
      </w:r>
      <w:r w:rsidRPr="003D2868">
        <w:t xml:space="preserve"> production environment after the build stage. </w:t>
      </w:r>
      <w:r>
        <w:t>These concepts support our software lifecycle methodology</w:t>
      </w:r>
      <w:r w:rsidR="00BF13B4">
        <w:t xml:space="preserve">. </w:t>
      </w:r>
      <w:r w:rsidR="00247D7B">
        <w:t>The figure below</w:t>
      </w:r>
      <w:r>
        <w:t xml:space="preserve"> illustrates the interaction of </w:t>
      </w:r>
      <w:r w:rsidR="00BF13B4">
        <w:t xml:space="preserve">our Agile methodology </w:t>
      </w:r>
      <w:r>
        <w:t>with configuration management and DevSecOps.</w:t>
      </w:r>
    </w:p>
    <w:p w14:paraId="2D239B5D" w14:textId="77777777" w:rsidR="00227964" w:rsidRPr="00EC3388" w:rsidRDefault="00227964" w:rsidP="004339C5">
      <w:pPr>
        <w:pStyle w:val="FigureCaptionAuto"/>
      </w:pPr>
      <w:bookmarkStart w:id="69" w:name="_Toc173187527"/>
      <w:r>
        <w:t>Interaction of Agile with Configuration Management and DevSecOps</w:t>
      </w:r>
      <w:bookmarkEnd w:id="69"/>
    </w:p>
    <w:p w14:paraId="4BF74CA1" w14:textId="1CCF4CF8" w:rsidR="00907F27" w:rsidRDefault="00821EC6" w:rsidP="00907F27">
      <w:pPr>
        <w:pStyle w:val="BodyText"/>
      </w:pPr>
      <w:r>
        <w:rPr>
          <w:noProof/>
        </w:rPr>
        <w:drawing>
          <wp:inline distT="0" distB="0" distL="0" distR="0" wp14:anchorId="51DB4663" wp14:editId="65070345">
            <wp:extent cx="6019660" cy="3086873"/>
            <wp:effectExtent l="0" t="0" r="635" b="0"/>
            <wp:docPr id="2915126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45792" cy="3100274"/>
                    </a:xfrm>
                    <a:prstGeom prst="rect">
                      <a:avLst/>
                    </a:prstGeom>
                    <a:noFill/>
                  </pic:spPr>
                </pic:pic>
              </a:graphicData>
            </a:graphic>
          </wp:inline>
        </w:drawing>
      </w:r>
    </w:p>
    <w:p w14:paraId="69439F3E" w14:textId="1D63B8EB" w:rsidR="00907F27" w:rsidRDefault="00907F27" w:rsidP="00907F27">
      <w:pPr>
        <w:pStyle w:val="BodyText"/>
      </w:pPr>
      <w:r w:rsidRPr="003D2868">
        <w:t xml:space="preserve">With continuous integration, developers frequently commit </w:t>
      </w:r>
      <w:r>
        <w:t>software code to the</w:t>
      </w:r>
      <w:r w:rsidRPr="003D2868">
        <w:t xml:space="preserve"> </w:t>
      </w:r>
      <w:r>
        <w:t xml:space="preserve">code </w:t>
      </w:r>
      <w:r w:rsidRPr="003D2868">
        <w:t>repository</w:t>
      </w:r>
      <w:r>
        <w:t>,</w:t>
      </w:r>
      <w:r w:rsidRPr="003D2868">
        <w:t xml:space="preserve"> using a version control </w:t>
      </w:r>
      <w:r w:rsidRPr="00822B91">
        <w:t xml:space="preserve">system </w:t>
      </w:r>
      <w:r w:rsidRPr="000903CD">
        <w:t xml:space="preserve">such as </w:t>
      </w:r>
      <w:r w:rsidRPr="00952B20">
        <w:t>Bitbucket.</w:t>
      </w:r>
      <w:r w:rsidRPr="003D2868">
        <w:t xml:space="preserve"> </w:t>
      </w:r>
      <w:r>
        <w:t xml:space="preserve">For continuous integration, </w:t>
      </w:r>
      <w:r w:rsidDel="00C24B7C">
        <w:t xml:space="preserve">we </w:t>
      </w:r>
      <w:r>
        <w:t>use Jenkins, which compiles source code and runs tests. During continuous integration, we will continue and expand the use of Fortify for Static Application Security Testing (</w:t>
      </w:r>
      <w:r w:rsidRPr="000E496B">
        <w:t>SAST</w:t>
      </w:r>
      <w:r>
        <w:t xml:space="preserve">). Fortify provides </w:t>
      </w:r>
      <w:r w:rsidRPr="000E496B">
        <w:t>immediate feedback to developers</w:t>
      </w:r>
      <w:r>
        <w:t>, helping to raise awareness of security</w:t>
      </w:r>
      <w:r w:rsidRPr="000E496B">
        <w:t xml:space="preserve"> </w:t>
      </w:r>
      <w:r>
        <w:t>as a fundamental component of the application development process.</w:t>
      </w:r>
    </w:p>
    <w:p w14:paraId="6240F6CC" w14:textId="33646882" w:rsidR="00907F27" w:rsidRPr="008E0350" w:rsidRDefault="00907F27" w:rsidP="00907F27">
      <w:pPr>
        <w:pStyle w:val="BodyText"/>
      </w:pPr>
      <w:r w:rsidRPr="00F44BAF">
        <w:lastRenderedPageBreak/>
        <w:t xml:space="preserve">Our Application </w:t>
      </w:r>
      <w:r w:rsidR="006F19A5">
        <w:t>Maintenance</w:t>
      </w:r>
      <w:r w:rsidRPr="00F44BAF">
        <w:t xml:space="preserve"> Team will also </w:t>
      </w:r>
      <w:r w:rsidRPr="00267363">
        <w:t>use</w:t>
      </w:r>
      <w:r w:rsidRPr="00F44BAF">
        <w:t xml:space="preserve"> Dynamic Application Security Testing (DAST) to</w:t>
      </w:r>
      <w:r w:rsidRPr="00002862">
        <w:t xml:space="preserve"> evaluate the application security in a manner similar to how a malicious user would</w:t>
      </w:r>
      <w:r w:rsidRPr="00633F7C">
        <w:t xml:space="preserve"> attack the application.</w:t>
      </w:r>
      <w:r w:rsidRPr="00B651CE">
        <w:t xml:space="preserve"> DAST </w:t>
      </w:r>
      <w:r w:rsidRPr="00F266FA">
        <w:t xml:space="preserve">analyzes the application through simulated attacks at the front-end of the application. As DAST can </w:t>
      </w:r>
      <w:r w:rsidRPr="00357B33">
        <w:t>be time-consuming to perform and analyze t</w:t>
      </w:r>
      <w:r w:rsidRPr="00F44BAF">
        <w:t>he results, we will work in conjunction with the Consortium security team and application team to determine the appropriate usage and frequency of DAST to prevent delays in service delivery while enhancing our security posture.</w:t>
      </w:r>
    </w:p>
    <w:p w14:paraId="0CF85D52" w14:textId="390752F5" w:rsidR="008C1C59" w:rsidRDefault="008C1C59" w:rsidP="00907F27">
      <w:pPr>
        <w:pStyle w:val="BodyText"/>
      </w:pPr>
      <w:r>
        <w:rPr>
          <w:noProof/>
        </w:rPr>
        <w:drawing>
          <wp:anchor distT="0" distB="0" distL="114300" distR="114300" simplePos="0" relativeHeight="251658246" behindDoc="0" locked="0" layoutInCell="1" allowOverlap="1" wp14:anchorId="1BE14941" wp14:editId="4F162414">
            <wp:simplePos x="0" y="0"/>
            <wp:positionH relativeFrom="margin">
              <wp:posOffset>3665855</wp:posOffset>
            </wp:positionH>
            <wp:positionV relativeFrom="paragraph">
              <wp:posOffset>452755</wp:posOffset>
            </wp:positionV>
            <wp:extent cx="2269490" cy="4189095"/>
            <wp:effectExtent l="0" t="0" r="0" b="1905"/>
            <wp:wrapSquare wrapText="bothSides"/>
            <wp:docPr id="9288943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69490" cy="4189095"/>
                    </a:xfrm>
                    <a:prstGeom prst="rect">
                      <a:avLst/>
                    </a:prstGeom>
                    <a:noFill/>
                  </pic:spPr>
                </pic:pic>
              </a:graphicData>
            </a:graphic>
            <wp14:sizeRelH relativeFrom="page">
              <wp14:pctWidth>0</wp14:pctWidth>
            </wp14:sizeRelH>
            <wp14:sizeRelV relativeFrom="page">
              <wp14:pctHeight>0</wp14:pctHeight>
            </wp14:sizeRelV>
          </wp:anchor>
        </w:drawing>
      </w:r>
      <w:r w:rsidR="00907F27" w:rsidRPr="00F266FA">
        <w:t xml:space="preserve">To execute the </w:t>
      </w:r>
      <w:r w:rsidR="00907F27" w:rsidRPr="000F0DA0">
        <w:t xml:space="preserve">vision of continuous delivery, </w:t>
      </w:r>
      <w:r w:rsidR="00907F27">
        <w:t xml:space="preserve">initially </w:t>
      </w:r>
      <w:r w:rsidR="00907F27" w:rsidRPr="00267363">
        <w:t>we will continue</w:t>
      </w:r>
      <w:r w:rsidR="00907F27" w:rsidRPr="000F0DA0">
        <w:t xml:space="preserve"> </w:t>
      </w:r>
      <w:r w:rsidR="00907F27" w:rsidRPr="00267363">
        <w:t xml:space="preserve">usage of </w:t>
      </w:r>
      <w:r w:rsidR="00907F27" w:rsidRPr="00952B20">
        <w:t>Bitbucket</w:t>
      </w:r>
      <w:r w:rsidR="00907F27" w:rsidRPr="00267363">
        <w:t xml:space="preserve"> and Jenkins. </w:t>
      </w:r>
      <w:r w:rsidR="00584319" w:rsidRPr="00E0199B">
        <w:t>AWS CodePipeline</w:t>
      </w:r>
      <w:r w:rsidR="00584319" w:rsidRPr="000F0DA0">
        <w:t xml:space="preserve"> is a fully managed </w:t>
      </w:r>
      <w:r w:rsidR="00584319" w:rsidRPr="00E0199B">
        <w:t>continuous delivery</w:t>
      </w:r>
      <w:r w:rsidR="00584319" w:rsidRPr="000F0DA0">
        <w:t xml:space="preserve"> service that helps automate release pipelines. When there is a code change, CodePipeline automates the build, test, and deploy phases of the release process based on the release model </w:t>
      </w:r>
      <w:r w:rsidR="00584319" w:rsidRPr="00F266FA">
        <w:t xml:space="preserve">we </w:t>
      </w:r>
      <w:r w:rsidR="00584319" w:rsidRPr="0099468E">
        <w:t>define. AWS CodePipeline</w:t>
      </w:r>
      <w:r w:rsidR="00584319" w:rsidRPr="00357B33">
        <w:t xml:space="preserve"> integrate</w:t>
      </w:r>
      <w:r w:rsidR="00584319" w:rsidRPr="000F0DA0">
        <w:t xml:space="preserve">s with third-party services, </w:t>
      </w:r>
      <w:r w:rsidR="00584319" w:rsidRPr="00E0199B">
        <w:t>such as GitHub</w:t>
      </w:r>
      <w:r w:rsidR="00584319">
        <w:t xml:space="preserve"> and </w:t>
      </w:r>
      <w:r w:rsidR="00584319" w:rsidRPr="00952B20">
        <w:t>Bitbucket.</w:t>
      </w:r>
    </w:p>
    <w:p w14:paraId="32E0CF53" w14:textId="31164B7E" w:rsidR="00907F27" w:rsidRDefault="00907F27" w:rsidP="00907F27">
      <w:pPr>
        <w:pStyle w:val="BodyText"/>
      </w:pPr>
      <w:r>
        <w:t xml:space="preserve">Gainwell has implemented a Digital Factory for enhancement and development of our </w:t>
      </w:r>
      <w:r w:rsidR="006A4A71">
        <w:t>health and human services products.</w:t>
      </w:r>
      <w:r w:rsidR="000C5068">
        <w:t xml:space="preserve"> </w:t>
      </w:r>
      <w:r>
        <w:t>We have seen significant acceleration in our ability to develop and deliver quality code with our DevSecOps process using our Digital Factory model</w:t>
      </w:r>
      <w:r w:rsidR="00523437">
        <w:t xml:space="preserve">. </w:t>
      </w:r>
      <w:r w:rsidR="0059438D">
        <w:t xml:space="preserve">Many of the tools used in our Digital Factory are also used or have strong </w:t>
      </w:r>
      <w:r w:rsidR="0059438D" w:rsidRPr="00952B20">
        <w:t>alternat</w:t>
      </w:r>
      <w:r w:rsidR="0059438D">
        <w:t>iv</w:t>
      </w:r>
      <w:r w:rsidR="0059438D" w:rsidRPr="00952B20">
        <w:t>es</w:t>
      </w:r>
      <w:r w:rsidR="0059438D">
        <w:t xml:space="preserve"> in the BenefitsCal application delivery today</w:t>
      </w:r>
      <w:r w:rsidR="0056616D">
        <w:t>.</w:t>
      </w:r>
    </w:p>
    <w:p w14:paraId="37A8E3BE" w14:textId="66D2CA57" w:rsidR="00907F27" w:rsidRPr="00A1592D" w:rsidRDefault="00907F27" w:rsidP="00907F27">
      <w:pPr>
        <w:pStyle w:val="BodyText"/>
      </w:pPr>
      <w:r>
        <w:t xml:space="preserve">As we transform the system, we will leverage this knowledge and will evaluate the use of tools to support multiple development pipelines to evolve the DevSecOps process to be as efficient as possible. </w:t>
      </w:r>
    </w:p>
    <w:p w14:paraId="040AA3B6" w14:textId="0C96F725" w:rsidR="009403D2" w:rsidRDefault="009403D2" w:rsidP="009403D2">
      <w:pPr>
        <w:pStyle w:val="HeadingManual3"/>
      </w:pPr>
      <w:bookmarkStart w:id="70" w:name="_Toc173187488"/>
      <w:r>
        <w:t>4.2.5</w:t>
      </w:r>
      <w:r>
        <w:tab/>
        <w:t>Secure Development</w:t>
      </w:r>
      <w:bookmarkEnd w:id="70"/>
    </w:p>
    <w:p w14:paraId="06234887" w14:textId="5E266277" w:rsidR="00085F1F" w:rsidRPr="00950DB0" w:rsidRDefault="00085F1F" w:rsidP="00085F1F">
      <w:pPr>
        <w:pStyle w:val="BodyText"/>
      </w:pPr>
      <w:r>
        <w:t>Gainwell adheres to the Consortium security policies as well as the Artificial Intelligence policy</w:t>
      </w:r>
      <w:r w:rsidR="00523437">
        <w:t xml:space="preserve">. </w:t>
      </w:r>
      <w:r w:rsidRPr="00950DB0">
        <w:t>Gainwell staff follow the SDLC and our Secure Development Standard</w:t>
      </w:r>
      <w:r w:rsidR="00523437">
        <w:t xml:space="preserve">. </w:t>
      </w:r>
      <w:r>
        <w:t>Our Secure Development Standard serves as a guideline to assist with implementing the Consortium security policies</w:t>
      </w:r>
      <w:r w:rsidR="00523437" w:rsidRPr="00950DB0">
        <w:t xml:space="preserve">. </w:t>
      </w:r>
      <w:r w:rsidRPr="00950DB0">
        <w:t>Th</w:t>
      </w:r>
      <w:r>
        <w:t xml:space="preserve">e SDLC </w:t>
      </w:r>
      <w:r w:rsidRPr="00950DB0">
        <w:t xml:space="preserve">methodology and </w:t>
      </w:r>
      <w:r>
        <w:t xml:space="preserve">security </w:t>
      </w:r>
      <w:r w:rsidRPr="00950DB0">
        <w:t>standard establish processes to:</w:t>
      </w:r>
    </w:p>
    <w:p w14:paraId="12A219E5" w14:textId="77777777" w:rsidR="00085F1F" w:rsidRDefault="00085F1F" w:rsidP="00EE642B">
      <w:pPr>
        <w:pStyle w:val="CvrLtrBullet1Double"/>
      </w:pPr>
      <w:r w:rsidRPr="001870F9">
        <w:rPr>
          <w:b/>
        </w:rPr>
        <w:t>Define/Review Security Requirements</w:t>
      </w:r>
      <w:r w:rsidRPr="001870F9">
        <w:rPr>
          <w:b/>
          <w:bCs w:val="0"/>
        </w:rPr>
        <w:t>.</w:t>
      </w:r>
      <w:r>
        <w:t xml:space="preserve"> Obtain the Consortium security policies to fully understand the policies that our developed software is to meet, including implementing secure coding practices for developers.</w:t>
      </w:r>
    </w:p>
    <w:p w14:paraId="6FC8182A" w14:textId="77777777" w:rsidR="00085F1F" w:rsidRDefault="00085F1F" w:rsidP="00EE642B">
      <w:pPr>
        <w:pStyle w:val="CvrLtrBullet1Double"/>
      </w:pPr>
      <w:r w:rsidRPr="001870F9">
        <w:rPr>
          <w:b/>
        </w:rPr>
        <w:lastRenderedPageBreak/>
        <w:t>Protect Software</w:t>
      </w:r>
      <w:r w:rsidRPr="001870F9">
        <w:rPr>
          <w:b/>
          <w:bCs w:val="0"/>
        </w:rPr>
        <w:t>.</w:t>
      </w:r>
      <w:r>
        <w:t xml:space="preserve"> Protect all components of the software from tampering and unauthorized access.</w:t>
      </w:r>
    </w:p>
    <w:p w14:paraId="6A540961" w14:textId="77777777" w:rsidR="00085F1F" w:rsidRDefault="00085F1F" w:rsidP="00EE642B">
      <w:pPr>
        <w:pStyle w:val="CvrLtrBullet1Double"/>
      </w:pPr>
      <w:r w:rsidRPr="001870F9">
        <w:rPr>
          <w:b/>
        </w:rPr>
        <w:t>Produce Well-</w:t>
      </w:r>
      <w:r w:rsidRPr="001870F9">
        <w:rPr>
          <w:b/>
          <w:bCs w:val="0"/>
        </w:rPr>
        <w:t>secured</w:t>
      </w:r>
      <w:r w:rsidRPr="001870F9">
        <w:rPr>
          <w:b/>
        </w:rPr>
        <w:t xml:space="preserve"> Software</w:t>
      </w:r>
      <w:r w:rsidRPr="001870F9">
        <w:rPr>
          <w:b/>
          <w:bCs w:val="0"/>
        </w:rPr>
        <w:t>.</w:t>
      </w:r>
      <w:r>
        <w:t xml:space="preserve"> Create software products that minimize security vulnerabilities in its releases.</w:t>
      </w:r>
    </w:p>
    <w:p w14:paraId="34F8AD79" w14:textId="77777777" w:rsidR="00085F1F" w:rsidRDefault="00085F1F" w:rsidP="00EE642B">
      <w:pPr>
        <w:pStyle w:val="CvrLtrBullet1Double"/>
      </w:pPr>
      <w:r w:rsidRPr="001870F9">
        <w:rPr>
          <w:b/>
        </w:rPr>
        <w:t>Respond to Vulnerabilities</w:t>
      </w:r>
      <w:r w:rsidRPr="001870F9">
        <w:rPr>
          <w:b/>
          <w:bCs w:val="0"/>
        </w:rPr>
        <w:t>.</w:t>
      </w:r>
      <w:r>
        <w:t xml:space="preserve"> Identify vulnerabilities in software releases and respond appropriately to address those vulnerabilities and prevent similar vulnerabilities from occurring in the future, whether they are found in code or in software leveraged from other vendors.</w:t>
      </w:r>
    </w:p>
    <w:p w14:paraId="4323CFA0" w14:textId="659A72F7" w:rsidR="00085F1F" w:rsidRDefault="00085F1F" w:rsidP="00085F1F">
      <w:pPr>
        <w:pStyle w:val="BodyText"/>
      </w:pPr>
      <w:r>
        <w:t>Our Secure Development Standard includes implementing a supporting Toolchain to use automation to reduce the human effort needed and improve the accuracy, consistency, and comprehensiveness of security practices throughout the SDLC. We will verify that the existing Toolchain meets the automation needs</w:t>
      </w:r>
      <w:r w:rsidR="00523437">
        <w:t xml:space="preserve">. </w:t>
      </w:r>
      <w:r>
        <w:t>If needed, we will:</w:t>
      </w:r>
    </w:p>
    <w:p w14:paraId="4FE110B4" w14:textId="77777777" w:rsidR="00085F1F" w:rsidRDefault="00085F1F" w:rsidP="00EE642B">
      <w:pPr>
        <w:pStyle w:val="CvrLtrBullet1Double"/>
      </w:pPr>
      <w:r>
        <w:t>Configure tools to collect evidence and artifacts of their support of the secure software development practices.</w:t>
      </w:r>
    </w:p>
    <w:p w14:paraId="084AB298" w14:textId="77777777" w:rsidR="00085F1F" w:rsidRDefault="00085F1F" w:rsidP="00EE642B">
      <w:pPr>
        <w:pStyle w:val="CvrLtrBullet1Double"/>
      </w:pPr>
      <w:r>
        <w:t>Identify security tools to integrate into the developer toolchain.</w:t>
      </w:r>
    </w:p>
    <w:p w14:paraId="34B22598" w14:textId="77777777" w:rsidR="00085F1F" w:rsidRDefault="00085F1F" w:rsidP="00EE642B">
      <w:pPr>
        <w:pStyle w:val="CvrLtrBullet1Double"/>
      </w:pPr>
      <w:r>
        <w:t>Monitor tools and tool logs for potential operational and security issues.</w:t>
      </w:r>
    </w:p>
    <w:p w14:paraId="315910C9" w14:textId="77777777" w:rsidR="00085F1F" w:rsidRDefault="00085F1F" w:rsidP="00EE642B">
      <w:pPr>
        <w:pStyle w:val="CvrLtrBullet1Double"/>
      </w:pPr>
      <w:r>
        <w:t>Configure tools to collect evidence and artifacts of their support of the secure software development practices for auditing.</w:t>
      </w:r>
    </w:p>
    <w:p w14:paraId="40E5BD52" w14:textId="77777777" w:rsidR="00085F1F" w:rsidRPr="00E40844" w:rsidRDefault="00085F1F" w:rsidP="00085F1F">
      <w:pPr>
        <w:pStyle w:val="BodyText"/>
      </w:pPr>
      <w:r w:rsidRPr="00E40844">
        <w:t>Our Secure Development Standard also requires that we store all forms of code and executable code based on the principle of least privilege. We will also:</w:t>
      </w:r>
    </w:p>
    <w:p w14:paraId="489CC582" w14:textId="77777777" w:rsidR="00085F1F" w:rsidRDefault="00085F1F" w:rsidP="00EE642B">
      <w:pPr>
        <w:pStyle w:val="CvrLtrBullet1Double"/>
      </w:pPr>
      <w:r>
        <w:t>Use version control features of the repository to track all changes made to the code with accountability to the individual developer account</w:t>
      </w:r>
    </w:p>
    <w:p w14:paraId="4151FA72" w14:textId="77777777" w:rsidR="00085F1F" w:rsidRDefault="00085F1F" w:rsidP="00EE642B">
      <w:pPr>
        <w:pStyle w:val="CvrLtrBullet1Double"/>
      </w:pPr>
      <w:r>
        <w:t>Review and approve all changes made to the code.</w:t>
      </w:r>
    </w:p>
    <w:p w14:paraId="0101C8AD" w14:textId="77777777" w:rsidR="00085F1F" w:rsidRDefault="00085F1F" w:rsidP="00EE642B">
      <w:pPr>
        <w:pStyle w:val="CvrLtrBullet1Double"/>
      </w:pPr>
      <w:r>
        <w:t>Use code signing to help protect the integrity and provenance of executables.</w:t>
      </w:r>
    </w:p>
    <w:p w14:paraId="3C7C3F7B" w14:textId="77777777" w:rsidR="00085F1F" w:rsidRDefault="00085F1F" w:rsidP="00EE642B">
      <w:pPr>
        <w:pStyle w:val="CvrLtrBullet1Double"/>
      </w:pPr>
      <w:r>
        <w:t>Use cryptography (e.g., cryptographic hashes) to help protect the integrity of files.</w:t>
      </w:r>
    </w:p>
    <w:p w14:paraId="059C3917" w14:textId="77777777" w:rsidR="00085F1F" w:rsidRDefault="00085F1F" w:rsidP="00EE642B">
      <w:pPr>
        <w:pStyle w:val="CvrLtrBullet1Double"/>
      </w:pPr>
      <w:r>
        <w:t>As part of the Secure Development Standard, we also perform code review and/or code analysis based on secure coding standards, and document and triage all discovered issues and recommended Jira. This analysis includes:</w:t>
      </w:r>
    </w:p>
    <w:p w14:paraId="5546D968" w14:textId="77777777" w:rsidR="00085F1F" w:rsidRDefault="00085F1F" w:rsidP="00EE642B">
      <w:pPr>
        <w:pStyle w:val="CvrLtrBullet1Double"/>
      </w:pPr>
      <w:r>
        <w:t>Using peer reviews to check code for backdoors and other malicious content.</w:t>
      </w:r>
    </w:p>
    <w:p w14:paraId="1A0F5183" w14:textId="77777777" w:rsidR="00085F1F" w:rsidRDefault="00085F1F" w:rsidP="00EE642B">
      <w:pPr>
        <w:pStyle w:val="CvrLtrBullet1Double"/>
      </w:pPr>
      <w:r>
        <w:t>Using a static analysis tool to automatically check code for vulnerabilities and for compliance with secure coding standards.</w:t>
      </w:r>
    </w:p>
    <w:p w14:paraId="58B6C330" w14:textId="77777777" w:rsidR="00085F1F" w:rsidRDefault="00085F1F" w:rsidP="00EE642B">
      <w:pPr>
        <w:pStyle w:val="CvrLtrBullet1Double"/>
      </w:pPr>
      <w:r>
        <w:t>Using review checklists to verify that the code complies with the requirements.</w:t>
      </w:r>
    </w:p>
    <w:p w14:paraId="766AF5E8" w14:textId="77777777" w:rsidR="00085F1F" w:rsidRDefault="00085F1F" w:rsidP="00EE642B">
      <w:pPr>
        <w:pStyle w:val="CvrLtrBullet1Double"/>
      </w:pPr>
      <w:r>
        <w:t>Using automated tools to identify and remediate documented and verified unsafe software practices on a continuous basis as human-readable code is checked into the code repository.</w:t>
      </w:r>
    </w:p>
    <w:p w14:paraId="0068AD96" w14:textId="77777777" w:rsidR="00085F1F" w:rsidRDefault="00085F1F" w:rsidP="00EE642B">
      <w:pPr>
        <w:pStyle w:val="CvrLtrBullet1Double"/>
      </w:pPr>
      <w:r>
        <w:t>Documenting each discovered issue.</w:t>
      </w:r>
    </w:p>
    <w:p w14:paraId="4AD800F9" w14:textId="77777777" w:rsidR="00085F1F" w:rsidRDefault="00085F1F" w:rsidP="00EE642B">
      <w:pPr>
        <w:pStyle w:val="CvrLtrBullet1Double"/>
      </w:pPr>
      <w:r>
        <w:t>Perform robust functional testing of security features.</w:t>
      </w:r>
    </w:p>
    <w:p w14:paraId="5BAA341D" w14:textId="77777777" w:rsidR="00085F1F" w:rsidRDefault="00085F1F" w:rsidP="00EE642B">
      <w:pPr>
        <w:pStyle w:val="CvrLtrBullet1Double"/>
      </w:pPr>
      <w:r>
        <w:lastRenderedPageBreak/>
        <w:t>Integrate dynamic vulnerability testing.</w:t>
      </w:r>
    </w:p>
    <w:p w14:paraId="2B9E14BA" w14:textId="77777777" w:rsidR="00085F1F" w:rsidRDefault="00085F1F" w:rsidP="00EE642B">
      <w:pPr>
        <w:pStyle w:val="CvrLtrBullet1Double"/>
      </w:pPr>
      <w:r>
        <w:t>Incorporate tests for previously reported vulnerabilities into the automated test suite to verify that errors are not reintroduced.</w:t>
      </w:r>
    </w:p>
    <w:p w14:paraId="6A8DF564" w14:textId="77777777" w:rsidR="00085F1F" w:rsidRDefault="00085F1F" w:rsidP="00EE642B">
      <w:pPr>
        <w:pStyle w:val="CvrLtrBullet1Double"/>
      </w:pPr>
      <w:r>
        <w:t>Use automated fuzz testing tools to find issues with input handling.</w:t>
      </w:r>
    </w:p>
    <w:p w14:paraId="630BE4A7" w14:textId="77777777" w:rsidR="00085F1F" w:rsidRDefault="00085F1F" w:rsidP="00EE642B">
      <w:pPr>
        <w:pStyle w:val="CvrLtrBullet1Double"/>
      </w:pPr>
      <w:r>
        <w:t>Develop and implement a remediation plan for each vulnerability.</w:t>
      </w:r>
    </w:p>
    <w:p w14:paraId="5A4FC703" w14:textId="77777777" w:rsidR="00085F1F" w:rsidRDefault="00085F1F" w:rsidP="00EE642B">
      <w:pPr>
        <w:pStyle w:val="CvrLtrBullet1Double"/>
      </w:pPr>
      <w:r>
        <w:t>For each vulnerability to be remediated, determine how its remediation should be prioritized.</w:t>
      </w:r>
    </w:p>
    <w:p w14:paraId="4192B0F5" w14:textId="77777777" w:rsidR="00085F1F" w:rsidRDefault="00085F1F" w:rsidP="00EE642B">
      <w:pPr>
        <w:pStyle w:val="CvrLtrBullet1Double"/>
      </w:pPr>
      <w:r>
        <w:t>If a permanent mitigation for a vulnerability is not yet available, determine how the vulnerability can be temporarily mitigated until the permanent solution is available.</w:t>
      </w:r>
    </w:p>
    <w:p w14:paraId="339B6BF0" w14:textId="406CA74B" w:rsidR="00085F1F" w:rsidRPr="003B62D4" w:rsidRDefault="00085F1F" w:rsidP="00085F1F">
      <w:pPr>
        <w:pStyle w:val="BodyText"/>
      </w:pPr>
      <w:r w:rsidRPr="003B62D4">
        <w:t>We also provide training on secure code practices to developers as part of security awareness training</w:t>
      </w:r>
      <w:r w:rsidR="00523437" w:rsidRPr="003B62D4">
        <w:t xml:space="preserve">. </w:t>
      </w:r>
      <w:r w:rsidRPr="003B62D4">
        <w:rPr>
          <w:rStyle w:val="cf01"/>
          <w:rFonts w:ascii="Century Gothic" w:hAnsi="Century Gothic" w:cs="Times New Roman"/>
          <w:sz w:val="22"/>
          <w:szCs w:val="20"/>
        </w:rPr>
        <w:t xml:space="preserve">Gainwell </w:t>
      </w:r>
      <w:r>
        <w:rPr>
          <w:rStyle w:val="cf01"/>
          <w:rFonts w:ascii="Century Gothic" w:hAnsi="Century Gothic" w:cs="Times New Roman"/>
          <w:sz w:val="22"/>
          <w:szCs w:val="20"/>
        </w:rPr>
        <w:t>training is designed to have</w:t>
      </w:r>
      <w:r w:rsidRPr="003B62D4">
        <w:rPr>
          <w:rStyle w:val="cf01"/>
          <w:rFonts w:ascii="Century Gothic" w:hAnsi="Century Gothic" w:cs="Times New Roman"/>
          <w:sz w:val="22"/>
          <w:szCs w:val="20"/>
        </w:rPr>
        <w:t xml:space="preserve"> every developer understand secured coding practices such as input validation, Authentication and Password Management, Data Protection, Access Control, </w:t>
      </w:r>
      <w:r w:rsidR="00A52BB2" w:rsidRPr="003B62D4">
        <w:rPr>
          <w:rStyle w:val="cf01"/>
          <w:rFonts w:ascii="Century Gothic" w:hAnsi="Century Gothic" w:cs="Times New Roman"/>
          <w:sz w:val="22"/>
          <w:szCs w:val="20"/>
        </w:rPr>
        <w:t>Cryptographic</w:t>
      </w:r>
      <w:r w:rsidRPr="003B62D4">
        <w:rPr>
          <w:rStyle w:val="cf01"/>
          <w:rFonts w:ascii="Century Gothic" w:hAnsi="Century Gothic" w:cs="Times New Roman"/>
          <w:sz w:val="22"/>
          <w:szCs w:val="20"/>
        </w:rPr>
        <w:t xml:space="preserve"> Practices, Error Handling and Logging. Tools such as Fortify Web Inspect allow for Dynamic Application Security testing that helps further secure application code. Application developers can get immediate feedback on code with the use of Fortify Static Code Analyzer to perform Static Application Security Testing.</w:t>
      </w:r>
    </w:p>
    <w:p w14:paraId="6C88B438" w14:textId="77777777" w:rsidR="00085F1F" w:rsidRDefault="00085F1F" w:rsidP="00085F1F">
      <w:pPr>
        <w:pStyle w:val="BodyText"/>
      </w:pPr>
      <w:r>
        <w:t xml:space="preserve">We continuously seek ways to improve security for the CalSAWS systems and data. In alignment with the </w:t>
      </w:r>
      <w:r w:rsidRPr="00A7028F">
        <w:t xml:space="preserve">AWS Well-Architected Framework </w:t>
      </w:r>
      <w:r>
        <w:t>security pillar, we identify opportunities to:</w:t>
      </w:r>
    </w:p>
    <w:p w14:paraId="5376C6F9" w14:textId="77777777" w:rsidR="00085F1F" w:rsidRDefault="00085F1F" w:rsidP="00EE642B">
      <w:pPr>
        <w:pStyle w:val="CvrLtrBullet1Double"/>
      </w:pPr>
      <w:r>
        <w:t>Enhance the existing identity foundation, using a</w:t>
      </w:r>
      <w:r w:rsidRPr="00A7028F">
        <w:t>rchitecture security design principles that implement authentication and authorization control and reduce the blast radius</w:t>
      </w:r>
    </w:p>
    <w:p w14:paraId="0EBC1766" w14:textId="77777777" w:rsidR="00085F1F" w:rsidRDefault="00085F1F" w:rsidP="00EE642B">
      <w:pPr>
        <w:pStyle w:val="CvrLtrBullet1Double"/>
      </w:pPr>
      <w:r>
        <w:t xml:space="preserve">Enhance traceability </w:t>
      </w:r>
      <w:r w:rsidRPr="00A7028F">
        <w:t>by implementing proactive security controls and logging with real</w:t>
      </w:r>
      <w:r>
        <w:t>-</w:t>
      </w:r>
      <w:r w:rsidRPr="00A7028F">
        <w:t>time automated alerts and self-remediation</w:t>
      </w:r>
      <w:r>
        <w:t xml:space="preserve">, and improving the </w:t>
      </w:r>
      <w:r w:rsidRPr="00A7028F">
        <w:t xml:space="preserve">current security logging by adding filters and automation for protecting </w:t>
      </w:r>
      <w:r>
        <w:t>BenefitsCal</w:t>
      </w:r>
      <w:r w:rsidRPr="00A7028F">
        <w:t xml:space="preserve"> boun</w:t>
      </w:r>
      <w:r>
        <w:t>d</w:t>
      </w:r>
      <w:r w:rsidRPr="00A7028F">
        <w:t>aries and automatic alerting of any suspicious activity</w:t>
      </w:r>
    </w:p>
    <w:p w14:paraId="60DA6ED5" w14:textId="77777777" w:rsidR="00085F1F" w:rsidRDefault="00085F1F" w:rsidP="00EE642B">
      <w:pPr>
        <w:pStyle w:val="CvrLtrBullet1Double"/>
      </w:pPr>
      <w:r>
        <w:t>Apply security at all layers, using the</w:t>
      </w:r>
      <w:r w:rsidRPr="00A7028F">
        <w:t xml:space="preserve"> Defense in Depth (DiD) approach to layer security mechanisms and controls</w:t>
      </w:r>
      <w:r>
        <w:t>,</w:t>
      </w:r>
      <w:r w:rsidRPr="00A7028F">
        <w:t xml:space="preserve"> protect</w:t>
      </w:r>
      <w:r>
        <w:t>ing</w:t>
      </w:r>
      <w:r w:rsidRPr="00A7028F">
        <w:t xml:space="preserve"> the confidentiality, integrity</w:t>
      </w:r>
      <w:r>
        <w:t>, and</w:t>
      </w:r>
      <w:r w:rsidRPr="00A7028F">
        <w:t xml:space="preserve"> availability of CalSAWS, networks</w:t>
      </w:r>
      <w:r>
        <w:t>,</w:t>
      </w:r>
      <w:r w:rsidRPr="00A7028F">
        <w:t xml:space="preserve"> and </w:t>
      </w:r>
      <w:r>
        <w:t>data</w:t>
      </w:r>
    </w:p>
    <w:p w14:paraId="36DAC5DC" w14:textId="77777777" w:rsidR="00085F1F" w:rsidRDefault="00085F1F" w:rsidP="00EE642B">
      <w:pPr>
        <w:pStyle w:val="CvrLtrBullet1Double"/>
      </w:pPr>
      <w:r>
        <w:t>Enhance application monitoring and auditing to identify security concerns</w:t>
      </w:r>
    </w:p>
    <w:p w14:paraId="01E552A8" w14:textId="77777777" w:rsidR="00085F1F" w:rsidRDefault="00085F1F" w:rsidP="00EE642B">
      <w:pPr>
        <w:pStyle w:val="CvrLtrBullet1Double"/>
      </w:pPr>
      <w:r>
        <w:t>Enhance security automation, including</w:t>
      </w:r>
      <w:r w:rsidRPr="00A7028F">
        <w:t xml:space="preserve"> automat</w:t>
      </w:r>
      <w:r>
        <w:t>ing</w:t>
      </w:r>
      <w:r w:rsidRPr="00A7028F">
        <w:t xml:space="preserve"> for security rule violations that support self-remediation processes</w:t>
      </w:r>
    </w:p>
    <w:p w14:paraId="55A0A051" w14:textId="77777777" w:rsidR="00085F1F" w:rsidRDefault="00085F1F" w:rsidP="00EE642B">
      <w:pPr>
        <w:pStyle w:val="CvrLtrBullet1Double"/>
      </w:pPr>
      <w:r>
        <w:t>Verify that data is encrypted at rest and in transit</w:t>
      </w:r>
    </w:p>
    <w:p w14:paraId="0E33207E" w14:textId="77777777" w:rsidR="00085F1F" w:rsidRDefault="00085F1F" w:rsidP="00EE642B">
      <w:pPr>
        <w:pStyle w:val="CvrLtrBullet1Double"/>
      </w:pPr>
      <w:r>
        <w:t>Reduce the need for direct access of data consistent with the least privilege principle</w:t>
      </w:r>
    </w:p>
    <w:p w14:paraId="060EF03F" w14:textId="538F3115" w:rsidR="00085F1F" w:rsidRDefault="00085F1F" w:rsidP="00EE642B">
      <w:pPr>
        <w:pStyle w:val="CvrLtrBullet1Double"/>
      </w:pPr>
      <w:r>
        <w:t>Verify and enhance, as applicable, existing security incident management processes</w:t>
      </w:r>
    </w:p>
    <w:p w14:paraId="29AF095F" w14:textId="7CD345D5" w:rsidR="00E962B7" w:rsidRDefault="00E962B7" w:rsidP="00343D3D">
      <w:pPr>
        <w:pStyle w:val="BodyText"/>
      </w:pPr>
      <w:bookmarkStart w:id="71" w:name="_Toc172704164"/>
      <w:r w:rsidRPr="00CC68F1">
        <w:rPr>
          <w:noProof/>
        </w:rPr>
        <w:lastRenderedPageBreak/>
        <w:drawing>
          <wp:anchor distT="0" distB="0" distL="114300" distR="114300" simplePos="0" relativeHeight="251658296" behindDoc="0" locked="0" layoutInCell="1" allowOverlap="1" wp14:anchorId="502AE880" wp14:editId="1926548A">
            <wp:simplePos x="0" y="0"/>
            <wp:positionH relativeFrom="margin">
              <wp:posOffset>0</wp:posOffset>
            </wp:positionH>
            <wp:positionV relativeFrom="paragraph">
              <wp:posOffset>273685</wp:posOffset>
            </wp:positionV>
            <wp:extent cx="1387475" cy="1518920"/>
            <wp:effectExtent l="0" t="0" r="3175" b="5080"/>
            <wp:wrapSquare wrapText="bothSides"/>
            <wp:docPr id="842195025" name="Graphic 9">
              <a:extLst xmlns:a="http://schemas.openxmlformats.org/drawingml/2006/main">
                <a:ext uri="{FF2B5EF4-FFF2-40B4-BE49-F238E27FC236}">
                  <a16:creationId xmlns:a16="http://schemas.microsoft.com/office/drawing/2014/main" id="{B5A36752-4DC0-C7B7-5F95-64DBA2356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B5A36752-4DC0-C7B7-5F95-64DBA2356C5A}"/>
                        </a:ext>
                      </a:extLst>
                    </pic:cNvPr>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1387475" cy="1518920"/>
                    </a:xfrm>
                    <a:prstGeom prst="rect">
                      <a:avLst/>
                    </a:prstGeom>
                  </pic:spPr>
                </pic:pic>
              </a:graphicData>
            </a:graphic>
            <wp14:sizeRelH relativeFrom="margin">
              <wp14:pctWidth>0</wp14:pctWidth>
            </wp14:sizeRelH>
            <wp14:sizeRelV relativeFrom="margin">
              <wp14:pctHeight>0</wp14:pctHeight>
            </wp14:sizeRelV>
          </wp:anchor>
        </w:drawing>
      </w:r>
    </w:p>
    <w:p w14:paraId="2D2EC99A" w14:textId="41566009" w:rsidR="00C61530" w:rsidRDefault="00343D3D" w:rsidP="00343D3D">
      <w:pPr>
        <w:pStyle w:val="BodyText"/>
      </w:pPr>
      <w:r>
        <w:t>Our</w:t>
      </w:r>
      <w:r w:rsidRPr="00FA66BD">
        <w:t xml:space="preserve"> </w:t>
      </w:r>
      <w:r>
        <w:t xml:space="preserve">approach to software development begins with our full understanding and usage of the existing CalSAWS processes. </w:t>
      </w:r>
    </w:p>
    <w:p w14:paraId="44B55B27" w14:textId="36A23E7C" w:rsidR="00C61530" w:rsidRDefault="00343D3D" w:rsidP="00343D3D">
      <w:pPr>
        <w:pStyle w:val="BodyText"/>
      </w:pPr>
      <w:r>
        <w:t>We bring a successful staff and leadership team experienced with maintaining and enhancing many large-scale health and human services applications</w:t>
      </w:r>
      <w:r w:rsidR="00DD2359">
        <w:t xml:space="preserve"> including the award-winning MyBCW portal</w:t>
      </w:r>
      <w:r w:rsidR="00523437">
        <w:t xml:space="preserve">. </w:t>
      </w:r>
    </w:p>
    <w:p w14:paraId="72923E80" w14:textId="68CCCB96" w:rsidR="00C61530" w:rsidRDefault="007D76FB" w:rsidP="00343D3D">
      <w:pPr>
        <w:pStyle w:val="BodyText"/>
      </w:pPr>
      <w:r>
        <w:t xml:space="preserve">We focus on </w:t>
      </w:r>
      <w:r w:rsidR="00C61530">
        <w:t>integrating</w:t>
      </w:r>
      <w:r>
        <w:t xml:space="preserve"> security and UCD throughout our SDLC.</w:t>
      </w:r>
      <w:r w:rsidR="00343D3D">
        <w:t xml:space="preserve"> </w:t>
      </w:r>
    </w:p>
    <w:p w14:paraId="2C3A5A75" w14:textId="7C76BF35" w:rsidR="00343D3D" w:rsidRPr="009E4C0C" w:rsidRDefault="00343D3D" w:rsidP="00343D3D">
      <w:pPr>
        <w:pStyle w:val="BodyText"/>
        <w:rPr>
          <w:color w:val="000000" w:themeColor="text1"/>
          <w:sz w:val="20"/>
        </w:rPr>
      </w:pPr>
      <w:r>
        <w:t xml:space="preserve">We have proven our ability to re-invent service delivery processes to fit a changing policy landscape, to address changing needs of our clients, </w:t>
      </w:r>
      <w:r w:rsidR="003E3CB9">
        <w:t>and</w:t>
      </w:r>
      <w:r>
        <w:t xml:space="preserve"> to accelerate our delivery speed and effectiveness.</w:t>
      </w:r>
    </w:p>
    <w:p w14:paraId="4089E622" w14:textId="77777777" w:rsidR="00197617" w:rsidRDefault="00197617">
      <w:pPr>
        <w:spacing w:after="160" w:line="259" w:lineRule="auto"/>
        <w:rPr>
          <w:b/>
          <w:bCs/>
          <w:color w:val="2B3A44"/>
          <w:sz w:val="32"/>
          <w:szCs w:val="32"/>
        </w:rPr>
      </w:pPr>
      <w:r>
        <w:br w:type="page"/>
      </w:r>
    </w:p>
    <w:p w14:paraId="4C86B713" w14:textId="3776A619" w:rsidR="001237A7" w:rsidRDefault="001E24C3" w:rsidP="00B66461">
      <w:pPr>
        <w:pStyle w:val="HeadingManual2"/>
      </w:pPr>
      <w:bookmarkStart w:id="72" w:name="_Toc173187489"/>
      <w:r>
        <w:lastRenderedPageBreak/>
        <w:t>4.3</w:t>
      </w:r>
      <w:r w:rsidR="008F31B5">
        <w:tab/>
      </w:r>
      <w:r w:rsidR="001237A7">
        <w:t>Application Evolution and Innovation</w:t>
      </w:r>
      <w:bookmarkEnd w:id="71"/>
      <w:r w:rsidR="00347A14">
        <w:t xml:space="preserve"> (5.2.3.3)</w:t>
      </w:r>
      <w:bookmarkEnd w:id="72"/>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1237A7" w14:paraId="1622F56B" w14:textId="77777777" w:rsidTr="001237A7">
        <w:tc>
          <w:tcPr>
            <w:tcW w:w="9350" w:type="dxa"/>
            <w:shd w:val="clear" w:color="auto" w:fill="EBEDF5"/>
          </w:tcPr>
          <w:tbl>
            <w:tblPr>
              <w:tblW w:w="9072" w:type="dxa"/>
              <w:tblLook w:val="04A0" w:firstRow="1" w:lastRow="0" w:firstColumn="1" w:lastColumn="0" w:noHBand="0" w:noVBand="1"/>
            </w:tblPr>
            <w:tblGrid>
              <w:gridCol w:w="990"/>
              <w:gridCol w:w="8082"/>
            </w:tblGrid>
            <w:tr w:rsidR="001237A7" w:rsidRPr="00A84E8D" w14:paraId="0BA31143" w14:textId="77777777" w:rsidTr="000F1F56">
              <w:trPr>
                <w:trHeight w:val="300"/>
              </w:trPr>
              <w:tc>
                <w:tcPr>
                  <w:tcW w:w="990" w:type="dxa"/>
                  <w:shd w:val="clear" w:color="auto" w:fill="auto"/>
                  <w:noWrap/>
                </w:tcPr>
                <w:p w14:paraId="6D6BEAC3" w14:textId="77777777" w:rsidR="001237A7" w:rsidRPr="00A7028F" w:rsidRDefault="001237A7" w:rsidP="00FA51BD">
                  <w:pPr>
                    <w:pStyle w:val="TableText"/>
                    <w:framePr w:hSpace="187" w:wrap="around" w:vAnchor="text" w:hAnchor="text" w:y="1"/>
                    <w:numPr>
                      <w:ilvl w:val="0"/>
                      <w:numId w:val="46"/>
                    </w:numPr>
                    <w:suppressOverlap/>
                  </w:pPr>
                </w:p>
              </w:tc>
              <w:tc>
                <w:tcPr>
                  <w:tcW w:w="8082" w:type="dxa"/>
                  <w:shd w:val="clear" w:color="auto" w:fill="auto"/>
                </w:tcPr>
                <w:p w14:paraId="69F8DF80" w14:textId="706489DC" w:rsidR="001237A7" w:rsidRPr="00A84E8D" w:rsidRDefault="001237A7" w:rsidP="000F1F56">
                  <w:pPr>
                    <w:pStyle w:val="BodyText0"/>
                    <w:framePr w:wrap="around"/>
                  </w:pPr>
                  <w:r w:rsidRPr="00C924B2">
                    <w:t>Describe your strategy and approach to application architecture evolution. Describe how this strategy will address security considerations, reduce costs, and improve optimization, scalability and flexibility.</w:t>
                  </w:r>
                </w:p>
              </w:tc>
            </w:tr>
          </w:tbl>
          <w:p w14:paraId="15E53B5C" w14:textId="77777777" w:rsidR="001237A7" w:rsidRDefault="001237A7" w:rsidP="001237A7">
            <w:pPr>
              <w:pStyle w:val="BodyText0"/>
              <w:framePr w:hSpace="0" w:wrap="auto" w:vAnchor="margin" w:yAlign="inline"/>
              <w:suppressOverlap w:val="0"/>
            </w:pPr>
          </w:p>
        </w:tc>
      </w:tr>
    </w:tbl>
    <w:p w14:paraId="7AE9EC09" w14:textId="678F359E" w:rsidR="0066047F" w:rsidRDefault="00CC68F1" w:rsidP="0066047F">
      <w:pPr>
        <w:pStyle w:val="BodyText"/>
      </w:pPr>
      <w:r w:rsidRPr="00CC68F1">
        <w:rPr>
          <w:noProof/>
        </w:rPr>
        <w:drawing>
          <wp:anchor distT="0" distB="0" distL="114300" distR="114300" simplePos="0" relativeHeight="251658297" behindDoc="0" locked="0" layoutInCell="1" allowOverlap="1" wp14:anchorId="580E1B7B" wp14:editId="4359DFB1">
            <wp:simplePos x="0" y="0"/>
            <wp:positionH relativeFrom="margin">
              <wp:align>right</wp:align>
            </wp:positionH>
            <wp:positionV relativeFrom="paragraph">
              <wp:posOffset>852170</wp:posOffset>
            </wp:positionV>
            <wp:extent cx="1387475" cy="1518920"/>
            <wp:effectExtent l="0" t="0" r="3175" b="5080"/>
            <wp:wrapSquare wrapText="bothSides"/>
            <wp:docPr id="345010270" name="Graphic 9">
              <a:extLst xmlns:a="http://schemas.openxmlformats.org/drawingml/2006/main">
                <a:ext uri="{FF2B5EF4-FFF2-40B4-BE49-F238E27FC236}">
                  <a16:creationId xmlns:a16="http://schemas.microsoft.com/office/drawing/2014/main" id="{B5A36752-4DC0-C7B7-5F95-64DBA2356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B5A36752-4DC0-C7B7-5F95-64DBA2356C5A}"/>
                        </a:ext>
                      </a:extLst>
                    </pic:cNvPr>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1387475" cy="1518920"/>
                    </a:xfrm>
                    <a:prstGeom prst="rect">
                      <a:avLst/>
                    </a:prstGeom>
                  </pic:spPr>
                </pic:pic>
              </a:graphicData>
            </a:graphic>
            <wp14:sizeRelH relativeFrom="margin">
              <wp14:pctWidth>0</wp14:pctWidth>
            </wp14:sizeRelH>
            <wp14:sizeRelV relativeFrom="margin">
              <wp14:pctHeight>0</wp14:pctHeight>
            </wp14:sizeRelV>
          </wp:anchor>
        </w:drawing>
      </w:r>
      <w:r w:rsidR="0066047F" w:rsidRPr="00AA0833">
        <w:t>Gain</w:t>
      </w:r>
      <w:r w:rsidR="0066047F">
        <w:t>well’s approach to application/architecture evolution is based on proven practices, both industry best practices and our experience with performing modernization activities. Our approach includes:</w:t>
      </w:r>
    </w:p>
    <w:p w14:paraId="7B1104D6" w14:textId="77777777" w:rsidR="0066047F" w:rsidRDefault="0066047F" w:rsidP="00EE642B">
      <w:pPr>
        <w:pStyle w:val="CvrLtrBullet1Double"/>
      </w:pPr>
      <w:r>
        <w:t>An industry-standard approach to evolving the architecture through The Open Group Architecture Framework (TOGAF)</w:t>
      </w:r>
    </w:p>
    <w:p w14:paraId="56F3716A" w14:textId="77777777" w:rsidR="0066047F" w:rsidRDefault="0066047F" w:rsidP="00EE642B">
      <w:pPr>
        <w:pStyle w:val="CvrLtrBullet1Double"/>
      </w:pPr>
      <w:r>
        <w:t>An assessment to establish the baseline architecture</w:t>
      </w:r>
    </w:p>
    <w:p w14:paraId="5452CA18" w14:textId="77777777" w:rsidR="0066047F" w:rsidRDefault="0066047F" w:rsidP="00EE642B">
      <w:pPr>
        <w:pStyle w:val="CvrLtrBullet1Double"/>
      </w:pPr>
      <w:r>
        <w:t>A modernization roadmap for both application and architecture including:</w:t>
      </w:r>
    </w:p>
    <w:p w14:paraId="6A6ED45D" w14:textId="5B67CED7" w:rsidR="0066047F" w:rsidRDefault="0066047F" w:rsidP="007E3B05">
      <w:pPr>
        <w:pStyle w:val="Bullet2Single0"/>
      </w:pPr>
      <w:r>
        <w:t>Target application and technology architectures</w:t>
      </w:r>
    </w:p>
    <w:p w14:paraId="7BE42550" w14:textId="46223E44" w:rsidR="004F34B1" w:rsidRDefault="004F34B1" w:rsidP="007E3B05">
      <w:pPr>
        <w:pStyle w:val="Bullet2Single0"/>
      </w:pPr>
      <w:r>
        <w:t>Security</w:t>
      </w:r>
    </w:p>
    <w:p w14:paraId="38D5E933" w14:textId="7168E5B6" w:rsidR="0066047F" w:rsidRDefault="0066047F" w:rsidP="0066047F">
      <w:pPr>
        <w:pStyle w:val="Bullet2Double0"/>
      </w:pPr>
      <w:r>
        <w:t>AI and increased automation</w:t>
      </w:r>
    </w:p>
    <w:p w14:paraId="01601536" w14:textId="471B0874" w:rsidR="0066047F" w:rsidRDefault="0066047F" w:rsidP="00EE642B">
      <w:pPr>
        <w:pStyle w:val="CvrLtrBullet1Double"/>
      </w:pPr>
      <w:r>
        <w:t xml:space="preserve">An organizational structure that includes a separate Gainwell </w:t>
      </w:r>
      <w:r w:rsidR="009B7973">
        <w:t>Product</w:t>
      </w:r>
      <w:r>
        <w:t xml:space="preserve"> Team and </w:t>
      </w:r>
      <w:r w:rsidR="009B7973">
        <w:t>a Product Manager</w:t>
      </w:r>
      <w:r w:rsidR="009113B5">
        <w:t xml:space="preserve"> and architect</w:t>
      </w:r>
      <w:r w:rsidR="009B7973">
        <w:t xml:space="preserve"> to oversee application/architecture evolution proof-of-concept (POC) projects when applicable</w:t>
      </w:r>
    </w:p>
    <w:p w14:paraId="12DA0ACB" w14:textId="42B42EB1" w:rsidR="00C21B82" w:rsidRDefault="00C21B82" w:rsidP="00C21B82">
      <w:pPr>
        <w:pStyle w:val="BodyText"/>
      </w:pPr>
      <w:r>
        <w:t>As described in Section 4.2, our approach incorporates two software development teams, our Product Team and our Application Maintenance Team.</w:t>
      </w:r>
    </w:p>
    <w:p w14:paraId="51DCB948" w14:textId="77777777" w:rsidR="00C21B82" w:rsidRDefault="00C21B82" w:rsidP="00C21B82">
      <w:pPr>
        <w:pStyle w:val="BodyText"/>
      </w:pPr>
      <w:r>
        <w:t>Our Application Maintenance Team under the leadership of our Application Manager focuses on System Change Requests (SCRs).</w:t>
      </w:r>
    </w:p>
    <w:p w14:paraId="5E1A5743" w14:textId="733547DE" w:rsidR="0066047F" w:rsidRDefault="0066047F" w:rsidP="0066047F">
      <w:pPr>
        <w:pStyle w:val="BodyText"/>
      </w:pPr>
      <w:r>
        <w:t xml:space="preserve">Our </w:t>
      </w:r>
      <w:r w:rsidR="009B7973">
        <w:t>Product</w:t>
      </w:r>
      <w:r>
        <w:t xml:space="preserve"> Team delivers modernization and innovation projects using our proposed application development process:</w:t>
      </w:r>
    </w:p>
    <w:p w14:paraId="33928A58" w14:textId="77777777" w:rsidR="0066047F" w:rsidRDefault="0066047F" w:rsidP="00EE642B">
      <w:pPr>
        <w:pStyle w:val="CvrLtrBullet1Double"/>
      </w:pPr>
      <w:r>
        <w:t>An Agile SDLC</w:t>
      </w:r>
    </w:p>
    <w:p w14:paraId="17D23194" w14:textId="77777777" w:rsidR="0066047F" w:rsidRDefault="0066047F" w:rsidP="00EE642B">
      <w:pPr>
        <w:pStyle w:val="CvrLtrBullet1Double"/>
      </w:pPr>
      <w:r w:rsidRPr="00AA0833">
        <w:t>DevSecOps improvements to improve security and build, test, and deploy with increased automation</w:t>
      </w:r>
    </w:p>
    <w:p w14:paraId="75C4CBE9" w14:textId="769B3EA1" w:rsidR="0066047F" w:rsidRDefault="009B7973" w:rsidP="00EE642B">
      <w:pPr>
        <w:pStyle w:val="CvrLtrBullet1Double"/>
      </w:pPr>
      <w:r>
        <w:t>Coordination with the CalSAWS release management processes including use of Release-When-Ready</w:t>
      </w:r>
    </w:p>
    <w:p w14:paraId="75A3CD5C" w14:textId="65541ADC" w:rsidR="009B7973" w:rsidRDefault="009B7973" w:rsidP="00EE642B">
      <w:pPr>
        <w:pStyle w:val="CvrLtrBullet1Double"/>
      </w:pPr>
      <w:r>
        <w:t xml:space="preserve">Integration with the CalSAWS infrastructure processes </w:t>
      </w:r>
      <w:r w:rsidR="0027397A">
        <w:t>for architecture changes</w:t>
      </w:r>
    </w:p>
    <w:p w14:paraId="19CF9EFC" w14:textId="27619029" w:rsidR="0066047F" w:rsidRPr="00D85D45" w:rsidRDefault="0066047F" w:rsidP="0066047F">
      <w:pPr>
        <w:pStyle w:val="BodyText"/>
      </w:pPr>
      <w:r>
        <w:t xml:space="preserve">Our </w:t>
      </w:r>
      <w:r w:rsidR="0027397A">
        <w:t>Product</w:t>
      </w:r>
      <w:r>
        <w:t xml:space="preserve"> Team is the proving ground for the proposed</w:t>
      </w:r>
      <w:r w:rsidR="0027397A">
        <w:t xml:space="preserve"> application/architecture evolution</w:t>
      </w:r>
      <w:r>
        <w:t xml:space="preserve"> enhancements.</w:t>
      </w:r>
    </w:p>
    <w:p w14:paraId="59CD189D" w14:textId="26594D3C" w:rsidR="0006574B" w:rsidRDefault="0006574B" w:rsidP="0006574B">
      <w:pPr>
        <w:pStyle w:val="BodyText"/>
      </w:pPr>
      <w:r>
        <w:t xml:space="preserve">If a single team attempts to both maintain the application and transform it, it will inevitably get caught up in the maintenance part to the detriment of the transformation part. </w:t>
      </w:r>
      <w:r w:rsidRPr="00446DDD">
        <w:t>To</w:t>
      </w:r>
      <w:r>
        <w:t xml:space="preserve"> avoid this pitfall and accelerate the evolution of the </w:t>
      </w:r>
      <w:r w:rsidR="009113B5">
        <w:t>BenefitsCal</w:t>
      </w:r>
      <w:r>
        <w:t xml:space="preserve"> </w:t>
      </w:r>
      <w:r w:rsidRPr="00446DDD">
        <w:lastRenderedPageBreak/>
        <w:t>application</w:t>
      </w:r>
      <w:r>
        <w:t xml:space="preserve">, the </w:t>
      </w:r>
      <w:r w:rsidR="00543A18">
        <w:t>Product Team</w:t>
      </w:r>
      <w:r>
        <w:t xml:space="preserve"> </w:t>
      </w:r>
      <w:r w:rsidRPr="00446DDD">
        <w:t>focuses</w:t>
      </w:r>
      <w:r>
        <w:t xml:space="preserve"> on innovation, modernization, and transformation to</w:t>
      </w:r>
      <w:r w:rsidRPr="00446DDD">
        <w:t xml:space="preserve"> keep</w:t>
      </w:r>
      <w:r>
        <w:t xml:space="preserve"> the </w:t>
      </w:r>
      <w:r w:rsidR="009113B5">
        <w:t>BenefitsCal</w:t>
      </w:r>
      <w:r>
        <w:t xml:space="preserve"> </w:t>
      </w:r>
      <w:r w:rsidR="009113B5">
        <w:t>portal</w:t>
      </w:r>
      <w:r>
        <w:t xml:space="preserve"> relevant. </w:t>
      </w:r>
    </w:p>
    <w:p w14:paraId="2C361834" w14:textId="4CB94363" w:rsidR="0006574B" w:rsidRDefault="0006574B" w:rsidP="0006574B">
      <w:pPr>
        <w:pStyle w:val="BodyText"/>
      </w:pPr>
      <w:r>
        <w:t xml:space="preserve">While the Application Maintenance Team implements policy and incremental enhancement to the </w:t>
      </w:r>
      <w:r w:rsidR="009113B5">
        <w:t>portal</w:t>
      </w:r>
      <w:r>
        <w:t xml:space="preserve">, </w:t>
      </w:r>
      <w:r w:rsidRPr="007003FA">
        <w:rPr>
          <w:b/>
        </w:rPr>
        <w:t xml:space="preserve">the </w:t>
      </w:r>
      <w:r w:rsidR="00543A18" w:rsidRPr="007003FA">
        <w:rPr>
          <w:b/>
        </w:rPr>
        <w:t>Product Team</w:t>
      </w:r>
      <w:r w:rsidRPr="007003FA">
        <w:rPr>
          <w:b/>
        </w:rPr>
        <w:t xml:space="preserve"> progresses the architecture and </w:t>
      </w:r>
      <w:r w:rsidR="009113B5" w:rsidRPr="007003FA">
        <w:rPr>
          <w:b/>
        </w:rPr>
        <w:t>conducts proof-of-concepts of innovation ideas</w:t>
      </w:r>
      <w:r>
        <w:t xml:space="preserve">. Once a transformative change is introduced into the production </w:t>
      </w:r>
      <w:r w:rsidR="009113B5">
        <w:t>BenefitsCal</w:t>
      </w:r>
      <w:r>
        <w:t xml:space="preserve"> application, the Application Maintenance Team takes over ongoing maintenance responsibility. </w:t>
      </w:r>
    </w:p>
    <w:p w14:paraId="324B3C36" w14:textId="5C5C015E" w:rsidR="0006574B" w:rsidRDefault="0006574B" w:rsidP="0006574B">
      <w:pPr>
        <w:pStyle w:val="BodyText"/>
      </w:pPr>
      <w:r>
        <w:t xml:space="preserve">The Gainwell Application </w:t>
      </w:r>
      <w:r w:rsidR="00D02F15">
        <w:t>Manager</w:t>
      </w:r>
      <w:r>
        <w:t xml:space="preserve">, Gainwell Project Manager, and Gainwell Business Office Leader coordinate closely with the Consortium PMO to determine the anticipated budget for </w:t>
      </w:r>
      <w:r w:rsidR="002703E7">
        <w:t>innovation</w:t>
      </w:r>
      <w:r>
        <w:t xml:space="preserve"> activities. They use this information to proactively increase or decrease staff on the </w:t>
      </w:r>
      <w:r w:rsidR="00543A18">
        <w:t>Product Team</w:t>
      </w:r>
      <w:r>
        <w:t xml:space="preserve"> in accordance with the projects that will be funded. </w:t>
      </w:r>
    </w:p>
    <w:p w14:paraId="0B51BBBD" w14:textId="77C607E7" w:rsidR="0006574B" w:rsidRDefault="0006574B" w:rsidP="0006574B">
      <w:pPr>
        <w:pStyle w:val="BodyText"/>
      </w:pPr>
      <w:r>
        <w:t xml:space="preserve">Key members of the </w:t>
      </w:r>
      <w:r w:rsidR="00543A18">
        <w:t>Product Team</w:t>
      </w:r>
      <w:r>
        <w:t xml:space="preserve"> (leadership, architects, experts in the </w:t>
      </w:r>
      <w:r w:rsidR="00D02F15">
        <w:t>BenefitsCal</w:t>
      </w:r>
      <w:r>
        <w:t xml:space="preserve"> environment and synchronization process, etc.) are the basis of the team, providing continuity and ability. This stable foundation allows technology and SMEs to join and exit the </w:t>
      </w:r>
      <w:r w:rsidR="00543A18">
        <w:t>Product Team</w:t>
      </w:r>
      <w:r>
        <w:t xml:space="preserve"> based on current project composition and technology under consideration.</w:t>
      </w:r>
    </w:p>
    <w:p w14:paraId="599BE626" w14:textId="318FDA5E" w:rsidR="0006574B" w:rsidRDefault="0006574B" w:rsidP="0006574B">
      <w:pPr>
        <w:pStyle w:val="BodyText"/>
      </w:pPr>
      <w:r>
        <w:t xml:space="preserve">The </w:t>
      </w:r>
      <w:r w:rsidR="00543A18">
        <w:t>Product Team</w:t>
      </w:r>
      <w:r>
        <w:t xml:space="preserve"> also reduces the </w:t>
      </w:r>
      <w:r w:rsidR="002703E7">
        <w:t xml:space="preserve">cost </w:t>
      </w:r>
      <w:r>
        <w:t xml:space="preserve">and </w:t>
      </w:r>
      <w:r w:rsidR="002703E7">
        <w:t>risk</w:t>
      </w:r>
      <w:r>
        <w:t xml:space="preserve"> associated with change to the application enhancement processes. Delivery processes, such as increasing the use of DevSecOps, are fully implemented and in use by the </w:t>
      </w:r>
      <w:r w:rsidR="00543A18">
        <w:t>Product Team</w:t>
      </w:r>
      <w:r>
        <w:t xml:space="preserve"> prior to their introduction into maintenance of the </w:t>
      </w:r>
      <w:r w:rsidR="00B203D5">
        <w:t>BenefitsCal production</w:t>
      </w:r>
      <w:r>
        <w:t xml:space="preserve"> application. This strategy reduces the risk of introducing delivery problems associated with process change. Having the </w:t>
      </w:r>
      <w:r w:rsidR="00543A18">
        <w:t>Product Team</w:t>
      </w:r>
      <w:r>
        <w:t xml:space="preserve"> use new delivery processes prior to deploying the changes to the larger organization also avoids cost, both in terms of dollars and time spent, to overcome challenges in the larger organization. The </w:t>
      </w:r>
      <w:r w:rsidR="00543A18">
        <w:t>Product Team</w:t>
      </w:r>
      <w:r>
        <w:t xml:space="preserve"> will already have “road tested” the processes and identified lessons learned and best practices to employ in the rollout to the larger organization.</w:t>
      </w:r>
    </w:p>
    <w:p w14:paraId="425D2239" w14:textId="0DA17F88" w:rsidR="0006574B" w:rsidRPr="001A00A7" w:rsidRDefault="00537EB1" w:rsidP="00CC1813">
      <w:pPr>
        <w:pStyle w:val="HeadingManual3"/>
        <w:rPr>
          <w:b w:val="0"/>
          <w:szCs w:val="28"/>
        </w:rPr>
      </w:pPr>
      <w:bookmarkStart w:id="73" w:name="_Toc173187490"/>
      <w:r w:rsidRPr="001A00A7">
        <w:t>4.3.1</w:t>
      </w:r>
      <w:r w:rsidR="00CC1813">
        <w:tab/>
      </w:r>
      <w:r w:rsidR="0006574B" w:rsidRPr="001A00A7">
        <w:t>Enterprise Architecture Framework</w:t>
      </w:r>
      <w:bookmarkEnd w:id="73"/>
    </w:p>
    <w:p w14:paraId="09F6B4BC" w14:textId="32A373ED" w:rsidR="0006574B" w:rsidRDefault="0006574B" w:rsidP="0006574B">
      <w:pPr>
        <w:pStyle w:val="BodyText"/>
      </w:pPr>
      <w:r>
        <w:t>Coordinating the application/architecture evolution requires a foundational enterprise architecture framework. We employ TOGAF for enterprise architecture.</w:t>
      </w:r>
      <w:r w:rsidDel="008C76C3">
        <w:t xml:space="preserve"> </w:t>
      </w:r>
      <w:r>
        <w:t xml:space="preserve">Our enterprise architecture framework guides the overall approach to the application/architecture evolution. However, evolution activities implemented must also be tied to </w:t>
      </w:r>
      <w:r w:rsidR="00B203D5">
        <w:t>BenefitsCal</w:t>
      </w:r>
      <w:r>
        <w:t xml:space="preserve"> business rationale, such as lowering cost or increasing flexibility.</w:t>
      </w:r>
    </w:p>
    <w:p w14:paraId="58804379" w14:textId="422F2BD2" w:rsidR="0006574B" w:rsidRDefault="0006574B" w:rsidP="0006574B">
      <w:pPr>
        <w:pStyle w:val="BodyText"/>
      </w:pPr>
      <w:r>
        <w:t xml:space="preserve">Establishing the architecture framework begins with verifying the baseline business, technology, data, and application architectures. This concept equates to “Assess current reality” in </w:t>
      </w:r>
      <w:r w:rsidR="00B203D5">
        <w:t>the figure below</w:t>
      </w:r>
      <w:r>
        <w:t xml:space="preserve">. </w:t>
      </w:r>
    </w:p>
    <w:p w14:paraId="7915CC92" w14:textId="7D74A0F4" w:rsidR="009962BB" w:rsidRDefault="006F3A56" w:rsidP="004339C5">
      <w:pPr>
        <w:pStyle w:val="FigureCaptionAuto"/>
      </w:pPr>
      <w:bookmarkStart w:id="74" w:name="_Toc173187528"/>
      <w:r>
        <w:lastRenderedPageBreak/>
        <w:t>TOG</w:t>
      </w:r>
      <w:r w:rsidR="00EC3E64">
        <w:t>AF Enterprise Architecture Framework</w:t>
      </w:r>
      <w:bookmarkEnd w:id="74"/>
    </w:p>
    <w:p w14:paraId="3A3349C6" w14:textId="77777777" w:rsidR="0006574B" w:rsidRDefault="0006574B" w:rsidP="0006574B">
      <w:pPr>
        <w:pStyle w:val="BodyText"/>
        <w:jc w:val="center"/>
      </w:pPr>
      <w:r>
        <w:rPr>
          <w:noProof/>
        </w:rPr>
        <w:drawing>
          <wp:inline distT="0" distB="0" distL="0" distR="0" wp14:anchorId="1E2122F5" wp14:editId="5E215DD0">
            <wp:extent cx="5943600" cy="4197294"/>
            <wp:effectExtent l="0" t="0" r="0" b="0"/>
            <wp:docPr id="1539761734" name="Picture 153976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96">
                      <a:extLst>
                        <a:ext uri="{28A0092B-C50C-407E-A947-70E740481C1C}">
                          <a14:useLocalDpi xmlns:a14="http://schemas.microsoft.com/office/drawing/2010/main" val="0"/>
                        </a:ext>
                      </a:extLst>
                    </a:blip>
                    <a:srcRect b="3825"/>
                    <a:stretch/>
                  </pic:blipFill>
                  <pic:spPr bwMode="auto">
                    <a:xfrm>
                      <a:off x="0" y="0"/>
                      <a:ext cx="5943600" cy="4197294"/>
                    </a:xfrm>
                    <a:prstGeom prst="rect">
                      <a:avLst/>
                    </a:prstGeom>
                    <a:noFill/>
                    <a:ln>
                      <a:noFill/>
                    </a:ln>
                    <a:extLst>
                      <a:ext uri="{53640926-AAD7-44D8-BBD7-CCE9431645EC}">
                        <a14:shadowObscured xmlns:a14="http://schemas.microsoft.com/office/drawing/2010/main"/>
                      </a:ext>
                    </a:extLst>
                  </pic:spPr>
                </pic:pic>
              </a:graphicData>
            </a:graphic>
          </wp:inline>
        </w:drawing>
      </w:r>
    </w:p>
    <w:p w14:paraId="5CA1FDA8" w14:textId="35C2B3B7" w:rsidR="0006574B" w:rsidRDefault="0006574B" w:rsidP="0006574B">
      <w:pPr>
        <w:pStyle w:val="BodyText"/>
      </w:pPr>
      <w:r>
        <w:t>As represented in the second column, we identify</w:t>
      </w:r>
      <w:r w:rsidRPr="0053625F">
        <w:t xml:space="preserve"> </w:t>
      </w:r>
      <w:r>
        <w:t xml:space="preserve">corresponding target architectures, considering CalSAWS security policies. This process builds on the work already conducted, revisiting the current and potential architecture provided by the CalSAWS Consortium. </w:t>
      </w:r>
    </w:p>
    <w:p w14:paraId="5A9EB9CF" w14:textId="5A3F16B8" w:rsidR="0004383F" w:rsidRDefault="00D91559" w:rsidP="001237A7">
      <w:pPr>
        <w:pStyle w:val="BodyText"/>
      </w:pPr>
      <w:r w:rsidRPr="00D91559">
        <w:rPr>
          <w:noProof/>
        </w:rPr>
        <w:drawing>
          <wp:anchor distT="0" distB="0" distL="114300" distR="114300" simplePos="0" relativeHeight="251658298" behindDoc="0" locked="0" layoutInCell="1" allowOverlap="1" wp14:anchorId="415779AB" wp14:editId="67DB0397">
            <wp:simplePos x="0" y="0"/>
            <wp:positionH relativeFrom="column">
              <wp:posOffset>0</wp:posOffset>
            </wp:positionH>
            <wp:positionV relativeFrom="paragraph">
              <wp:posOffset>-2702</wp:posOffset>
            </wp:positionV>
            <wp:extent cx="2119423" cy="733388"/>
            <wp:effectExtent l="0" t="0" r="0" b="0"/>
            <wp:wrapSquare wrapText="bothSides"/>
            <wp:docPr id="1380680639" name="Graphic 4">
              <a:extLst xmlns:a="http://schemas.openxmlformats.org/drawingml/2006/main">
                <a:ext uri="{FF2B5EF4-FFF2-40B4-BE49-F238E27FC236}">
                  <a16:creationId xmlns:a16="http://schemas.microsoft.com/office/drawing/2014/main" id="{654005B6-BCA0-2134-C066-2D64D93155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4">
                      <a:extLst>
                        <a:ext uri="{FF2B5EF4-FFF2-40B4-BE49-F238E27FC236}">
                          <a16:creationId xmlns:a16="http://schemas.microsoft.com/office/drawing/2014/main" id="{654005B6-BCA0-2134-C066-2D64D93155E4}"/>
                        </a:ext>
                      </a:extLst>
                    </pic:cNvPr>
                    <pic:cNvPicPr>
                      <a:picLocks noChangeAspect="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2119423" cy="733388"/>
                    </a:xfrm>
                    <a:prstGeom prst="rect">
                      <a:avLst/>
                    </a:prstGeom>
                  </pic:spPr>
                </pic:pic>
              </a:graphicData>
            </a:graphic>
            <wp14:sizeRelH relativeFrom="page">
              <wp14:pctWidth>0</wp14:pctWidth>
            </wp14:sizeRelH>
            <wp14:sizeRelV relativeFrom="page">
              <wp14:pctHeight>0</wp14:pctHeight>
            </wp14:sizeRelV>
          </wp:anchor>
        </w:drawing>
      </w:r>
      <w:r w:rsidR="0006574B">
        <w:t xml:space="preserve">Using this baseline documentation, as represented in the third column, we conduct an analysis, considering the target architecture, to develop the </w:t>
      </w:r>
      <w:r w:rsidR="009219CC" w:rsidRPr="004737F5">
        <w:rPr>
          <w:b/>
          <w:bCs/>
        </w:rPr>
        <w:t xml:space="preserve">Application </w:t>
      </w:r>
      <w:r w:rsidR="0006574B" w:rsidRPr="004737F5">
        <w:rPr>
          <w:b/>
          <w:bCs/>
        </w:rPr>
        <w:t xml:space="preserve">Architecture Evolution </w:t>
      </w:r>
      <w:r w:rsidR="00FD5014" w:rsidRPr="004737F5">
        <w:rPr>
          <w:b/>
          <w:bCs/>
        </w:rPr>
        <w:t>roadmap</w:t>
      </w:r>
      <w:r w:rsidR="0006574B">
        <w:t xml:space="preserve">. </w:t>
      </w:r>
    </w:p>
    <w:p w14:paraId="54D15C56" w14:textId="1943D713" w:rsidR="00993387" w:rsidRDefault="009219CC" w:rsidP="001237A7">
      <w:pPr>
        <w:pStyle w:val="BodyText"/>
      </w:pPr>
      <w:r>
        <w:t>The</w:t>
      </w:r>
      <w:r w:rsidR="00667C69">
        <w:t xml:space="preserve"> target architecture, documented in the </w:t>
      </w:r>
      <w:r>
        <w:t>Application</w:t>
      </w:r>
      <w:r w:rsidR="00667C69">
        <w:t xml:space="preserve"> Architecture Evolution</w:t>
      </w:r>
      <w:r>
        <w:t xml:space="preserve"> roadmap</w:t>
      </w:r>
      <w:r w:rsidR="00667C69">
        <w:t>, will be the result of working in collaboration with the Consortium and other contractors. We anticipate</w:t>
      </w:r>
      <w:r w:rsidR="00667C69" w:rsidDel="00CA1F48">
        <w:t xml:space="preserve"> </w:t>
      </w:r>
      <w:r w:rsidR="00667C69">
        <w:t>the target architecture recommendation will result in a series of projects implemented in a phased approach.</w:t>
      </w:r>
    </w:p>
    <w:p w14:paraId="38B8A781" w14:textId="52BA9C31" w:rsidR="008766F8" w:rsidRDefault="008766F8" w:rsidP="008766F8">
      <w:pPr>
        <w:pStyle w:val="BodyText"/>
      </w:pPr>
      <w:r>
        <w:t xml:space="preserve">As we implement projects and phases, we will reassess to verify the next phase continues to be relevant, the business priorities have not changed, and there are not new alternatives to consider. </w:t>
      </w:r>
    </w:p>
    <w:p w14:paraId="6E073C3D" w14:textId="0E672207" w:rsidR="006D7DB9" w:rsidRDefault="006D7DB9" w:rsidP="008766F8">
      <w:pPr>
        <w:pStyle w:val="BodyText"/>
      </w:pPr>
      <w:r>
        <w:t xml:space="preserve">Also important in developing the Application Architecture Evolution roadmap, will be the development of the </w:t>
      </w:r>
      <w:r w:rsidRPr="004737F5">
        <w:rPr>
          <w:b/>
          <w:bCs/>
        </w:rPr>
        <w:t xml:space="preserve">BenefitsCal Approach to Automation, Artificial Intelligence and </w:t>
      </w:r>
      <w:r w:rsidRPr="004737F5">
        <w:rPr>
          <w:b/>
          <w:bCs/>
        </w:rPr>
        <w:lastRenderedPageBreak/>
        <w:t>Machine Learning</w:t>
      </w:r>
      <w:r w:rsidR="00523437">
        <w:t xml:space="preserve">. </w:t>
      </w:r>
      <w:r>
        <w:t>Following completion of the approach deliverable, we anticipate that a series of projects will begin to implement approved enhancements.</w:t>
      </w:r>
    </w:p>
    <w:p w14:paraId="3350C6AE" w14:textId="19485FD1" w:rsidR="008766F8" w:rsidRDefault="008766F8" w:rsidP="00A20CE9">
      <w:pPr>
        <w:pStyle w:val="BodyText"/>
      </w:pPr>
      <w:r>
        <w:t>Possible uses of automation, AI, and machine learning include:</w:t>
      </w:r>
    </w:p>
    <w:p w14:paraId="656A99DC" w14:textId="3E10B606" w:rsidR="008766F8" w:rsidRPr="00D14016" w:rsidRDefault="008766F8" w:rsidP="00EE642B">
      <w:pPr>
        <w:pStyle w:val="CvrLtrBullet1Double"/>
      </w:pPr>
      <w:r>
        <w:t xml:space="preserve">Use of </w:t>
      </w:r>
      <w:r w:rsidRPr="00D14016">
        <w:t xml:space="preserve">machine learning to identify </w:t>
      </w:r>
      <w:r w:rsidR="00A20CE9">
        <w:t>portal</w:t>
      </w:r>
      <w:r w:rsidRPr="00D14016">
        <w:t xml:space="preserve"> usage patterns in which, for example, the user is navigating back to previously accessed pages </w:t>
      </w:r>
    </w:p>
    <w:p w14:paraId="459D748C" w14:textId="77777777" w:rsidR="008766F8" w:rsidRPr="00D14016" w:rsidRDefault="008766F8" w:rsidP="00EE642B">
      <w:pPr>
        <w:pStyle w:val="CvrLtrBullet1Double"/>
      </w:pPr>
      <w:r w:rsidRPr="00D14016">
        <w:t xml:space="preserve">Use of machine learning applied to the audit or error logs </w:t>
      </w:r>
    </w:p>
    <w:p w14:paraId="448D00B7" w14:textId="77777777" w:rsidR="008766F8" w:rsidRPr="00D14016" w:rsidRDefault="008766F8" w:rsidP="00EE642B">
      <w:pPr>
        <w:pStyle w:val="CvrLtrBullet1Double"/>
      </w:pPr>
      <w:r w:rsidRPr="00D14016">
        <w:t>DevSecOps improvements</w:t>
      </w:r>
    </w:p>
    <w:p w14:paraId="70614EDC" w14:textId="77777777" w:rsidR="008766F8" w:rsidRPr="00D14016" w:rsidRDefault="008766F8" w:rsidP="00EE642B">
      <w:pPr>
        <w:pStyle w:val="CvrLtrBullet1Double"/>
      </w:pPr>
      <w:r w:rsidRPr="00D14016">
        <w:t>Automated security scans as part of the development process</w:t>
      </w:r>
    </w:p>
    <w:p w14:paraId="601B3AB7" w14:textId="77777777" w:rsidR="008766F8" w:rsidRPr="001C4358" w:rsidRDefault="008766F8" w:rsidP="00EE642B">
      <w:pPr>
        <w:pStyle w:val="CvrLtrBullet1Double"/>
      </w:pPr>
      <w:r w:rsidRPr="00D14016">
        <w:t>Generation and</w:t>
      </w:r>
      <w:r>
        <w:t xml:space="preserve"> execution of unit test cases</w:t>
      </w:r>
    </w:p>
    <w:p w14:paraId="0FA874CC" w14:textId="06281269" w:rsidR="008766F8" w:rsidRDefault="008766F8" w:rsidP="00EE642B">
      <w:pPr>
        <w:pStyle w:val="CvrLtrBullet1Double"/>
      </w:pPr>
      <w:r>
        <w:t xml:space="preserve">Automation through use of </w:t>
      </w:r>
      <w:r w:rsidR="00ED3E32">
        <w:t>Infrastructure as Code (</w:t>
      </w:r>
      <w:r w:rsidRPr="00952B20">
        <w:t>IaC</w:t>
      </w:r>
      <w:r>
        <w:t xml:space="preserve"> </w:t>
      </w:r>
      <w:r w:rsidR="00ED3E32">
        <w:t>)</w:t>
      </w:r>
    </w:p>
    <w:p w14:paraId="4C956251" w14:textId="53FEC350" w:rsidR="008766F8" w:rsidRPr="00A20CE9" w:rsidRDefault="008766F8" w:rsidP="00A20CE9">
      <w:pPr>
        <w:pStyle w:val="BodyText"/>
      </w:pPr>
      <w:r w:rsidRPr="00A20CE9">
        <w:t>Together, th</w:t>
      </w:r>
      <w:r w:rsidR="00A20CE9">
        <w:t>is approach including the Application Architecture Evolution roadmap and the BenefitsCal Approach to Automation, Artificial Intelligence and Machine Learning</w:t>
      </w:r>
      <w:r w:rsidR="00A92B26">
        <w:t xml:space="preserve"> </w:t>
      </w:r>
      <w:r w:rsidRPr="00A20CE9">
        <w:t xml:space="preserve">provide the structure for evolving </w:t>
      </w:r>
      <w:r w:rsidR="00A20CE9">
        <w:t>BenefitsCal</w:t>
      </w:r>
      <w:r w:rsidRPr="00A20CE9">
        <w:t xml:space="preserve"> to keep it relevant, increase flexibility and scalability, and reduce cost. </w:t>
      </w:r>
    </w:p>
    <w:p w14:paraId="19235468" w14:textId="6FDC740D" w:rsidR="001A00A7" w:rsidRPr="001A00A7" w:rsidRDefault="001A00A7" w:rsidP="00CC1813">
      <w:pPr>
        <w:pStyle w:val="HeadingManual3"/>
        <w:rPr>
          <w:b w:val="0"/>
          <w:szCs w:val="28"/>
        </w:rPr>
      </w:pPr>
      <w:bookmarkStart w:id="75" w:name="_Toc173187491"/>
      <w:r w:rsidRPr="001A00A7">
        <w:t>4.3.</w:t>
      </w:r>
      <w:r>
        <w:t>2</w:t>
      </w:r>
      <w:r w:rsidR="00CC1813">
        <w:tab/>
      </w:r>
      <w:r>
        <w:t>Security Considerations</w:t>
      </w:r>
      <w:bookmarkEnd w:id="75"/>
    </w:p>
    <w:p w14:paraId="1977245C" w14:textId="4DBC3FAA" w:rsidR="00085F1F" w:rsidRDefault="00470C4E" w:rsidP="00085F1F">
      <w:pPr>
        <w:pStyle w:val="BodyText"/>
      </w:pPr>
      <w:r>
        <w:t>Gainwell adheres to the Consortium security policies as well as the Artificial Intelligence policy</w:t>
      </w:r>
      <w:r w:rsidR="00523437">
        <w:t xml:space="preserve">. </w:t>
      </w:r>
    </w:p>
    <w:p w14:paraId="6F2BDF1A" w14:textId="05239281" w:rsidR="000A5766" w:rsidRDefault="000A5766" w:rsidP="00085F1F">
      <w:pPr>
        <w:pStyle w:val="BodyText"/>
      </w:pPr>
      <w:r>
        <w:t>Our team of account security/account privacy officers brings proven best practices for training and for policies and procedures that support project teams in protecting the privacy of personally identifiable information (PII) and meet HIPAA requirements in our systems and our operations. Our mandatory security and privacy training for all Gainwell employees is in addition to the annual CalSAWS security training.</w:t>
      </w:r>
    </w:p>
    <w:p w14:paraId="0ABAA0A3" w14:textId="722593F2" w:rsidR="00085F1F" w:rsidRDefault="00085F1F" w:rsidP="00085F1F">
      <w:pPr>
        <w:pStyle w:val="BodyText"/>
      </w:pPr>
      <w:r>
        <w:t>We perform security-related activities (administrative, technical, and physical) to protect the BenefitsCal assets and data from loss, misuse, unauthorized access, disclosure, alteration, and destruction.</w:t>
      </w:r>
    </w:p>
    <w:p w14:paraId="34B13E12" w14:textId="77777777" w:rsidR="00085F1F" w:rsidRDefault="00085F1F" w:rsidP="00085F1F">
      <w:pPr>
        <w:pStyle w:val="BodyText"/>
      </w:pPr>
      <w:r>
        <w:t>Our Gainwell security practice works with our project teams to establish and support high-quality security. In cloud-based delivery, the cloud vendor secures the cloud service itself. AWS, for example, demonstrates its security practices through its FedRAMP authority to operate and annual audit reports that demonstrate compliance with industry standards, including AWS Security, Availability, and Confidentiality SOC 1, AWS SOC 2, AWS SOC 2 (Privacy Type I), and AWS SOC 3.</w:t>
      </w:r>
    </w:p>
    <w:p w14:paraId="0EA6FC81" w14:textId="77777777" w:rsidR="00085F1F" w:rsidRDefault="00085F1F" w:rsidP="00085F1F">
      <w:pPr>
        <w:pStyle w:val="BodyText"/>
      </w:pPr>
      <w:r>
        <w:t xml:space="preserve">We manage the security of data, applications, and identity and access management running in the cloud. Our practices are documented and align with Consortium requirements and regulations. </w:t>
      </w:r>
    </w:p>
    <w:p w14:paraId="37318AAD" w14:textId="77777777" w:rsidR="00085F1F" w:rsidRPr="00D2564C" w:rsidRDefault="00085F1F" w:rsidP="00085F1F">
      <w:pPr>
        <w:pStyle w:val="BodyText"/>
        <w:rPr>
          <w:b/>
        </w:rPr>
      </w:pPr>
      <w:r>
        <w:t>Our Security Manager</w:t>
      </w:r>
      <w:r>
        <w:rPr>
          <w:noProof/>
        </w:rPr>
        <w:t xml:space="preserve"> will be responsible for oversight of our security delivery including coordination with </w:t>
      </w:r>
      <w:r>
        <w:t xml:space="preserve">the CalSAWS Infrastructure and M&amp;E </w:t>
      </w:r>
      <w:r w:rsidRPr="00952B20">
        <w:t>Contractor</w:t>
      </w:r>
      <w:r>
        <w:t>s</w:t>
      </w:r>
      <w:r>
        <w:rPr>
          <w:noProof/>
        </w:rPr>
        <w:t xml:space="preserve"> and the </w:t>
      </w:r>
      <w:r w:rsidRPr="00673755">
        <w:t>Consortium</w:t>
      </w:r>
      <w:r>
        <w:rPr>
          <w:noProof/>
        </w:rPr>
        <w:t xml:space="preserve"> </w:t>
      </w:r>
      <w:r>
        <w:rPr>
          <w:noProof/>
        </w:rPr>
        <w:lastRenderedPageBreak/>
        <w:t>Security team.</w:t>
      </w:r>
      <w:r>
        <w:rPr>
          <w:b/>
          <w:bCs/>
        </w:rPr>
        <w:t xml:space="preserve"> </w:t>
      </w:r>
      <w:r>
        <w:rPr>
          <w:szCs w:val="22"/>
        </w:rPr>
        <w:t xml:space="preserve">Our Security Manager will also coordinate our updates to the existing System Security Plan (SSP). </w:t>
      </w:r>
    </w:p>
    <w:p w14:paraId="57D0304F" w14:textId="7C901EAC" w:rsidR="005469AA" w:rsidRPr="00563C7C" w:rsidRDefault="005469AA" w:rsidP="005469AA">
      <w:pPr>
        <w:pStyle w:val="BodyText"/>
      </w:pPr>
      <w:r w:rsidRPr="00204207">
        <w:t>We recognize that CalSAWS has several security tools in</w:t>
      </w:r>
      <w:r w:rsidRPr="0057593D">
        <w:t xml:space="preserve"> place to protect the systems, infrastructure</w:t>
      </w:r>
      <w:r>
        <w:t>,</w:t>
      </w:r>
      <w:r w:rsidRPr="0057593D">
        <w:t xml:space="preserve"> and data. </w:t>
      </w:r>
      <w:r>
        <w:t xml:space="preserve">To ensure security measures are continually addressed, we review the existing security tools and reporting, </w:t>
      </w:r>
      <w:r w:rsidRPr="00204207">
        <w:t>evaluate their current use</w:t>
      </w:r>
      <w:r>
        <w:t>,</w:t>
      </w:r>
      <w:r w:rsidRPr="00204207">
        <w:t xml:space="preserve"> and look for any gaps. </w:t>
      </w:r>
      <w:r>
        <w:rPr>
          <w:lang w:bidi="ar-SA"/>
        </w:rPr>
        <w:t>For example, we evaluate the current usage of</w:t>
      </w:r>
      <w:r w:rsidRPr="00563C7C">
        <w:rPr>
          <w:lang w:bidi="ar-SA"/>
        </w:rPr>
        <w:t xml:space="preserve"> AWS security tools</w:t>
      </w:r>
      <w:r>
        <w:rPr>
          <w:lang w:bidi="ar-SA"/>
        </w:rPr>
        <w:t>,</w:t>
      </w:r>
      <w:r w:rsidRPr="00563C7C">
        <w:rPr>
          <w:lang w:bidi="ar-SA"/>
        </w:rPr>
        <w:t xml:space="preserve"> </w:t>
      </w:r>
      <w:r>
        <w:rPr>
          <w:lang w:bidi="ar-SA"/>
        </w:rPr>
        <w:t>verifying that</w:t>
      </w:r>
      <w:r w:rsidRPr="00563C7C">
        <w:rPr>
          <w:lang w:bidi="ar-SA"/>
        </w:rPr>
        <w:t xml:space="preserve"> </w:t>
      </w:r>
      <w:r>
        <w:rPr>
          <w:lang w:bidi="ar-SA"/>
        </w:rPr>
        <w:t xml:space="preserve">current </w:t>
      </w:r>
      <w:r w:rsidRPr="00563C7C">
        <w:rPr>
          <w:lang w:bidi="ar-SA"/>
        </w:rPr>
        <w:t>security management includ</w:t>
      </w:r>
      <w:r>
        <w:rPr>
          <w:lang w:bidi="ar-SA"/>
        </w:rPr>
        <w:t>es</w:t>
      </w:r>
      <w:r w:rsidRPr="00563C7C">
        <w:rPr>
          <w:lang w:bidi="ar-SA"/>
        </w:rPr>
        <w:t>:</w:t>
      </w:r>
    </w:p>
    <w:p w14:paraId="68DA397D" w14:textId="77777777" w:rsidR="005469AA" w:rsidRPr="00563C7C" w:rsidRDefault="005469AA" w:rsidP="00EE642B">
      <w:pPr>
        <w:pStyle w:val="CvrLtrBullet1Double"/>
        <w:rPr>
          <w:lang w:bidi="ar-SA"/>
        </w:rPr>
      </w:pPr>
      <w:r>
        <w:rPr>
          <w:lang w:bidi="ar-SA"/>
        </w:rPr>
        <w:t>Ex</w:t>
      </w:r>
      <w:r w:rsidRPr="00563C7C">
        <w:rPr>
          <w:lang w:bidi="ar-SA"/>
        </w:rPr>
        <w:t>amining AWS VPC Flow log network IP traffic for malicious activity</w:t>
      </w:r>
    </w:p>
    <w:p w14:paraId="16DC54BE" w14:textId="77777777" w:rsidR="005469AA" w:rsidRPr="00563C7C" w:rsidRDefault="005469AA" w:rsidP="00EE642B">
      <w:pPr>
        <w:pStyle w:val="CvrLtrBullet1Double"/>
        <w:rPr>
          <w:lang w:bidi="ar-SA"/>
        </w:rPr>
      </w:pPr>
      <w:r w:rsidRPr="00563C7C">
        <w:rPr>
          <w:lang w:bidi="ar-SA"/>
        </w:rPr>
        <w:t xml:space="preserve">Use of AWS GuardDuty for threat detection across the AWS account with machine learning </w:t>
      </w:r>
      <w:r>
        <w:rPr>
          <w:lang w:bidi="ar-SA"/>
        </w:rPr>
        <w:t>and</w:t>
      </w:r>
      <w:r w:rsidRPr="00563C7C">
        <w:rPr>
          <w:lang w:bidi="ar-SA"/>
        </w:rPr>
        <w:t xml:space="preserve"> anomaly detection</w:t>
      </w:r>
    </w:p>
    <w:p w14:paraId="1DABB8D2" w14:textId="77777777" w:rsidR="005469AA" w:rsidRPr="00563C7C" w:rsidRDefault="005469AA" w:rsidP="00EE642B">
      <w:pPr>
        <w:pStyle w:val="CvrLtrBullet1Double"/>
        <w:rPr>
          <w:lang w:bidi="ar-SA"/>
        </w:rPr>
      </w:pPr>
      <w:r w:rsidRPr="00563C7C">
        <w:rPr>
          <w:lang w:bidi="ar-SA"/>
        </w:rPr>
        <w:t>Use of AWS CloudTrail for monitoring account-level activity for auditing and event history logging across the environment</w:t>
      </w:r>
    </w:p>
    <w:p w14:paraId="5FDE01D1" w14:textId="77777777" w:rsidR="005469AA" w:rsidRPr="00563C7C" w:rsidRDefault="005469AA" w:rsidP="00EE642B">
      <w:pPr>
        <w:pStyle w:val="CvrLtrBullet1Double"/>
        <w:rPr>
          <w:lang w:bidi="ar-SA"/>
        </w:rPr>
      </w:pPr>
      <w:r w:rsidRPr="00563C7C">
        <w:rPr>
          <w:lang w:bidi="ar-SA"/>
        </w:rPr>
        <w:t xml:space="preserve">Use of AWS CloudWatch for </w:t>
      </w:r>
      <w:r>
        <w:rPr>
          <w:lang w:bidi="ar-SA"/>
        </w:rPr>
        <w:t>m</w:t>
      </w:r>
      <w:r w:rsidRPr="00563C7C">
        <w:rPr>
          <w:lang w:bidi="ar-SA"/>
        </w:rPr>
        <w:t>onitoring operational activity and events, performance, system</w:t>
      </w:r>
      <w:r>
        <w:rPr>
          <w:lang w:bidi="ar-SA"/>
        </w:rPr>
        <w:t>-</w:t>
      </w:r>
      <w:r w:rsidRPr="00563C7C">
        <w:rPr>
          <w:lang w:bidi="ar-SA"/>
        </w:rPr>
        <w:t xml:space="preserve">related events, </w:t>
      </w:r>
      <w:r>
        <w:rPr>
          <w:lang w:bidi="ar-SA"/>
        </w:rPr>
        <w:t xml:space="preserve">and </w:t>
      </w:r>
      <w:r w:rsidRPr="00563C7C">
        <w:rPr>
          <w:lang w:bidi="ar-SA"/>
        </w:rPr>
        <w:t>overall resource utilization</w:t>
      </w:r>
    </w:p>
    <w:p w14:paraId="62F88B3C" w14:textId="77777777" w:rsidR="005469AA" w:rsidRPr="00563C7C" w:rsidRDefault="005469AA" w:rsidP="00EE642B">
      <w:pPr>
        <w:pStyle w:val="CvrLtrBullet1Double"/>
        <w:rPr>
          <w:lang w:bidi="ar-SA"/>
        </w:rPr>
      </w:pPr>
      <w:r w:rsidRPr="00563C7C">
        <w:rPr>
          <w:lang w:bidi="ar-SA"/>
        </w:rPr>
        <w:t>Use of AWS Security Hub to provide a comprehensive dashboard of security events and posture across AWS accounts with drilldown</w:t>
      </w:r>
    </w:p>
    <w:p w14:paraId="7402749B" w14:textId="77777777" w:rsidR="005469AA" w:rsidRPr="00563C7C" w:rsidRDefault="005469AA" w:rsidP="00EE642B">
      <w:pPr>
        <w:pStyle w:val="CvrLtrBullet1Double"/>
        <w:rPr>
          <w:lang w:bidi="ar-SA"/>
        </w:rPr>
      </w:pPr>
      <w:r w:rsidRPr="00563C7C">
        <w:rPr>
          <w:lang w:bidi="ar-SA"/>
        </w:rPr>
        <w:t>Use of AWS Web Application Firewalls (WAF) and AWS Network Firewalls for protection of applications, networks</w:t>
      </w:r>
      <w:r>
        <w:rPr>
          <w:lang w:bidi="ar-SA"/>
        </w:rPr>
        <w:t>,</w:t>
      </w:r>
      <w:r w:rsidRPr="00563C7C">
        <w:rPr>
          <w:lang w:bidi="ar-SA"/>
        </w:rPr>
        <w:t xml:space="preserve"> and VPCs</w:t>
      </w:r>
    </w:p>
    <w:p w14:paraId="1D404929" w14:textId="77777777" w:rsidR="005469AA" w:rsidRDefault="005469AA" w:rsidP="00EE642B">
      <w:pPr>
        <w:pStyle w:val="CvrLtrBullet1Double"/>
      </w:pPr>
      <w:r>
        <w:t>Any gaps in security management are identified along with a remediation recommendation.</w:t>
      </w:r>
    </w:p>
    <w:p w14:paraId="0484C8D1" w14:textId="5B40233A" w:rsidR="00EB065A" w:rsidRDefault="00EB065A" w:rsidP="00EB065A">
      <w:pPr>
        <w:pStyle w:val="BodyText"/>
      </w:pPr>
      <w:r>
        <w:t xml:space="preserve">To improve security, reduce human error, and monitor and enforce Infrastructure compliance, we use Infrastructure as Code and corresponding templates. Code and software development techniques such as version control and continuous integration are used to provision and manage Infrastructure as Code. </w:t>
      </w:r>
    </w:p>
    <w:p w14:paraId="1636D3BE" w14:textId="77777777" w:rsidR="00A70E91" w:rsidRPr="00AD5C94" w:rsidRDefault="00A70E91" w:rsidP="00A70E91">
      <w:pPr>
        <w:pStyle w:val="Subheading"/>
        <w:rPr>
          <w:b w:val="0"/>
          <w:bCs/>
        </w:rPr>
      </w:pPr>
      <w:r w:rsidRPr="003D2868">
        <w:t>Infrastructure As Code</w:t>
      </w:r>
    </w:p>
    <w:p w14:paraId="5065EC3A" w14:textId="77777777" w:rsidR="00A70E91" w:rsidRPr="005438C5" w:rsidRDefault="00A70E91" w:rsidP="00A70E91">
      <w:pPr>
        <w:pStyle w:val="BodyText"/>
        <w:rPr>
          <w:lang w:bidi="ar-SA"/>
        </w:rPr>
      </w:pPr>
      <w:r>
        <w:rPr>
          <w:lang w:bidi="ar-SA"/>
        </w:rPr>
        <w:t>The expansion of Infrastructure as Code in the CalSAWS environment brings the following benefits:</w:t>
      </w:r>
    </w:p>
    <w:p w14:paraId="71243C7E" w14:textId="77777777" w:rsidR="00A70E91" w:rsidRPr="005438C5" w:rsidRDefault="00A70E91" w:rsidP="00EE642B">
      <w:pPr>
        <w:pStyle w:val="CvrLtrBullet1Double"/>
        <w:rPr>
          <w:lang w:bidi="ar-SA"/>
        </w:rPr>
      </w:pPr>
      <w:r w:rsidRPr="005438C5">
        <w:rPr>
          <w:b/>
          <w:lang w:bidi="ar-SA"/>
        </w:rPr>
        <w:t>Scalability</w:t>
      </w:r>
      <w:r>
        <w:rPr>
          <w:b/>
          <w:lang w:bidi="ar-SA"/>
        </w:rPr>
        <w:t>.</w:t>
      </w:r>
      <w:r>
        <w:rPr>
          <w:lang w:bidi="ar-SA"/>
        </w:rPr>
        <w:t xml:space="preserve"> I</w:t>
      </w:r>
      <w:r w:rsidRPr="005438C5">
        <w:rPr>
          <w:lang w:bidi="ar-SA"/>
        </w:rPr>
        <w:t xml:space="preserve">nfrastructure as code </w:t>
      </w:r>
      <w:r>
        <w:rPr>
          <w:lang w:bidi="ar-SA"/>
        </w:rPr>
        <w:t>can be written once</w:t>
      </w:r>
      <w:r w:rsidRPr="005438C5">
        <w:rPr>
          <w:lang w:bidi="ar-SA"/>
        </w:rPr>
        <w:t xml:space="preserve"> and </w:t>
      </w:r>
      <w:r>
        <w:rPr>
          <w:lang w:bidi="ar-SA"/>
        </w:rPr>
        <w:t>reused many times</w:t>
      </w:r>
      <w:r w:rsidRPr="005438C5">
        <w:rPr>
          <w:lang w:bidi="ar-SA"/>
        </w:rPr>
        <w:t>. This means that one well</w:t>
      </w:r>
      <w:r>
        <w:rPr>
          <w:lang w:bidi="ar-SA"/>
        </w:rPr>
        <w:t>-</w:t>
      </w:r>
      <w:r w:rsidRPr="005438C5">
        <w:rPr>
          <w:lang w:bidi="ar-SA"/>
        </w:rPr>
        <w:t>written template can be used as the basis for multiple services</w:t>
      </w:r>
      <w:r>
        <w:rPr>
          <w:lang w:bidi="ar-SA"/>
        </w:rPr>
        <w:t xml:space="preserve">, </w:t>
      </w:r>
      <w:r w:rsidRPr="005438C5">
        <w:rPr>
          <w:lang w:bidi="ar-SA"/>
        </w:rPr>
        <w:t>making it much easier to scale.</w:t>
      </w:r>
    </w:p>
    <w:p w14:paraId="16319C4C" w14:textId="77777777" w:rsidR="00A70E91" w:rsidRPr="005438C5" w:rsidRDefault="00A70E91" w:rsidP="00EE642B">
      <w:pPr>
        <w:pStyle w:val="CvrLtrBullet1Double"/>
        <w:rPr>
          <w:lang w:bidi="ar-SA"/>
        </w:rPr>
      </w:pPr>
      <w:r w:rsidRPr="005438C5">
        <w:rPr>
          <w:b/>
          <w:lang w:bidi="ar-SA"/>
        </w:rPr>
        <w:t>Security</w:t>
      </w:r>
      <w:r>
        <w:rPr>
          <w:b/>
          <w:lang w:bidi="ar-SA"/>
        </w:rPr>
        <w:t>.</w:t>
      </w:r>
      <w:r>
        <w:rPr>
          <w:lang w:bidi="ar-SA"/>
        </w:rPr>
        <w:t xml:space="preserve"> Infrastructure as code written once with a secure architecture enables it to be reused multiple times, produces an audit trail, and increases confidence in a secure infrastructure deployment.</w:t>
      </w:r>
      <w:r w:rsidRPr="005438C5">
        <w:rPr>
          <w:lang w:bidi="ar-SA"/>
        </w:rPr>
        <w:t xml:space="preserve"> </w:t>
      </w:r>
    </w:p>
    <w:p w14:paraId="0845C017" w14:textId="77777777" w:rsidR="00A70E91" w:rsidRPr="005438C5" w:rsidRDefault="00A70E91" w:rsidP="00EE642B">
      <w:pPr>
        <w:pStyle w:val="CvrLtrBullet1Double"/>
        <w:rPr>
          <w:lang w:bidi="ar-SA"/>
        </w:rPr>
      </w:pPr>
      <w:r w:rsidRPr="005438C5">
        <w:rPr>
          <w:b/>
          <w:lang w:bidi="ar-SA"/>
        </w:rPr>
        <w:t>Stability</w:t>
      </w:r>
      <w:r>
        <w:rPr>
          <w:b/>
          <w:lang w:bidi="ar-SA"/>
        </w:rPr>
        <w:t>.</w:t>
      </w:r>
      <w:r>
        <w:rPr>
          <w:lang w:bidi="ar-SA"/>
        </w:rPr>
        <w:t xml:space="preserve"> Multiple environments deployed with infrastructure as code are more reliable and less subject to variability and deployment errors</w:t>
      </w:r>
      <w:r w:rsidRPr="005438C5">
        <w:rPr>
          <w:lang w:bidi="ar-SA"/>
        </w:rPr>
        <w:t>.</w:t>
      </w:r>
      <w:r>
        <w:rPr>
          <w:lang w:bidi="ar-SA"/>
        </w:rPr>
        <w:t xml:space="preserve"> In the event of an issue, rollback is also faster.</w:t>
      </w:r>
    </w:p>
    <w:p w14:paraId="76E6F9D6" w14:textId="77777777" w:rsidR="00A70E91" w:rsidRDefault="00A70E91" w:rsidP="00A70E91">
      <w:pPr>
        <w:pStyle w:val="BodyText"/>
      </w:pPr>
      <w:r>
        <w:t xml:space="preserve">We employ a set of base patterns for environment deployment that can be adjusted to request specific environments in coordination with the Infrastructure </w:t>
      </w:r>
      <w:r w:rsidRPr="00952B20">
        <w:t>Contractor.</w:t>
      </w:r>
      <w:r>
        <w:t xml:space="preserve"> For </w:t>
      </w:r>
      <w:r>
        <w:lastRenderedPageBreak/>
        <w:t>example, base patterns are created for small, medium, and large environments by usage type such as development or testing.</w:t>
      </w:r>
    </w:p>
    <w:p w14:paraId="160B6B86" w14:textId="0EEBBA17" w:rsidR="00A70E91" w:rsidRDefault="00A70E91" w:rsidP="00A70E91">
      <w:pPr>
        <w:pStyle w:val="BodyText"/>
      </w:pPr>
      <w:r>
        <w:t xml:space="preserve">By creating a standard set of environment deployment patterns, an estimated cost by environment pattern is available. </w:t>
      </w:r>
    </w:p>
    <w:p w14:paraId="4F28B2FE" w14:textId="77777777" w:rsidR="00A70E91" w:rsidRDefault="00A70E91" w:rsidP="00A70E91">
      <w:pPr>
        <w:pStyle w:val="BodyText"/>
      </w:pPr>
      <w:r>
        <w:t xml:space="preserve">When an environment is needed, it can be designed faster by starting with a standard pattern and indicating any exceptions to the standard pattern. Additionally, the smallest environment pattern that will meet the need can be selected, resulting in reduced costs. Identification of costs for the AWS Technical Budget Change Request Process (TBCR) can be determined more rapidly. </w:t>
      </w:r>
    </w:p>
    <w:p w14:paraId="6767A6C4" w14:textId="77777777" w:rsidR="00A70E91" w:rsidRDefault="00A70E91" w:rsidP="00A70E91">
      <w:pPr>
        <w:pStyle w:val="BodyText"/>
      </w:pPr>
      <w:r>
        <w:t>Build of the approved environment is accomplished faster and with security features built into the deployment process. Confidence in the accuracy of the environment deployment is also much higher with less risk of defects having been introduced through human error.</w:t>
      </w:r>
    </w:p>
    <w:p w14:paraId="7ACFEFFE" w14:textId="7D772246" w:rsidR="00A70E91" w:rsidRDefault="00A70E91" w:rsidP="00EB065A">
      <w:pPr>
        <w:pStyle w:val="BodyText"/>
      </w:pPr>
      <w:r>
        <w:t xml:space="preserve">To support our Infrastructure as Code efforts, we use </w:t>
      </w:r>
      <w:r w:rsidRPr="005831D9">
        <w:t>Terraform/Ansible</w:t>
      </w:r>
      <w:r>
        <w:t>. Terraform/Ansible takes the template (description of the resources needed) and creates, updates, and deletes resources on the AWS account as directed in the template. Terraform/Ansible also makes sure that any resource removed from an environment via the template is cleaned up and removed from the account to prevent continued billing.</w:t>
      </w:r>
    </w:p>
    <w:p w14:paraId="7518AFF2" w14:textId="7B09F29B" w:rsidR="00EB065A" w:rsidRDefault="00EB065A" w:rsidP="00EB065A">
      <w:pPr>
        <w:pStyle w:val="BodyText"/>
      </w:pPr>
      <w:r>
        <w:t xml:space="preserve">We use standardized methods to deploy infrastructure and servers, update them with the latest patches and versions, or duplicate them in repeatable ways, since they are defined by code. </w:t>
      </w:r>
    </w:p>
    <w:p w14:paraId="294A1376" w14:textId="77777777" w:rsidR="008D6A2F" w:rsidRPr="003926B1" w:rsidRDefault="008D6A2F" w:rsidP="008D6A2F">
      <w:pPr>
        <w:pStyle w:val="BodyText"/>
      </w:pPr>
      <w:r>
        <w:t>As previously described, our approach includes many of the features that are main components of DevOps. We also incorporate security into our DevOps model to further the strategy toward Development/Security/Operations (DevSecOps).</w:t>
      </w:r>
    </w:p>
    <w:p w14:paraId="19D959C1" w14:textId="77777777" w:rsidR="008D6A2F" w:rsidRPr="008C1DB9" w:rsidRDefault="008D6A2F" w:rsidP="008D6A2F">
      <w:pPr>
        <w:pStyle w:val="Subheading"/>
      </w:pPr>
      <w:r w:rsidRPr="00C8724E">
        <w:t>De</w:t>
      </w:r>
      <w:r w:rsidRPr="000746E6">
        <w:t>vSecOps</w:t>
      </w:r>
    </w:p>
    <w:p w14:paraId="4320D368" w14:textId="77777777" w:rsidR="008D6A2F" w:rsidRDefault="008D6A2F" w:rsidP="008D6A2F">
      <w:pPr>
        <w:spacing w:line="0" w:lineRule="auto"/>
        <w:rPr>
          <w:rFonts w:ascii="Helvetica" w:hAnsi="Helvetica"/>
          <w:color w:val="333333"/>
          <w:sz w:val="21"/>
          <w:szCs w:val="21"/>
        </w:rPr>
      </w:pPr>
    </w:p>
    <w:p w14:paraId="5D5B1BB7" w14:textId="77777777" w:rsidR="008D6A2F" w:rsidRDefault="008D6A2F" w:rsidP="008D6A2F">
      <w:pPr>
        <w:spacing w:line="0" w:lineRule="auto"/>
        <w:rPr>
          <w:rFonts w:ascii="Helvetica" w:hAnsi="Helvetica"/>
          <w:color w:val="333333"/>
          <w:sz w:val="21"/>
          <w:szCs w:val="21"/>
        </w:rPr>
      </w:pPr>
    </w:p>
    <w:p w14:paraId="0B431AA5" w14:textId="77777777" w:rsidR="008D6A2F" w:rsidRDefault="008D6A2F" w:rsidP="008D6A2F">
      <w:pPr>
        <w:spacing w:line="0" w:lineRule="auto"/>
        <w:rPr>
          <w:rFonts w:ascii="Helvetica" w:hAnsi="Helvetica"/>
          <w:color w:val="333333"/>
          <w:sz w:val="21"/>
          <w:szCs w:val="21"/>
        </w:rPr>
      </w:pPr>
    </w:p>
    <w:p w14:paraId="2861D348" w14:textId="77777777" w:rsidR="008D6A2F" w:rsidRDefault="008D6A2F" w:rsidP="008D6A2F">
      <w:pPr>
        <w:spacing w:line="0" w:lineRule="auto"/>
        <w:rPr>
          <w:rFonts w:ascii="Helvetica" w:hAnsi="Helvetica"/>
          <w:color w:val="333333"/>
          <w:sz w:val="21"/>
          <w:szCs w:val="21"/>
        </w:rPr>
      </w:pPr>
    </w:p>
    <w:p w14:paraId="550E0838" w14:textId="77777777" w:rsidR="008D6A2F" w:rsidRDefault="008D6A2F" w:rsidP="008D6A2F">
      <w:pPr>
        <w:pStyle w:val="BodyText"/>
      </w:pPr>
      <w:r>
        <w:t>Our expansion of DevSecOps for BenefitsCal is based on fundamental DevSecOps principles:</w:t>
      </w:r>
    </w:p>
    <w:p w14:paraId="165E30AD" w14:textId="77777777" w:rsidR="008D6A2F" w:rsidRPr="009050AF" w:rsidRDefault="008D6A2F" w:rsidP="00EE642B">
      <w:pPr>
        <w:pStyle w:val="CvrLtrBullet1Double"/>
      </w:pPr>
      <w:r w:rsidRPr="009050AF">
        <w:t xml:space="preserve">More frequent, but smaller software updates </w:t>
      </w:r>
    </w:p>
    <w:p w14:paraId="367E18A4" w14:textId="77777777" w:rsidR="008D6A2F" w:rsidRPr="009050AF" w:rsidRDefault="008D6A2F" w:rsidP="00EE642B">
      <w:pPr>
        <w:pStyle w:val="CvrLtrBullet1Double"/>
      </w:pPr>
      <w:r w:rsidRPr="009050AF">
        <w:t xml:space="preserve">Employing a microservices architecture to make the BenefitsCal application more flexible </w:t>
      </w:r>
    </w:p>
    <w:p w14:paraId="1E842379" w14:textId="77777777" w:rsidR="008D6A2F" w:rsidRDefault="008D6A2F" w:rsidP="00EE642B">
      <w:pPr>
        <w:pStyle w:val="CvrLtrBullet1Double"/>
      </w:pPr>
      <w:r>
        <w:t>Enhancing the continuous integration and continuous delivery features of the deployment process to reduce the challenges associated with more frequent releases (as described in the Continuous Integration/Continuous Delivery subsection below)</w:t>
      </w:r>
    </w:p>
    <w:p w14:paraId="4E518EE8" w14:textId="77777777" w:rsidR="008D6A2F" w:rsidRDefault="008D6A2F" w:rsidP="00EE642B">
      <w:pPr>
        <w:pStyle w:val="CvrLtrBullet1Double"/>
      </w:pPr>
      <w:r>
        <w:t xml:space="preserve">Deploying infrastructure automation practices such as infrastructure as code to increase responsiveness to environment requests </w:t>
      </w:r>
    </w:p>
    <w:p w14:paraId="29E42BBB" w14:textId="77777777" w:rsidR="008D6A2F" w:rsidRDefault="008D6A2F" w:rsidP="00EE642B">
      <w:pPr>
        <w:pStyle w:val="CvrLtrBullet1Double"/>
      </w:pPr>
      <w:r>
        <w:lastRenderedPageBreak/>
        <w:t>Tightly coupling security practices such as continuous code scanning with the development process</w:t>
      </w:r>
    </w:p>
    <w:p w14:paraId="316E696B" w14:textId="77777777" w:rsidR="008D6A2F" w:rsidRDefault="008D6A2F" w:rsidP="00EE642B">
      <w:pPr>
        <w:pStyle w:val="CvrLtrBullet1Double"/>
      </w:pPr>
      <w:r>
        <w:t>Integrating the event monitoring into our Security and Event Monitoring solution following the CalSAWS established processes for security events</w:t>
      </w:r>
    </w:p>
    <w:p w14:paraId="73CF0875" w14:textId="77777777" w:rsidR="008D6A2F" w:rsidRPr="00AD5C94" w:rsidRDefault="008D6A2F" w:rsidP="008D6A2F">
      <w:pPr>
        <w:pStyle w:val="Subheading"/>
      </w:pPr>
      <w:r w:rsidRPr="00AD5C94">
        <w:t>Continuous Integration/Continuous Delivery</w:t>
      </w:r>
      <w:r>
        <w:t xml:space="preserve"> (CI/CD)</w:t>
      </w:r>
    </w:p>
    <w:p w14:paraId="65625D8F" w14:textId="77777777" w:rsidR="008D6A2F" w:rsidRDefault="008D6A2F" w:rsidP="008D6A2F">
      <w:pPr>
        <w:pStyle w:val="BodyText"/>
      </w:pPr>
      <w:r w:rsidRPr="003D2868">
        <w:t xml:space="preserve">With continuous integration, developers frequently commit </w:t>
      </w:r>
      <w:r>
        <w:t>software code to the</w:t>
      </w:r>
      <w:r w:rsidRPr="003D2868">
        <w:t xml:space="preserve"> </w:t>
      </w:r>
      <w:r>
        <w:t xml:space="preserve">code </w:t>
      </w:r>
      <w:r w:rsidRPr="003D2868">
        <w:t>repository</w:t>
      </w:r>
      <w:r>
        <w:t>,</w:t>
      </w:r>
      <w:r w:rsidRPr="003D2868">
        <w:t xml:space="preserve"> using a version control </w:t>
      </w:r>
      <w:r w:rsidRPr="00822B91">
        <w:t xml:space="preserve">system </w:t>
      </w:r>
      <w:r w:rsidRPr="000903CD">
        <w:t xml:space="preserve">such as </w:t>
      </w:r>
      <w:r w:rsidRPr="00952B20">
        <w:t>Bitbucket.</w:t>
      </w:r>
      <w:r w:rsidRPr="003D2868">
        <w:t xml:space="preserve"> </w:t>
      </w:r>
      <w:r>
        <w:t xml:space="preserve">For continuous integration, </w:t>
      </w:r>
      <w:r w:rsidDel="00C24B7C">
        <w:t xml:space="preserve">we </w:t>
      </w:r>
      <w:r>
        <w:t>use Jenkins, which compiles source code and runs tests. During continuous integration, we will continue and expand the use of Fortify for Static Application Security Testing (</w:t>
      </w:r>
      <w:r w:rsidRPr="000E496B">
        <w:t>SAST</w:t>
      </w:r>
      <w:r>
        <w:t xml:space="preserve">). Fortify provides </w:t>
      </w:r>
      <w:r w:rsidRPr="000E496B">
        <w:t>immediate feedback to developers</w:t>
      </w:r>
      <w:r>
        <w:t>, helping to raise awareness of security</w:t>
      </w:r>
      <w:r w:rsidRPr="000E496B">
        <w:t xml:space="preserve"> </w:t>
      </w:r>
      <w:r>
        <w:t>as a fundamental component of the application development process.</w:t>
      </w:r>
    </w:p>
    <w:p w14:paraId="09AC2A91" w14:textId="77777777" w:rsidR="008D6A2F" w:rsidRPr="008E0350" w:rsidRDefault="008D6A2F" w:rsidP="008D6A2F">
      <w:pPr>
        <w:pStyle w:val="BodyText"/>
      </w:pPr>
      <w:r w:rsidRPr="00F44BAF">
        <w:t xml:space="preserve">Our Application </w:t>
      </w:r>
      <w:r>
        <w:t>Maintenance</w:t>
      </w:r>
      <w:r w:rsidRPr="00F44BAF">
        <w:t xml:space="preserve"> Team will also </w:t>
      </w:r>
      <w:r w:rsidRPr="00267363">
        <w:t>use</w:t>
      </w:r>
      <w:r w:rsidRPr="00F44BAF">
        <w:t xml:space="preserve"> Dynamic Application Security Testing (DAST) to</w:t>
      </w:r>
      <w:r w:rsidRPr="00002862">
        <w:t xml:space="preserve"> evaluate the application security in a manner similar to how a malicious user would</w:t>
      </w:r>
      <w:r w:rsidRPr="00633F7C">
        <w:t xml:space="preserve"> attack the application.</w:t>
      </w:r>
      <w:r w:rsidRPr="00B651CE">
        <w:t xml:space="preserve"> DAST </w:t>
      </w:r>
      <w:r w:rsidRPr="00F266FA">
        <w:t xml:space="preserve">analyzes the application through simulated attacks at the front-end of the application. As DAST can </w:t>
      </w:r>
      <w:r w:rsidRPr="00357B33">
        <w:t>be time-consuming to perform and analyze t</w:t>
      </w:r>
      <w:r w:rsidRPr="00F44BAF">
        <w:t>he results, we will work in conjunction with the Consortium security team and application team to determine the appropriate usage and frequency of DAST to prevent delays in service delivery while enhancing our security posture.</w:t>
      </w:r>
    </w:p>
    <w:p w14:paraId="2CE9BA91" w14:textId="332A5270" w:rsidR="008D6A2F" w:rsidRDefault="008D6A2F" w:rsidP="008D6A2F">
      <w:pPr>
        <w:pStyle w:val="BodyText"/>
      </w:pPr>
      <w:r w:rsidRPr="00F266FA">
        <w:t xml:space="preserve">To execute the </w:t>
      </w:r>
      <w:r w:rsidRPr="000F0DA0">
        <w:t xml:space="preserve">vision of continuous delivery, </w:t>
      </w:r>
      <w:r>
        <w:t xml:space="preserve">initially </w:t>
      </w:r>
      <w:r w:rsidRPr="00267363">
        <w:t>we will continue</w:t>
      </w:r>
      <w:r w:rsidRPr="000F0DA0">
        <w:t xml:space="preserve"> </w:t>
      </w:r>
      <w:r w:rsidRPr="00267363">
        <w:t xml:space="preserve">usage of </w:t>
      </w:r>
      <w:r w:rsidRPr="00952B20">
        <w:t>Bitbucket</w:t>
      </w:r>
      <w:r w:rsidRPr="00267363">
        <w:t xml:space="preserve"> and Jenkins. </w:t>
      </w:r>
      <w:r w:rsidRPr="00E0199B">
        <w:t>AWS CodePipeline</w:t>
      </w:r>
      <w:r w:rsidRPr="000F0DA0">
        <w:t xml:space="preserve"> is a fully managed </w:t>
      </w:r>
      <w:r w:rsidRPr="00E0199B">
        <w:t>continuous delivery</w:t>
      </w:r>
      <w:r w:rsidRPr="000F0DA0">
        <w:t xml:space="preserve"> service that helps automate release pipelines. When there is a code change, CodePipeline automates the build, test, and deploy phases of the release process based on the release model </w:t>
      </w:r>
      <w:r w:rsidRPr="00F266FA">
        <w:t xml:space="preserve">we </w:t>
      </w:r>
      <w:r w:rsidRPr="0099468E">
        <w:t>define. AWS CodePipeline</w:t>
      </w:r>
      <w:r w:rsidRPr="00357B33">
        <w:t xml:space="preserve"> integrate</w:t>
      </w:r>
      <w:r w:rsidRPr="000F0DA0">
        <w:t xml:space="preserve">s with third-party services, </w:t>
      </w:r>
      <w:r w:rsidRPr="00E0199B">
        <w:t>such as GitHub</w:t>
      </w:r>
      <w:r>
        <w:t xml:space="preserve"> and </w:t>
      </w:r>
      <w:r w:rsidRPr="00952B20">
        <w:t>Bitbucket.</w:t>
      </w:r>
    </w:p>
    <w:p w14:paraId="30B1254C" w14:textId="77777777" w:rsidR="008D6A2F" w:rsidRPr="00A1592D" w:rsidRDefault="008D6A2F" w:rsidP="008D6A2F">
      <w:pPr>
        <w:pStyle w:val="BodyText"/>
      </w:pPr>
      <w:r>
        <w:t xml:space="preserve">As we transform the system, we will leverage this knowledge and will evaluate the use of tools to support multiple development pipelines to evolve the DevSecOps process to be as efficient as possible. </w:t>
      </w:r>
    </w:p>
    <w:p w14:paraId="3B621C1E" w14:textId="4F3E4421" w:rsidR="001A00A7" w:rsidRPr="00AE600A" w:rsidRDefault="001A00A7" w:rsidP="00CC1813">
      <w:pPr>
        <w:pStyle w:val="HeadingManual3"/>
        <w:rPr>
          <w:szCs w:val="28"/>
        </w:rPr>
      </w:pPr>
      <w:bookmarkStart w:id="76" w:name="_Toc173187492"/>
      <w:r w:rsidRPr="00AE600A">
        <w:t>4.3.</w:t>
      </w:r>
      <w:r w:rsidR="002204EA" w:rsidRPr="00AE600A">
        <w:t>3</w:t>
      </w:r>
      <w:r w:rsidR="00CC1813" w:rsidRPr="00AE600A">
        <w:tab/>
      </w:r>
      <w:r w:rsidRPr="00AE600A">
        <w:t xml:space="preserve">Reducing Costs and Improving </w:t>
      </w:r>
      <w:r w:rsidRPr="00AE600A">
        <w:rPr>
          <w:szCs w:val="28"/>
        </w:rPr>
        <w:t>Optimization, Scalability and Flexibility</w:t>
      </w:r>
      <w:bookmarkEnd w:id="76"/>
    </w:p>
    <w:p w14:paraId="01454BE6" w14:textId="2654F0E8" w:rsidR="0093302E" w:rsidRDefault="0093302E" w:rsidP="0093302E">
      <w:pPr>
        <w:pStyle w:val="BodyText"/>
      </w:pPr>
      <w:r>
        <w:t xml:space="preserve">Our approach to </w:t>
      </w:r>
      <w:r w:rsidR="00950DB0">
        <w:t>BenefitsCal evolution</w:t>
      </w:r>
      <w:r>
        <w:t xml:space="preserve"> includes the activities listed in </w:t>
      </w:r>
      <w:r w:rsidR="00950DB0">
        <w:t>the following table</w:t>
      </w:r>
      <w:r>
        <w:t>. These activities deliver solutions that address security considerations, reduce costs, and improve optimization, scalability, and flexibility while reducing risk.</w:t>
      </w:r>
    </w:p>
    <w:p w14:paraId="5A7D695B" w14:textId="6C5E696A" w:rsidR="0093302E" w:rsidRPr="0006307B" w:rsidRDefault="00C457E6" w:rsidP="0006307B">
      <w:pPr>
        <w:pStyle w:val="TableCaptionAuto"/>
      </w:pPr>
      <w:bookmarkStart w:id="77" w:name="_Ref122509530"/>
      <w:bookmarkStart w:id="78" w:name="_Toc123585856"/>
      <w:bookmarkStart w:id="79" w:name="_Toc123721763"/>
      <w:bookmarkStart w:id="80" w:name="_Toc173187554"/>
      <w:r w:rsidRPr="0006307B">
        <w:lastRenderedPageBreak/>
        <w:t>BenefitsCal</w:t>
      </w:r>
      <w:r w:rsidR="0093302E" w:rsidRPr="0006307B">
        <w:t xml:space="preserve"> Evolution Activities</w:t>
      </w:r>
      <w:bookmarkEnd w:id="77"/>
      <w:bookmarkEnd w:id="78"/>
      <w:bookmarkEnd w:id="79"/>
      <w:bookmarkEnd w:id="80"/>
    </w:p>
    <w:tbl>
      <w:tblPr>
        <w:tblStyle w:val="GridTable4-Accent1"/>
        <w:tblW w:w="5051" w:type="pct"/>
        <w:tblBorders>
          <w:top w:val="none" w:sz="0" w:space="0" w:color="auto"/>
          <w:left w:val="none" w:sz="0" w:space="0" w:color="auto"/>
          <w:bottom w:val="single" w:sz="4" w:space="0" w:color="2B3A44"/>
          <w:right w:val="none" w:sz="0" w:space="0" w:color="auto"/>
          <w:insideH w:val="single" w:sz="4" w:space="0" w:color="2B3A44"/>
          <w:insideV w:val="none" w:sz="0" w:space="0" w:color="auto"/>
        </w:tblBorders>
        <w:tblCellMar>
          <w:top w:w="57" w:type="dxa"/>
        </w:tblCellMar>
        <w:tblLook w:val="04A0" w:firstRow="1" w:lastRow="0" w:firstColumn="1" w:lastColumn="0" w:noHBand="0" w:noVBand="1"/>
      </w:tblPr>
      <w:tblGrid>
        <w:gridCol w:w="6520"/>
        <w:gridCol w:w="2930"/>
      </w:tblGrid>
      <w:tr w:rsidR="0093302E" w14:paraId="27CECE2E" w14:textId="77777777" w:rsidTr="0093302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6520" w:type="dxa"/>
            <w:tcBorders>
              <w:top w:val="single" w:sz="8" w:space="0" w:color="7030A0"/>
              <w:left w:val="nil"/>
              <w:bottom w:val="single" w:sz="8" w:space="0" w:color="7030A0"/>
            </w:tcBorders>
            <w:shd w:val="clear" w:color="auto" w:fill="EFE5F7"/>
          </w:tcPr>
          <w:p w14:paraId="183FA7BF" w14:textId="77777777" w:rsidR="0093302E" w:rsidRPr="00035FD7" w:rsidRDefault="0093302E" w:rsidP="00EE642B">
            <w:pPr>
              <w:pStyle w:val="TableHeading10"/>
              <w:keepNext/>
              <w:rPr>
                <w:b/>
              </w:rPr>
            </w:pPr>
            <w:r w:rsidRPr="00035FD7">
              <w:rPr>
                <w:b/>
              </w:rPr>
              <w:t>By</w:t>
            </w:r>
            <w:r>
              <w:rPr>
                <w:b/>
              </w:rPr>
              <w:t>..</w:t>
            </w:r>
          </w:p>
        </w:tc>
        <w:tc>
          <w:tcPr>
            <w:tcW w:w="2930" w:type="dxa"/>
            <w:tcBorders>
              <w:top w:val="single" w:sz="8" w:space="0" w:color="7030A0"/>
              <w:bottom w:val="single" w:sz="8" w:space="0" w:color="7030A0"/>
            </w:tcBorders>
            <w:shd w:val="clear" w:color="auto" w:fill="EFE5F7"/>
          </w:tcPr>
          <w:p w14:paraId="5D13079A" w14:textId="77777777" w:rsidR="0093302E" w:rsidRPr="00035FD7" w:rsidRDefault="0093302E" w:rsidP="00EE642B">
            <w:pPr>
              <w:pStyle w:val="TableHeading10"/>
              <w:keepNext/>
              <w:cnfStyle w:val="100000000000" w:firstRow="1" w:lastRow="0" w:firstColumn="0" w:lastColumn="0" w:oddVBand="0" w:evenVBand="0" w:oddHBand="0" w:evenHBand="0" w:firstRowFirstColumn="0" w:firstRowLastColumn="0" w:lastRowFirstColumn="0" w:lastRowLastColumn="0"/>
              <w:rPr>
                <w:b/>
              </w:rPr>
            </w:pPr>
            <w:r>
              <w:rPr>
                <w:b/>
              </w:rPr>
              <w:t>Addresses…</w:t>
            </w:r>
          </w:p>
        </w:tc>
      </w:tr>
      <w:tr w:rsidR="0093302E" w14:paraId="27CA90D9" w14:textId="77777777" w:rsidTr="009330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0" w:type="dxa"/>
            <w:shd w:val="clear" w:color="auto" w:fill="auto"/>
          </w:tcPr>
          <w:p w14:paraId="7396FE20" w14:textId="77777777" w:rsidR="0093302E" w:rsidRPr="002452BA" w:rsidRDefault="0093302E" w:rsidP="00EE642B">
            <w:pPr>
              <w:pStyle w:val="TableText10Double"/>
              <w:keepNext/>
              <w:rPr>
                <w:b w:val="0"/>
                <w:bCs w:val="0"/>
              </w:rPr>
            </w:pPr>
            <w:r>
              <w:rPr>
                <w:b w:val="0"/>
                <w:bCs w:val="0"/>
              </w:rPr>
              <w:t>Including security in the Agile Program Increment planning</w:t>
            </w:r>
          </w:p>
        </w:tc>
        <w:tc>
          <w:tcPr>
            <w:tcW w:w="2930" w:type="dxa"/>
            <w:shd w:val="clear" w:color="auto" w:fill="auto"/>
          </w:tcPr>
          <w:p w14:paraId="029FFE33" w14:textId="77777777" w:rsidR="0093302E" w:rsidRPr="00035FD7" w:rsidRDefault="0093302E" w:rsidP="00EE642B">
            <w:pPr>
              <w:pStyle w:val="TableText10Double"/>
              <w:keepNext/>
              <w:cnfStyle w:val="000000100000" w:firstRow="0" w:lastRow="0" w:firstColumn="0" w:lastColumn="0" w:oddVBand="0" w:evenVBand="0" w:oddHBand="1" w:evenHBand="0" w:firstRowFirstColumn="0" w:firstRowLastColumn="0" w:lastRowFirstColumn="0" w:lastRowLastColumn="0"/>
            </w:pPr>
            <w:r>
              <w:t>Improving security</w:t>
            </w:r>
          </w:p>
        </w:tc>
      </w:tr>
      <w:tr w:rsidR="0093302E" w14:paraId="707E1C74" w14:textId="77777777" w:rsidTr="0093302E">
        <w:tc>
          <w:tcPr>
            <w:cnfStyle w:val="001000000000" w:firstRow="0" w:lastRow="0" w:firstColumn="1" w:lastColumn="0" w:oddVBand="0" w:evenVBand="0" w:oddHBand="0" w:evenHBand="0" w:firstRowFirstColumn="0" w:firstRowLastColumn="0" w:lastRowFirstColumn="0" w:lastRowLastColumn="0"/>
            <w:tcW w:w="6520" w:type="dxa"/>
            <w:shd w:val="clear" w:color="auto" w:fill="auto"/>
          </w:tcPr>
          <w:p w14:paraId="2123A083" w14:textId="77777777" w:rsidR="0093302E" w:rsidRPr="002452BA" w:rsidRDefault="0093302E" w:rsidP="00822115">
            <w:pPr>
              <w:pStyle w:val="TableText10Double"/>
              <w:rPr>
                <w:b w:val="0"/>
                <w:bCs w:val="0"/>
              </w:rPr>
            </w:pPr>
            <w:r w:rsidRPr="002452BA">
              <w:rPr>
                <w:b w:val="0"/>
                <w:bCs w:val="0"/>
              </w:rPr>
              <w:t>Maturing and expanding the usage of DevSecOps</w:t>
            </w:r>
          </w:p>
        </w:tc>
        <w:tc>
          <w:tcPr>
            <w:tcW w:w="2930" w:type="dxa"/>
            <w:shd w:val="clear" w:color="auto" w:fill="auto"/>
          </w:tcPr>
          <w:p w14:paraId="6ED18699" w14:textId="77777777" w:rsidR="0093302E" w:rsidRDefault="0093302E" w:rsidP="00822115">
            <w:pPr>
              <w:pStyle w:val="TableText10Double"/>
              <w:cnfStyle w:val="000000000000" w:firstRow="0" w:lastRow="0" w:firstColumn="0" w:lastColumn="0" w:oddVBand="0" w:evenVBand="0" w:oddHBand="0" w:evenHBand="0" w:firstRowFirstColumn="0" w:firstRowLastColumn="0" w:lastRowFirstColumn="0" w:lastRowLastColumn="0"/>
            </w:pPr>
            <w:r>
              <w:t>Improving optimization, scalability, and flexibility</w:t>
            </w:r>
          </w:p>
          <w:p w14:paraId="77258095" w14:textId="77777777" w:rsidR="0093302E" w:rsidRPr="00035FD7" w:rsidRDefault="0093302E" w:rsidP="00822115">
            <w:pPr>
              <w:pStyle w:val="TableText10Double"/>
              <w:cnfStyle w:val="000000000000" w:firstRow="0" w:lastRow="0" w:firstColumn="0" w:lastColumn="0" w:oddVBand="0" w:evenVBand="0" w:oddHBand="0" w:evenHBand="0" w:firstRowFirstColumn="0" w:firstRowLastColumn="0" w:lastRowFirstColumn="0" w:lastRowLastColumn="0"/>
            </w:pPr>
            <w:r>
              <w:t>Improving security</w:t>
            </w:r>
          </w:p>
        </w:tc>
      </w:tr>
      <w:tr w:rsidR="0093302E" w14:paraId="33B2335D" w14:textId="77777777" w:rsidTr="009330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0" w:type="dxa"/>
            <w:shd w:val="clear" w:color="auto" w:fill="auto"/>
          </w:tcPr>
          <w:p w14:paraId="311674DE" w14:textId="77777777" w:rsidR="0093302E" w:rsidRPr="002452BA" w:rsidRDefault="0093302E" w:rsidP="00822115">
            <w:pPr>
              <w:pStyle w:val="TableText10Double"/>
              <w:rPr>
                <w:b w:val="0"/>
                <w:bCs w:val="0"/>
              </w:rPr>
            </w:pPr>
            <w:r w:rsidRPr="002452BA">
              <w:rPr>
                <w:b w:val="0"/>
                <w:bCs w:val="0"/>
              </w:rPr>
              <w:t>Enhancing and expanding automated testing</w:t>
            </w:r>
            <w:r>
              <w:rPr>
                <w:b w:val="0"/>
                <w:bCs w:val="0"/>
              </w:rPr>
              <w:t>,</w:t>
            </w:r>
            <w:r w:rsidRPr="002452BA">
              <w:rPr>
                <w:b w:val="0"/>
                <w:bCs w:val="0"/>
              </w:rPr>
              <w:t xml:space="preserve"> including continuous testing augmented by </w:t>
            </w:r>
            <w:r>
              <w:rPr>
                <w:b w:val="0"/>
                <w:bCs w:val="0"/>
              </w:rPr>
              <w:t>AI</w:t>
            </w:r>
            <w:r w:rsidRPr="002452BA">
              <w:rPr>
                <w:b w:val="0"/>
                <w:bCs w:val="0"/>
              </w:rPr>
              <w:t xml:space="preserve">/Machine Learning (AI/ML) </w:t>
            </w:r>
          </w:p>
        </w:tc>
        <w:tc>
          <w:tcPr>
            <w:tcW w:w="2930" w:type="dxa"/>
            <w:shd w:val="clear" w:color="auto" w:fill="auto"/>
          </w:tcPr>
          <w:p w14:paraId="458E43B0" w14:textId="77777777" w:rsidR="0093302E" w:rsidRDefault="0093302E" w:rsidP="00822115">
            <w:pPr>
              <w:pStyle w:val="TableText10Double"/>
              <w:cnfStyle w:val="000000100000" w:firstRow="0" w:lastRow="0" w:firstColumn="0" w:lastColumn="0" w:oddVBand="0" w:evenVBand="0" w:oddHBand="1" w:evenHBand="0" w:firstRowFirstColumn="0" w:firstRowLastColumn="0" w:lastRowFirstColumn="0" w:lastRowLastColumn="0"/>
            </w:pPr>
            <w:r>
              <w:t>Improving optimization, scalability, and flexibility</w:t>
            </w:r>
          </w:p>
          <w:p w14:paraId="7DC78502" w14:textId="77777777" w:rsidR="0093302E" w:rsidRPr="00035FD7" w:rsidRDefault="0093302E" w:rsidP="00822115">
            <w:pPr>
              <w:pStyle w:val="TableText10Double"/>
              <w:cnfStyle w:val="000000100000" w:firstRow="0" w:lastRow="0" w:firstColumn="0" w:lastColumn="0" w:oddVBand="0" w:evenVBand="0" w:oddHBand="1" w:evenHBand="0" w:firstRowFirstColumn="0" w:firstRowLastColumn="0" w:lastRowFirstColumn="0" w:lastRowLastColumn="0"/>
            </w:pPr>
            <w:r>
              <w:t>Improving security</w:t>
            </w:r>
          </w:p>
        </w:tc>
      </w:tr>
      <w:tr w:rsidR="0093302E" w14:paraId="703BDACC" w14:textId="77777777" w:rsidTr="0093302E">
        <w:tc>
          <w:tcPr>
            <w:cnfStyle w:val="001000000000" w:firstRow="0" w:lastRow="0" w:firstColumn="1" w:lastColumn="0" w:oddVBand="0" w:evenVBand="0" w:oddHBand="0" w:evenHBand="0" w:firstRowFirstColumn="0" w:firstRowLastColumn="0" w:lastRowFirstColumn="0" w:lastRowLastColumn="0"/>
            <w:tcW w:w="6520" w:type="dxa"/>
            <w:tcBorders>
              <w:bottom w:val="single" w:sz="4" w:space="0" w:color="2B3A44"/>
            </w:tcBorders>
            <w:shd w:val="clear" w:color="auto" w:fill="auto"/>
          </w:tcPr>
          <w:p w14:paraId="56693786" w14:textId="77777777" w:rsidR="0093302E" w:rsidRPr="002452BA" w:rsidRDefault="0093302E" w:rsidP="00822115">
            <w:pPr>
              <w:pStyle w:val="TableText10Double"/>
              <w:rPr>
                <w:b w:val="0"/>
                <w:bCs w:val="0"/>
              </w:rPr>
            </w:pPr>
            <w:r w:rsidRPr="002452BA">
              <w:rPr>
                <w:b w:val="0"/>
                <w:bCs w:val="0"/>
              </w:rPr>
              <w:t>Expanding application security testing automation</w:t>
            </w:r>
          </w:p>
        </w:tc>
        <w:tc>
          <w:tcPr>
            <w:tcW w:w="2930" w:type="dxa"/>
            <w:tcBorders>
              <w:bottom w:val="single" w:sz="4" w:space="0" w:color="2B3A44"/>
            </w:tcBorders>
            <w:shd w:val="clear" w:color="auto" w:fill="auto"/>
          </w:tcPr>
          <w:p w14:paraId="1D83E720" w14:textId="77777777" w:rsidR="0093302E" w:rsidRPr="00035FD7" w:rsidRDefault="0093302E" w:rsidP="00822115">
            <w:pPr>
              <w:pStyle w:val="TableText10Double"/>
              <w:cnfStyle w:val="000000000000" w:firstRow="0" w:lastRow="0" w:firstColumn="0" w:lastColumn="0" w:oddVBand="0" w:evenVBand="0" w:oddHBand="0" w:evenHBand="0" w:firstRowFirstColumn="0" w:firstRowLastColumn="0" w:lastRowFirstColumn="0" w:lastRowLastColumn="0"/>
            </w:pPr>
            <w:r>
              <w:t>Improving security</w:t>
            </w:r>
          </w:p>
        </w:tc>
      </w:tr>
      <w:tr w:rsidR="0093302E" w14:paraId="285CC2C8" w14:textId="77777777" w:rsidTr="009330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0" w:type="dxa"/>
            <w:tcBorders>
              <w:top w:val="single" w:sz="4" w:space="0" w:color="2B3A44"/>
              <w:bottom w:val="single" w:sz="4" w:space="0" w:color="2B3A44"/>
            </w:tcBorders>
            <w:shd w:val="clear" w:color="auto" w:fill="auto"/>
          </w:tcPr>
          <w:p w14:paraId="4345ACB6" w14:textId="77777777" w:rsidR="0093302E" w:rsidRPr="002452BA" w:rsidRDefault="0093302E" w:rsidP="00822115">
            <w:pPr>
              <w:pStyle w:val="TableText10Double"/>
              <w:rPr>
                <w:b w:val="0"/>
                <w:bCs w:val="0"/>
              </w:rPr>
            </w:pPr>
            <w:r w:rsidRPr="002452BA">
              <w:rPr>
                <w:b w:val="0"/>
                <w:bCs w:val="0"/>
              </w:rPr>
              <w:t xml:space="preserve">Expanding the use of </w:t>
            </w:r>
            <w:r>
              <w:rPr>
                <w:b w:val="0"/>
                <w:bCs w:val="0"/>
              </w:rPr>
              <w:t>IaC</w:t>
            </w:r>
            <w:r w:rsidRPr="002452BA">
              <w:rPr>
                <w:b w:val="0"/>
                <w:bCs w:val="0"/>
              </w:rPr>
              <w:t xml:space="preserve"> in collaboration with the Infrastructure </w:t>
            </w:r>
            <w:r w:rsidRPr="00952B20">
              <w:rPr>
                <w:b w:val="0"/>
                <w:bCs w:val="0"/>
              </w:rPr>
              <w:t>Contractor</w:t>
            </w:r>
          </w:p>
        </w:tc>
        <w:tc>
          <w:tcPr>
            <w:tcW w:w="2930" w:type="dxa"/>
            <w:tcBorders>
              <w:top w:val="single" w:sz="4" w:space="0" w:color="2B3A44"/>
              <w:bottom w:val="single" w:sz="4" w:space="0" w:color="2B3A44"/>
            </w:tcBorders>
            <w:shd w:val="clear" w:color="auto" w:fill="auto"/>
          </w:tcPr>
          <w:p w14:paraId="62FF8B78" w14:textId="77777777" w:rsidR="0093302E" w:rsidRDefault="0093302E" w:rsidP="00822115">
            <w:pPr>
              <w:pStyle w:val="TableText10Double"/>
              <w:cnfStyle w:val="000000100000" w:firstRow="0" w:lastRow="0" w:firstColumn="0" w:lastColumn="0" w:oddVBand="0" w:evenVBand="0" w:oddHBand="1" w:evenHBand="0" w:firstRowFirstColumn="0" w:firstRowLastColumn="0" w:lastRowFirstColumn="0" w:lastRowLastColumn="0"/>
            </w:pPr>
            <w:r>
              <w:t>Improving optimization, scalability, and flexibility</w:t>
            </w:r>
          </w:p>
          <w:p w14:paraId="00967422" w14:textId="77777777" w:rsidR="0093302E" w:rsidRPr="00035FD7" w:rsidRDefault="0093302E" w:rsidP="00822115">
            <w:pPr>
              <w:pStyle w:val="TableText10Double"/>
              <w:cnfStyle w:val="000000100000" w:firstRow="0" w:lastRow="0" w:firstColumn="0" w:lastColumn="0" w:oddVBand="0" w:evenVBand="0" w:oddHBand="1" w:evenHBand="0" w:firstRowFirstColumn="0" w:firstRowLastColumn="0" w:lastRowFirstColumn="0" w:lastRowLastColumn="0"/>
            </w:pPr>
            <w:r>
              <w:t>Improving security</w:t>
            </w:r>
          </w:p>
        </w:tc>
      </w:tr>
      <w:tr w:rsidR="0093302E" w14:paraId="492CA90F" w14:textId="77777777" w:rsidTr="0093302E">
        <w:tc>
          <w:tcPr>
            <w:cnfStyle w:val="001000000000" w:firstRow="0" w:lastRow="0" w:firstColumn="1" w:lastColumn="0" w:oddVBand="0" w:evenVBand="0" w:oddHBand="0" w:evenHBand="0" w:firstRowFirstColumn="0" w:firstRowLastColumn="0" w:lastRowFirstColumn="0" w:lastRowLastColumn="0"/>
            <w:tcW w:w="6520" w:type="dxa"/>
            <w:tcBorders>
              <w:top w:val="single" w:sz="4" w:space="0" w:color="2B3A44"/>
            </w:tcBorders>
            <w:shd w:val="clear" w:color="auto" w:fill="auto"/>
          </w:tcPr>
          <w:p w14:paraId="09A92B0B" w14:textId="5B4F5C2D" w:rsidR="0093302E" w:rsidRPr="002452BA" w:rsidRDefault="0093302E" w:rsidP="00822115">
            <w:pPr>
              <w:pStyle w:val="TableText10Double"/>
              <w:rPr>
                <w:b w:val="0"/>
                <w:bCs w:val="0"/>
              </w:rPr>
            </w:pPr>
            <w:r>
              <w:rPr>
                <w:b w:val="0"/>
                <w:bCs w:val="0"/>
              </w:rPr>
              <w:t>Delivering application/architecture evolution with a separate Product Team</w:t>
            </w:r>
          </w:p>
        </w:tc>
        <w:tc>
          <w:tcPr>
            <w:tcW w:w="2930" w:type="dxa"/>
            <w:tcBorders>
              <w:top w:val="single" w:sz="4" w:space="0" w:color="2B3A44"/>
            </w:tcBorders>
            <w:shd w:val="clear" w:color="auto" w:fill="auto"/>
          </w:tcPr>
          <w:p w14:paraId="39E4FF8E" w14:textId="77777777" w:rsidR="0093302E" w:rsidRDefault="0093302E" w:rsidP="00822115">
            <w:pPr>
              <w:pStyle w:val="TableText10Double"/>
              <w:cnfStyle w:val="000000000000" w:firstRow="0" w:lastRow="0" w:firstColumn="0" w:lastColumn="0" w:oddVBand="0" w:evenVBand="0" w:oddHBand="0" w:evenHBand="0" w:firstRowFirstColumn="0" w:firstRowLastColumn="0" w:lastRowFirstColumn="0" w:lastRowLastColumn="0"/>
            </w:pPr>
            <w:r>
              <w:t>Improving optimization, scalability, and flexibility</w:t>
            </w:r>
          </w:p>
          <w:p w14:paraId="212CAF69" w14:textId="77777777" w:rsidR="0093302E" w:rsidRDefault="0093302E" w:rsidP="00822115">
            <w:pPr>
              <w:pStyle w:val="TableText10Double"/>
              <w:cnfStyle w:val="000000000000" w:firstRow="0" w:lastRow="0" w:firstColumn="0" w:lastColumn="0" w:oddVBand="0" w:evenVBand="0" w:oddHBand="0" w:evenHBand="0" w:firstRowFirstColumn="0" w:firstRowLastColumn="0" w:lastRowFirstColumn="0" w:lastRowLastColumn="0"/>
            </w:pPr>
            <w:r>
              <w:t>Reducing cost and risk</w:t>
            </w:r>
          </w:p>
        </w:tc>
      </w:tr>
    </w:tbl>
    <w:p w14:paraId="132B5AC1" w14:textId="77777777" w:rsidR="0093302E" w:rsidRDefault="0093302E" w:rsidP="004A58D6">
      <w:pPr>
        <w:pStyle w:val="BodySingle"/>
      </w:pPr>
    </w:p>
    <w:p w14:paraId="0BC0A8E0" w14:textId="77777777" w:rsidR="00D42C10" w:rsidRPr="00D42C10" w:rsidRDefault="00D42C10" w:rsidP="00D42C10">
      <w:pPr>
        <w:pStyle w:val="BodyText"/>
      </w:pPr>
      <w:r w:rsidRPr="00D42C10">
        <w:t>We will also review and focus on AWS cost reduction through actions such as:</w:t>
      </w:r>
    </w:p>
    <w:p w14:paraId="791B4162" w14:textId="77777777" w:rsidR="00D42C10" w:rsidRPr="00BC0877" w:rsidRDefault="00D42C10" w:rsidP="003B3335">
      <w:pPr>
        <w:pStyle w:val="Bullet1Single0"/>
      </w:pPr>
      <w:r w:rsidRPr="00BC0877">
        <w:t>Verifying the environment plan/usage with a focus on storage usage</w:t>
      </w:r>
    </w:p>
    <w:p w14:paraId="25A84CA8" w14:textId="77777777" w:rsidR="00D42C10" w:rsidRPr="00BC0877" w:rsidRDefault="00D42C10" w:rsidP="00CF7332">
      <w:pPr>
        <w:pStyle w:val="Bullet1Double"/>
      </w:pPr>
      <w:r w:rsidRPr="00BC0877">
        <w:t xml:space="preserve">Implementing continuous proactive monitoring for cost containment </w:t>
      </w:r>
    </w:p>
    <w:p w14:paraId="4F98706D" w14:textId="77777777" w:rsidR="009C77EE" w:rsidRPr="009C77EE" w:rsidRDefault="009C77EE" w:rsidP="004D57F1">
      <w:pPr>
        <w:pStyle w:val="Subheading"/>
        <w:rPr>
          <w:b w:val="0"/>
          <w:bCs/>
        </w:rPr>
      </w:pPr>
      <w:r w:rsidRPr="009C77EE">
        <w:t>Infrastructure Processes</w:t>
      </w:r>
    </w:p>
    <w:p w14:paraId="1B449437" w14:textId="7B1C30D4" w:rsidR="00203FB9" w:rsidRDefault="003C6DE9" w:rsidP="00A07E5F">
      <w:pPr>
        <w:pStyle w:val="BodyText"/>
      </w:pPr>
      <w:r>
        <w:t>We</w:t>
      </w:r>
      <w:r w:rsidR="005155A7">
        <w:t xml:space="preserve"> will adopt the CalSAWS Infrastructure processes for BenefitsCal infrastructure</w:t>
      </w:r>
      <w:r w:rsidR="00AC33E3">
        <w:t xml:space="preserve">. </w:t>
      </w:r>
      <w:r w:rsidR="00D62C16">
        <w:t>This includes many of the</w:t>
      </w:r>
      <w:r w:rsidR="0080006F">
        <w:t xml:space="preserve"> I</w:t>
      </w:r>
      <w:r w:rsidR="001F1AE6">
        <w:t xml:space="preserve">nformation </w:t>
      </w:r>
      <w:r w:rsidR="0080006F">
        <w:t>T</w:t>
      </w:r>
      <w:r w:rsidR="001F1AE6">
        <w:t>echnology</w:t>
      </w:r>
      <w:r w:rsidR="0080006F">
        <w:t xml:space="preserve"> </w:t>
      </w:r>
      <w:r w:rsidR="00F52D8E">
        <w:t>Infrastructure</w:t>
      </w:r>
      <w:r w:rsidR="0080006F">
        <w:t xml:space="preserve"> Lib</w:t>
      </w:r>
      <w:r w:rsidR="001017C5">
        <w:t>rary</w:t>
      </w:r>
      <w:r w:rsidR="00D62C16">
        <w:t xml:space="preserve"> </w:t>
      </w:r>
      <w:r w:rsidR="00863647">
        <w:t>(</w:t>
      </w:r>
      <w:r w:rsidR="00D62C16">
        <w:t>ITIL</w:t>
      </w:r>
      <w:r w:rsidR="00863647">
        <w:t xml:space="preserve">) framework </w:t>
      </w:r>
      <w:r w:rsidR="00203FB9">
        <w:t>service operations process such as:</w:t>
      </w:r>
      <w:r w:rsidR="001F1AE6">
        <w:t xml:space="preserve"> </w:t>
      </w:r>
    </w:p>
    <w:p w14:paraId="24BCC772" w14:textId="2115B7B4" w:rsidR="001F1AE6" w:rsidRDefault="001F1AE6" w:rsidP="00EE642B">
      <w:pPr>
        <w:pStyle w:val="CvrLtrBullet1Double"/>
      </w:pPr>
      <w:r w:rsidRPr="00BB5E49">
        <w:rPr>
          <w:b/>
          <w:bCs w:val="0"/>
        </w:rPr>
        <w:t>Incident management</w:t>
      </w:r>
      <w:r w:rsidR="00F148D9">
        <w:rPr>
          <w:b/>
        </w:rPr>
        <w:t>:</w:t>
      </w:r>
      <w:r>
        <w:t xml:space="preserve"> </w:t>
      </w:r>
      <w:r w:rsidR="00F52D8E">
        <w:t>recognizing and managing incidents through the return of normal service operation</w:t>
      </w:r>
      <w:r w:rsidR="00BB5E49">
        <w:t xml:space="preserve">. We will </w:t>
      </w:r>
      <w:r w:rsidR="005E5658">
        <w:t xml:space="preserve">adopt the </w:t>
      </w:r>
      <w:r w:rsidR="00B342F1">
        <w:t xml:space="preserve">CalSAWS </w:t>
      </w:r>
      <w:r w:rsidR="00CD14AE">
        <w:t>processes and tools including ServiceNow to conduct incident management.</w:t>
      </w:r>
    </w:p>
    <w:p w14:paraId="18303A06" w14:textId="07F7722C" w:rsidR="001F1AE6" w:rsidRDefault="001F1AE6" w:rsidP="00EE642B">
      <w:pPr>
        <w:pStyle w:val="CvrLtrBullet1Double"/>
      </w:pPr>
      <w:r w:rsidRPr="00BB5E49">
        <w:rPr>
          <w:b/>
          <w:bCs w:val="0"/>
        </w:rPr>
        <w:t>Request fulfillment</w:t>
      </w:r>
      <w:r w:rsidR="00F148D9">
        <w:rPr>
          <w:b/>
        </w:rPr>
        <w:t>:</w:t>
      </w:r>
      <w:r w:rsidR="00F52D8E">
        <w:t xml:space="preserve"> managing service requests through resolution</w:t>
      </w:r>
      <w:r w:rsidR="00CD14AE">
        <w:t>. We will adopt the CalSAWS processes and tools including ServiceNow to accomplish request fulfillment including the County Enhancement Request (CER) process.</w:t>
      </w:r>
    </w:p>
    <w:p w14:paraId="172ED5B5" w14:textId="69A6C5D0" w:rsidR="001F1AE6" w:rsidRDefault="001F1AE6" w:rsidP="00EE642B">
      <w:pPr>
        <w:pStyle w:val="CvrLtrBullet1Double"/>
      </w:pPr>
      <w:r w:rsidRPr="00BB5E49">
        <w:rPr>
          <w:b/>
          <w:bCs w:val="0"/>
        </w:rPr>
        <w:t>Access management</w:t>
      </w:r>
      <w:r w:rsidR="00F148D9">
        <w:rPr>
          <w:b/>
        </w:rPr>
        <w:t>:</w:t>
      </w:r>
      <w:r>
        <w:t xml:space="preserve"> </w:t>
      </w:r>
      <w:r w:rsidR="007C114D">
        <w:t>granting access for authorized users</w:t>
      </w:r>
      <w:r w:rsidR="00BB5E49">
        <w:t xml:space="preserve"> to appropriate services and protecting the services from unauthorized users</w:t>
      </w:r>
      <w:r w:rsidR="00AC33E3">
        <w:t xml:space="preserve">. </w:t>
      </w:r>
      <w:r w:rsidR="00E85089">
        <w:t>We will adopt the CalSAWS processes and tools including submission of access requests and coordination with the CalSAWS Infrastructure contractor for request impacting the identify management system, ForgeRock.</w:t>
      </w:r>
    </w:p>
    <w:p w14:paraId="1EA70171" w14:textId="0AB26C0C" w:rsidR="001F1AE6" w:rsidRDefault="001F1AE6" w:rsidP="00EE642B">
      <w:pPr>
        <w:pStyle w:val="CvrLtrBullet1Double"/>
      </w:pPr>
      <w:r w:rsidRPr="00BB5E49">
        <w:rPr>
          <w:b/>
          <w:bCs w:val="0"/>
        </w:rPr>
        <w:t>Problem management</w:t>
      </w:r>
      <w:r w:rsidR="00F148D9">
        <w:rPr>
          <w:b/>
        </w:rPr>
        <w:t>:</w:t>
      </w:r>
      <w:r w:rsidR="00BB5E49">
        <w:t xml:space="preserve"> analyzing and recognizing incident trends to detect problems and prevent future incidents</w:t>
      </w:r>
      <w:r w:rsidR="00E85089">
        <w:t>. We will adopt the CalSAWS processes and tools including ServiceNow to conduct problem management.</w:t>
      </w:r>
    </w:p>
    <w:p w14:paraId="5BB8CD19" w14:textId="12601180" w:rsidR="001F1AE6" w:rsidRDefault="001F1AE6" w:rsidP="00EE642B">
      <w:pPr>
        <w:pStyle w:val="CvrLtrBullet1Double"/>
      </w:pPr>
      <w:r w:rsidRPr="00BB5E49">
        <w:rPr>
          <w:b/>
          <w:bCs w:val="0"/>
        </w:rPr>
        <w:lastRenderedPageBreak/>
        <w:t>Event management</w:t>
      </w:r>
      <w:r w:rsidR="00F148D9">
        <w:rPr>
          <w:b/>
        </w:rPr>
        <w:t>:</w:t>
      </w:r>
      <w:r>
        <w:t xml:space="preserve"> </w:t>
      </w:r>
      <w:r w:rsidR="00BB5E49">
        <w:t>verifying that configuration items and services are appropriately monitored and actions are taken in response to valid alerts and events</w:t>
      </w:r>
      <w:r w:rsidR="00E85089">
        <w:t>. We will adopt the CalSAWS processes and tools to coordinate event management.</w:t>
      </w:r>
    </w:p>
    <w:p w14:paraId="11398EBA" w14:textId="010B7F5D" w:rsidR="00D51DF5" w:rsidRDefault="00E85089" w:rsidP="00A07E5F">
      <w:pPr>
        <w:pStyle w:val="BodyText"/>
      </w:pPr>
      <w:r>
        <w:t xml:space="preserve">In the area of event management, </w:t>
      </w:r>
      <w:r w:rsidR="00D51DF5">
        <w:t xml:space="preserve">one of the projects that we will undertake is to improve the event correlation capabilities. </w:t>
      </w:r>
    </w:p>
    <w:p w14:paraId="68253914" w14:textId="7538E6B4" w:rsidR="00D51DF5" w:rsidRDefault="003C6DE9" w:rsidP="00D51DF5">
      <w:pPr>
        <w:pStyle w:val="BodyText"/>
      </w:pPr>
      <w:r w:rsidRPr="001B124D">
        <w:rPr>
          <w:b/>
          <w:bCs/>
        </w:rPr>
        <w:t>Event Correlation</w:t>
      </w:r>
      <w:r w:rsidR="0082309E">
        <w:rPr>
          <w:b/>
          <w:bCs/>
        </w:rPr>
        <w:t>.</w:t>
      </w:r>
      <w:r w:rsidR="001B124D">
        <w:t xml:space="preserve"> </w:t>
      </w:r>
      <w:r w:rsidR="00A07E5F">
        <w:t>Suspected</w:t>
      </w:r>
      <w:r w:rsidR="00D51DF5">
        <w:t xml:space="preserve"> concerns (events) can be spawned from numerous areas of the system. In the future state </w:t>
      </w:r>
      <w:r w:rsidR="00A07E5F">
        <w:t>of BenefitsCal</w:t>
      </w:r>
      <w:r w:rsidR="00D51DF5">
        <w:t xml:space="preserve"> operations, personnel react faster to suspected concerns because a large number of seemingly random events are automatically correlated. This approach provides proactive operations,</w:t>
      </w:r>
      <w:r w:rsidR="00D51DF5" w:rsidRPr="00673755">
        <w:t xml:space="preserve"> </w:t>
      </w:r>
      <w:r w:rsidR="00D51DF5">
        <w:t xml:space="preserve">driving stable, sustainable system performance. Combining Event Management (EVM) and automation through event data integration, normalization, correlation, and AI enables a system designed to achieve SLAs, but more importantly designed to be reliable and stable for </w:t>
      </w:r>
      <w:r w:rsidR="00F825C8">
        <w:t>BenefitsCal</w:t>
      </w:r>
      <w:r w:rsidR="00D51DF5">
        <w:t xml:space="preserve"> users. </w:t>
      </w:r>
    </w:p>
    <w:p w14:paraId="0305753F" w14:textId="65AB0228" w:rsidR="005155A7" w:rsidRDefault="00D51DF5" w:rsidP="001237A7">
      <w:pPr>
        <w:pStyle w:val="BodyText"/>
      </w:pPr>
      <w:r>
        <w:t xml:space="preserve">To accomplish this vision, we will </w:t>
      </w:r>
      <w:r w:rsidR="00F825C8">
        <w:t>adopt the processes and tools in use by the CalSAWS Infrastructure contractor to correlate alerts from the various monitoring tools in place for BenefitsCal</w:t>
      </w:r>
      <w:r w:rsidR="00887FE1">
        <w:t>.</w:t>
      </w:r>
    </w:p>
    <w:p w14:paraId="1D95BD4F" w14:textId="292266A7" w:rsidR="003C6DE9" w:rsidRDefault="001B124D" w:rsidP="009C77EE">
      <w:pPr>
        <w:pStyle w:val="BodyText"/>
      </w:pPr>
      <w:r w:rsidRPr="001B124D">
        <w:rPr>
          <w:b/>
          <w:bCs/>
        </w:rPr>
        <w:t>Software Maintenance Upgrade and Patching</w:t>
      </w:r>
      <w:r w:rsidR="0082309E">
        <w:rPr>
          <w:b/>
          <w:bCs/>
        </w:rPr>
        <w:t>.</w:t>
      </w:r>
      <w:r>
        <w:t xml:space="preserve"> </w:t>
      </w:r>
      <w:r w:rsidR="009C77EE">
        <w:t xml:space="preserve">Our BenefitsCal system </w:t>
      </w:r>
      <w:r w:rsidR="009C77EE" w:rsidRPr="00673755">
        <w:t xml:space="preserve">software </w:t>
      </w:r>
      <w:r w:rsidR="009C77EE">
        <w:t>maintenance upgrade and patching process will also</w:t>
      </w:r>
      <w:r w:rsidR="00A92B26">
        <w:t xml:space="preserve"> </w:t>
      </w:r>
      <w:r w:rsidR="009C77EE">
        <w:t xml:space="preserve">adopt the CalSAWS process enhanced with a Software Roadmap. </w:t>
      </w:r>
    </w:p>
    <w:p w14:paraId="596E86BF" w14:textId="2B37DDFD" w:rsidR="003C6DE9" w:rsidRDefault="003C6DE9" w:rsidP="003C6DE9">
      <w:pPr>
        <w:pStyle w:val="BodyText"/>
      </w:pPr>
      <w:r>
        <w:t xml:space="preserve">The Software Roadmap identifies the upgrade path timeline, describes the current version, and highlights the N-1 versions for critical software components. We use the Software Roadmap to facilitate communications with the Consortium and other contractors so the joint team can </w:t>
      </w:r>
      <w:r w:rsidRPr="00673755">
        <w:t>collaborate</w:t>
      </w:r>
      <w:r>
        <w:t xml:space="preserve"> on software upgrades and prevent surprises</w:t>
      </w:r>
      <w:r w:rsidRPr="00673755">
        <w:t>.</w:t>
      </w:r>
      <w:r>
        <w:t xml:space="preserve"> The Software Roadmap work product is reviewed quarterly. </w:t>
      </w:r>
    </w:p>
    <w:p w14:paraId="00344188" w14:textId="2C6BACAD" w:rsidR="003C6DE9" w:rsidRDefault="003C6DE9" w:rsidP="003C6DE9">
      <w:pPr>
        <w:pStyle w:val="BodyText"/>
      </w:pPr>
      <w:r>
        <w:t>The figure below</w:t>
      </w:r>
      <w:r>
        <w:rPr>
          <w:b/>
        </w:rPr>
        <w:t xml:space="preserve"> </w:t>
      </w:r>
      <w:r>
        <w:t xml:space="preserve">depicts a sample section of a Software Roadmap. The versions of software in yellow identify a version that needs to be upgraded, and the green depicts when the product has been </w:t>
      </w:r>
      <w:r w:rsidRPr="00673755">
        <w:t>upgrade</w:t>
      </w:r>
      <w:r>
        <w:t xml:space="preserve">d and is current. The </w:t>
      </w:r>
      <w:r w:rsidRPr="00673755">
        <w:t>quarter</w:t>
      </w:r>
      <w:r>
        <w:t xml:space="preserve"> and year identify the timeline when a product is planned for upgrade. </w:t>
      </w:r>
    </w:p>
    <w:p w14:paraId="6FC2A059" w14:textId="77777777" w:rsidR="003C6DE9" w:rsidRPr="0097337F" w:rsidRDefault="003C6DE9" w:rsidP="004339C5">
      <w:pPr>
        <w:pStyle w:val="FigureCaptionAuto"/>
      </w:pPr>
      <w:bookmarkStart w:id="81" w:name="_Ref123064326"/>
      <w:bookmarkStart w:id="82" w:name="_Toc123719951"/>
      <w:bookmarkStart w:id="83" w:name="_Toc173187529"/>
      <w:r w:rsidRPr="0097337F">
        <w:lastRenderedPageBreak/>
        <w:t>Example Software Roadmap</w:t>
      </w:r>
      <w:bookmarkEnd w:id="81"/>
      <w:bookmarkEnd w:id="82"/>
      <w:bookmarkEnd w:id="83"/>
    </w:p>
    <w:p w14:paraId="188E5B0A" w14:textId="77777777" w:rsidR="003C6DE9" w:rsidRDefault="003C6DE9" w:rsidP="003C6DE9">
      <w:pPr>
        <w:pStyle w:val="BodyText"/>
      </w:pPr>
      <w:r>
        <w:rPr>
          <w:noProof/>
        </w:rPr>
        <w:drawing>
          <wp:inline distT="0" distB="0" distL="0" distR="0" wp14:anchorId="2847554B" wp14:editId="539FDCBC">
            <wp:extent cx="5943600" cy="2004060"/>
            <wp:effectExtent l="0" t="0" r="0" b="0"/>
            <wp:docPr id="1539761728" name="Picture 1539761728" descr="A screenshot of a software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61728" name="Picture 1539761728" descr="A screenshot of a software program&#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2004060"/>
                    </a:xfrm>
                    <a:prstGeom prst="rect">
                      <a:avLst/>
                    </a:prstGeom>
                    <a:noFill/>
                    <a:ln>
                      <a:noFill/>
                    </a:ln>
                  </pic:spPr>
                </pic:pic>
              </a:graphicData>
            </a:graphic>
          </wp:inline>
        </w:drawing>
      </w:r>
    </w:p>
    <w:p w14:paraId="0FDD7A54" w14:textId="0B0E262A" w:rsidR="009C77EE" w:rsidRDefault="009C77EE" w:rsidP="009C77EE">
      <w:pPr>
        <w:pStyle w:val="BodyText"/>
      </w:pPr>
      <w:r>
        <w:t xml:space="preserve">Our approach is based </w:t>
      </w:r>
      <w:r w:rsidRPr="00673755">
        <w:t>on</w:t>
      </w:r>
      <w:r>
        <w:t xml:space="preserve"> maintaining the software inventory at the N-1 level. For software and hardware not at N-1, the Software Roadmap is used to identify remediation strategies. Given inefficiencies, operational risks, and security risks associated with supporting N-x software, </w:t>
      </w:r>
      <w:r w:rsidR="003C6DE9">
        <w:t>a</w:t>
      </w:r>
      <w:r>
        <w:t xml:space="preserve"> focus on remediation is critical. </w:t>
      </w:r>
    </w:p>
    <w:p w14:paraId="0673DA6C" w14:textId="385C5B1E" w:rsidR="009C77EE" w:rsidRDefault="003C6DE9" w:rsidP="009C77EE">
      <w:pPr>
        <w:pStyle w:val="BodyText"/>
      </w:pPr>
      <w:r>
        <w:t>The following figure</w:t>
      </w:r>
      <w:r w:rsidR="009C77EE">
        <w:t xml:space="preserve"> depicts the continual process the team follows to upgrade and maintain the </w:t>
      </w:r>
      <w:r>
        <w:t>BenefitsCal</w:t>
      </w:r>
      <w:r w:rsidR="009C77EE">
        <w:t xml:space="preserve"> </w:t>
      </w:r>
      <w:r w:rsidR="009C77EE" w:rsidRPr="00673755">
        <w:t>software</w:t>
      </w:r>
      <w:r w:rsidR="009C77EE">
        <w:t xml:space="preserve">. </w:t>
      </w:r>
    </w:p>
    <w:p w14:paraId="4891C015" w14:textId="3975F29A" w:rsidR="001B124D" w:rsidRDefault="003C6DE9" w:rsidP="004339C5">
      <w:pPr>
        <w:pStyle w:val="FigureCaptionAuto"/>
      </w:pPr>
      <w:bookmarkStart w:id="84" w:name="_Ref123063964"/>
      <w:bookmarkStart w:id="85" w:name="_Toc123719950"/>
      <w:bookmarkStart w:id="86" w:name="_Toc173187530"/>
      <w:r w:rsidRPr="003C6DE9">
        <w:t xml:space="preserve">Continual Process to Upgrade and Maintain the </w:t>
      </w:r>
      <w:r>
        <w:t>BenefitsCal</w:t>
      </w:r>
      <w:r w:rsidRPr="003C6DE9">
        <w:t xml:space="preserve"> Software</w:t>
      </w:r>
      <w:bookmarkEnd w:id="84"/>
      <w:bookmarkEnd w:id="85"/>
      <w:bookmarkEnd w:id="86"/>
    </w:p>
    <w:p w14:paraId="7C63A778" w14:textId="366C6E25" w:rsidR="001B124D" w:rsidRDefault="006142EB" w:rsidP="006142EB">
      <w:pPr>
        <w:pStyle w:val="BodyText"/>
        <w:jc w:val="center"/>
      </w:pPr>
      <w:r>
        <w:rPr>
          <w:noProof/>
        </w:rPr>
        <w:drawing>
          <wp:inline distT="0" distB="0" distL="0" distR="0" wp14:anchorId="6F7FAAB2" wp14:editId="0FC457F1">
            <wp:extent cx="2683021" cy="2339340"/>
            <wp:effectExtent l="0" t="0" r="3175" b="3810"/>
            <wp:docPr id="498275067" name="Picture 49827506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chat or text message&#10;&#10;Description automatically generated"/>
                    <pic:cNvPicPr/>
                  </pic:nvPicPr>
                  <pic:blipFill rotWithShape="1">
                    <a:blip r:embed="rId100" cstate="print">
                      <a:extLst>
                        <a:ext uri="{28A0092B-C50C-407E-A947-70E740481C1C}">
                          <a14:useLocalDpi xmlns:a14="http://schemas.microsoft.com/office/drawing/2010/main" val="0"/>
                        </a:ext>
                      </a:extLst>
                    </a:blip>
                    <a:srcRect b="1425"/>
                    <a:stretch/>
                  </pic:blipFill>
                  <pic:spPr bwMode="auto">
                    <a:xfrm>
                      <a:off x="0" y="0"/>
                      <a:ext cx="2712203" cy="2364784"/>
                    </a:xfrm>
                    <a:prstGeom prst="rect">
                      <a:avLst/>
                    </a:prstGeom>
                    <a:ln>
                      <a:noFill/>
                    </a:ln>
                    <a:extLst>
                      <a:ext uri="{53640926-AAD7-44D8-BBD7-CCE9431645EC}">
                        <a14:shadowObscured xmlns:a14="http://schemas.microsoft.com/office/drawing/2010/main"/>
                      </a:ext>
                    </a:extLst>
                  </pic:spPr>
                </pic:pic>
              </a:graphicData>
            </a:graphic>
          </wp:inline>
        </w:drawing>
      </w:r>
    </w:p>
    <w:p w14:paraId="3FCD193E" w14:textId="5E652F4B" w:rsidR="00033122" w:rsidRDefault="001B124D" w:rsidP="00033122">
      <w:pPr>
        <w:pStyle w:val="BodyText"/>
      </w:pPr>
      <w:r>
        <w:rPr>
          <w:b/>
          <w:bCs/>
        </w:rPr>
        <w:t>Service Desk Coordination</w:t>
      </w:r>
      <w:r w:rsidR="006142EB">
        <w:rPr>
          <w:b/>
          <w:bCs/>
        </w:rPr>
        <w:t>.</w:t>
      </w:r>
      <w:r>
        <w:t xml:space="preserve"> </w:t>
      </w:r>
      <w:r w:rsidR="00033122">
        <w:t>To coordinate our Tier 3 Service Desk staff with the CalSAWS Service Desk and the BenefitsCal Technical Service Desk, we document the responsibilities and the Tier 3 interaction process</w:t>
      </w:r>
      <w:r w:rsidR="00E4351E">
        <w:t xml:space="preserve">. </w:t>
      </w:r>
      <w:r w:rsidR="00033122">
        <w:t xml:space="preserve">The proposed process is discussed and reviewed with </w:t>
      </w:r>
      <w:r w:rsidR="001D14C2">
        <w:t>the Service Desks</w:t>
      </w:r>
      <w:r w:rsidR="00033122">
        <w:t xml:space="preserve"> to verify that they can accommodate the process and/or discuss improvements and suggestions to the proposed Tier 3 interaction process. Annually or, more frequently if needed, the Tier 3 interaction process is reviewed and agreed upon lessons learned are incorporated.</w:t>
      </w:r>
    </w:p>
    <w:p w14:paraId="63D2C1FD" w14:textId="6A4DC96B" w:rsidR="00396ABE" w:rsidRDefault="00396ABE" w:rsidP="00396ABE">
      <w:pPr>
        <w:pStyle w:val="BodyText"/>
      </w:pPr>
      <w:r>
        <w:t xml:space="preserve">Both Service Desks use ServiceNow as their primary communication path for Tier 3 support. Additional contact to Tier 3 support through chat, text and/or phone call is also </w:t>
      </w:r>
      <w:r>
        <w:lastRenderedPageBreak/>
        <w:t>attempted in the event of an outage</w:t>
      </w:r>
      <w:r w:rsidR="00E4351E">
        <w:t xml:space="preserve">. </w:t>
      </w:r>
      <w:r>
        <w:t>Our BenefitsCal Tier 3 staff will adopt and support these existing Service Desk processes.</w:t>
      </w:r>
    </w:p>
    <w:p w14:paraId="30478C0D" w14:textId="1B2DEB75" w:rsidR="00D42C10" w:rsidRPr="0053769E" w:rsidRDefault="00F479AC" w:rsidP="001237A7">
      <w:pPr>
        <w:pStyle w:val="BodyText"/>
      </w:pPr>
      <w:r w:rsidRPr="00F479AC">
        <w:rPr>
          <w:noProof/>
        </w:rPr>
        <w:drawing>
          <wp:anchor distT="0" distB="0" distL="114300" distR="114300" simplePos="0" relativeHeight="251658299" behindDoc="0" locked="0" layoutInCell="1" allowOverlap="1" wp14:anchorId="371C92BC" wp14:editId="04FED469">
            <wp:simplePos x="0" y="0"/>
            <wp:positionH relativeFrom="margin">
              <wp:align>left</wp:align>
            </wp:positionH>
            <wp:positionV relativeFrom="paragraph">
              <wp:posOffset>2540</wp:posOffset>
            </wp:positionV>
            <wp:extent cx="2052955" cy="870585"/>
            <wp:effectExtent l="0" t="0" r="0" b="0"/>
            <wp:wrapSquare wrapText="bothSides"/>
            <wp:docPr id="1661373664" name="Graphic 11">
              <a:extLst xmlns:a="http://schemas.openxmlformats.org/drawingml/2006/main">
                <a:ext uri="{FF2B5EF4-FFF2-40B4-BE49-F238E27FC236}">
                  <a16:creationId xmlns:a16="http://schemas.microsoft.com/office/drawing/2014/main" id="{C33ADF9B-C1E7-8B84-7702-A861EED7B8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1">
                      <a:extLst>
                        <a:ext uri="{FF2B5EF4-FFF2-40B4-BE49-F238E27FC236}">
                          <a16:creationId xmlns:a16="http://schemas.microsoft.com/office/drawing/2014/main" id="{C33ADF9B-C1E7-8B84-7702-A861EED7B894}"/>
                        </a:ext>
                      </a:extLst>
                    </pic:cNvPr>
                    <pic:cNvPicPr>
                      <a:picLocks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2052955" cy="870585"/>
                    </a:xfrm>
                    <a:prstGeom prst="rect">
                      <a:avLst/>
                    </a:prstGeom>
                  </pic:spPr>
                </pic:pic>
              </a:graphicData>
            </a:graphic>
            <wp14:sizeRelH relativeFrom="page">
              <wp14:pctWidth>0</wp14:pctWidth>
            </wp14:sizeRelH>
            <wp14:sizeRelV relativeFrom="page">
              <wp14:pctHeight>0</wp14:pctHeight>
            </wp14:sizeRelV>
          </wp:anchor>
        </w:drawing>
      </w:r>
      <w:r w:rsidR="00396ABE">
        <w:t>With the implementation of the BenefitsCal Technical Service Desk, an enhanced process was implemented</w:t>
      </w:r>
      <w:r w:rsidR="00E4351E">
        <w:t xml:space="preserve">. </w:t>
      </w:r>
      <w:r w:rsidR="00396ABE">
        <w:t xml:space="preserve">This process involves regular contact with Tier 3 </w:t>
      </w:r>
      <w:r w:rsidR="009D4058">
        <w:t xml:space="preserve">BenefitsCal </w:t>
      </w:r>
      <w:r w:rsidR="00396ABE">
        <w:t xml:space="preserve">support by </w:t>
      </w:r>
      <w:r w:rsidR="009D4058">
        <w:t>the BenefitsCal Technical</w:t>
      </w:r>
      <w:r w:rsidR="00396ABE">
        <w:t xml:space="preserve"> Service Desk Lead to discuss incidents with repeating patterns and determine if the </w:t>
      </w:r>
      <w:r w:rsidR="009D4058">
        <w:t xml:space="preserve">BenefitsCal Technical </w:t>
      </w:r>
      <w:r w:rsidR="00396ABE">
        <w:t xml:space="preserve">Service Desk can provide the resolution without Tier 3 involvement. We propose to expand this process to </w:t>
      </w:r>
      <w:r w:rsidR="0053769E">
        <w:t xml:space="preserve">increase the coordination and communication between our Tier 3 support and the Service Desks, both to resolve user problems </w:t>
      </w:r>
      <w:r w:rsidR="006A256A">
        <w:t xml:space="preserve">more rapidly </w:t>
      </w:r>
      <w:r w:rsidR="0053769E">
        <w:t>and to obtain timely feedback on problem trends that have been spotted by the Service Desks based on Service Desk agent observations or ServiceNow ticket analysis.</w:t>
      </w:r>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1237A7" w14:paraId="24F10078" w14:textId="77777777" w:rsidTr="001237A7">
        <w:tc>
          <w:tcPr>
            <w:tcW w:w="9350" w:type="dxa"/>
            <w:shd w:val="clear" w:color="auto" w:fill="EBEDF5"/>
          </w:tcPr>
          <w:tbl>
            <w:tblPr>
              <w:tblW w:w="9072" w:type="dxa"/>
              <w:tblLook w:val="04A0" w:firstRow="1" w:lastRow="0" w:firstColumn="1" w:lastColumn="0" w:noHBand="0" w:noVBand="1"/>
            </w:tblPr>
            <w:tblGrid>
              <w:gridCol w:w="990"/>
              <w:gridCol w:w="8082"/>
            </w:tblGrid>
            <w:tr w:rsidR="001237A7" w:rsidRPr="00A84E8D" w14:paraId="382C3756" w14:textId="77777777" w:rsidTr="00091785">
              <w:trPr>
                <w:trHeight w:val="300"/>
              </w:trPr>
              <w:tc>
                <w:tcPr>
                  <w:tcW w:w="990" w:type="dxa"/>
                  <w:shd w:val="clear" w:color="auto" w:fill="auto"/>
                  <w:noWrap/>
                </w:tcPr>
                <w:p w14:paraId="104B07BC" w14:textId="77777777" w:rsidR="001237A7" w:rsidRPr="00A7028F" w:rsidRDefault="001237A7" w:rsidP="00FA51BD">
                  <w:pPr>
                    <w:pStyle w:val="TableText"/>
                    <w:framePr w:hSpace="187" w:wrap="around" w:vAnchor="text" w:hAnchor="text" w:y="1"/>
                    <w:numPr>
                      <w:ilvl w:val="0"/>
                      <w:numId w:val="46"/>
                    </w:numPr>
                    <w:suppressOverlap/>
                  </w:pPr>
                </w:p>
              </w:tc>
              <w:tc>
                <w:tcPr>
                  <w:tcW w:w="8082" w:type="dxa"/>
                  <w:shd w:val="clear" w:color="auto" w:fill="auto"/>
                </w:tcPr>
                <w:p w14:paraId="29746EAC" w14:textId="77777777" w:rsidR="001237A7" w:rsidRPr="00FC3BDF" w:rsidRDefault="001237A7" w:rsidP="003B47CE">
                  <w:pPr>
                    <w:pStyle w:val="BodyText0"/>
                    <w:framePr w:wrap="around"/>
                  </w:pPr>
                  <w:r w:rsidRPr="00FC3BDF">
                    <w:t>Describe your approach to proactively explore, identify, analyze, evaluate technology innovations, and formulate recommendations for potential inclusion to the BenefitsCal application. Describe how you will:</w:t>
                  </w:r>
                </w:p>
                <w:p w14:paraId="72C678E0" w14:textId="77777777" w:rsidR="001237A7" w:rsidRPr="000C0B8E" w:rsidRDefault="001237A7" w:rsidP="00D100BA">
                  <w:pPr>
                    <w:pStyle w:val="Bullet1Double0"/>
                  </w:pPr>
                  <w:r w:rsidRPr="000C0B8E">
                    <w:t>Coordinate with the Consortium to evaluate emerging technologies,</w:t>
                  </w:r>
                </w:p>
                <w:p w14:paraId="431812A6" w14:textId="77777777" w:rsidR="001237A7" w:rsidRPr="000C0B8E" w:rsidRDefault="001237A7" w:rsidP="00D100BA">
                  <w:pPr>
                    <w:pStyle w:val="Bullet1Double0"/>
                  </w:pPr>
                  <w:r w:rsidRPr="000C0B8E">
                    <w:t xml:space="preserve">Propose integration of selected innovation, technologies into the CalSAWS platform, </w:t>
                  </w:r>
                </w:p>
                <w:p w14:paraId="73C3C367" w14:textId="4A15BBF1" w:rsidR="001237A7" w:rsidRPr="003B2B31" w:rsidRDefault="001237A7" w:rsidP="00D100BA">
                  <w:pPr>
                    <w:pStyle w:val="Bullet1Double0"/>
                  </w:pPr>
                  <w:r w:rsidRPr="000C0B8E">
                    <w:t>Evaluate value and impact to business operations and develop strategies for implementation.</w:t>
                  </w:r>
                </w:p>
              </w:tc>
            </w:tr>
          </w:tbl>
          <w:p w14:paraId="4E8023FA" w14:textId="77777777" w:rsidR="001237A7" w:rsidRDefault="001237A7" w:rsidP="001237A7">
            <w:pPr>
              <w:pStyle w:val="BodyText0"/>
              <w:framePr w:hSpace="0" w:wrap="auto" w:vAnchor="margin" w:yAlign="inline"/>
              <w:suppressOverlap w:val="0"/>
            </w:pPr>
          </w:p>
        </w:tc>
      </w:tr>
    </w:tbl>
    <w:p w14:paraId="38721A66" w14:textId="77777777" w:rsidR="00562FFC" w:rsidRDefault="00562FFC" w:rsidP="00562FFC">
      <w:pPr>
        <w:pStyle w:val="BodyText"/>
      </w:pPr>
      <w:r>
        <w:t>We</w:t>
      </w:r>
      <w:r w:rsidRPr="000F708E">
        <w:t xml:space="preserve"> </w:t>
      </w:r>
      <w:r>
        <w:t>help</w:t>
      </w:r>
      <w:r w:rsidRPr="000F708E">
        <w:t xml:space="preserve"> </w:t>
      </w:r>
      <w:r>
        <w:t xml:space="preserve">human services and </w:t>
      </w:r>
      <w:r w:rsidRPr="000F708E">
        <w:t>healthcare agencies adopt and implement practical innovation that improve</w:t>
      </w:r>
      <w:r>
        <w:t>s</w:t>
      </w:r>
      <w:r w:rsidRPr="000F708E">
        <w:t xml:space="preserve"> the delivery of </w:t>
      </w:r>
      <w:r>
        <w:t>services to applicants and recipients</w:t>
      </w:r>
      <w:r w:rsidRPr="000F708E">
        <w:t xml:space="preserve"> and transform</w:t>
      </w:r>
      <w:r>
        <w:t>s</w:t>
      </w:r>
      <w:r w:rsidRPr="000F708E">
        <w:t xml:space="preserve"> human services programs. </w:t>
      </w:r>
    </w:p>
    <w:p w14:paraId="015AEF92" w14:textId="0266DF47" w:rsidR="00562FFC" w:rsidRDefault="006E0AEF" w:rsidP="00562FFC">
      <w:pPr>
        <w:pStyle w:val="BodyText"/>
      </w:pPr>
      <w:r w:rsidRPr="006E0AEF">
        <w:rPr>
          <w:noProof/>
        </w:rPr>
        <w:drawing>
          <wp:anchor distT="0" distB="0" distL="114300" distR="114300" simplePos="0" relativeHeight="251658251" behindDoc="1" locked="0" layoutInCell="1" allowOverlap="1" wp14:anchorId="3F9047FD" wp14:editId="1E24923F">
            <wp:simplePos x="0" y="0"/>
            <wp:positionH relativeFrom="margin">
              <wp:align>left</wp:align>
            </wp:positionH>
            <wp:positionV relativeFrom="paragraph">
              <wp:posOffset>189920</wp:posOffset>
            </wp:positionV>
            <wp:extent cx="1536700" cy="1744980"/>
            <wp:effectExtent l="0" t="0" r="6350" b="7620"/>
            <wp:wrapTight wrapText="bothSides">
              <wp:wrapPolygon edited="0">
                <wp:start x="12317" y="0"/>
                <wp:lineTo x="0" y="472"/>
                <wp:lineTo x="0" y="1179"/>
                <wp:lineTo x="1607" y="3773"/>
                <wp:lineTo x="2945" y="7546"/>
                <wp:lineTo x="2678" y="15092"/>
                <wp:lineTo x="0" y="15328"/>
                <wp:lineTo x="0" y="19336"/>
                <wp:lineTo x="17405" y="21459"/>
                <wp:lineTo x="20350" y="21459"/>
                <wp:lineTo x="21421" y="21459"/>
                <wp:lineTo x="21421" y="19572"/>
                <wp:lineTo x="11514" y="15092"/>
                <wp:lineTo x="9372" y="11319"/>
                <wp:lineTo x="12853" y="3773"/>
                <wp:lineTo x="14192" y="3773"/>
                <wp:lineTo x="16066" y="1179"/>
                <wp:lineTo x="15798" y="0"/>
                <wp:lineTo x="12317" y="0"/>
              </wp:wrapPolygon>
            </wp:wrapTight>
            <wp:docPr id="2" name="Picture 1" descr="A child jumping in the air&#10;&#10;Description automatically generated">
              <a:extLst xmlns:a="http://schemas.openxmlformats.org/drawingml/2006/main">
                <a:ext uri="{FF2B5EF4-FFF2-40B4-BE49-F238E27FC236}">
                  <a16:creationId xmlns:a16="http://schemas.microsoft.com/office/drawing/2014/main" id="{229AFB97-2B87-2635-F20A-B0566E2341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hild jumping in the air&#10;&#10;Description automatically generated">
                      <a:extLst>
                        <a:ext uri="{FF2B5EF4-FFF2-40B4-BE49-F238E27FC236}">
                          <a16:creationId xmlns:a16="http://schemas.microsoft.com/office/drawing/2014/main" id="{229AFB97-2B87-2635-F20A-B0566E23412A}"/>
                        </a:ext>
                      </a:extLst>
                    </pic:cNvPr>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538185" cy="1746147"/>
                    </a:xfrm>
                    <a:prstGeom prst="rect">
                      <a:avLst/>
                    </a:prstGeom>
                  </pic:spPr>
                </pic:pic>
              </a:graphicData>
            </a:graphic>
            <wp14:sizeRelH relativeFrom="page">
              <wp14:pctWidth>0</wp14:pctWidth>
            </wp14:sizeRelH>
            <wp14:sizeRelV relativeFrom="page">
              <wp14:pctHeight>0</wp14:pctHeight>
            </wp14:sizeRelV>
          </wp:anchor>
        </w:drawing>
      </w:r>
      <w:r w:rsidR="00562FFC">
        <w:t xml:space="preserve">We provide human services thought leadership through our Whole Person Service concept. The concept of </w:t>
      </w:r>
      <w:r w:rsidR="00562FFC" w:rsidRPr="009D3001">
        <w:t>Whole Person Service</w:t>
      </w:r>
      <w:r w:rsidR="00562FFC">
        <w:t xml:space="preserve"> </w:t>
      </w:r>
      <w:r w:rsidR="00562FFC" w:rsidRPr="009D3001">
        <w:t>addresses</w:t>
      </w:r>
      <w:r w:rsidR="00562FFC">
        <w:t xml:space="preserve"> not only</w:t>
      </w:r>
      <w:r w:rsidR="00562FFC" w:rsidRPr="009D3001">
        <w:t xml:space="preserve"> the recipient’s immediate needs</w:t>
      </w:r>
      <w:r w:rsidR="00562FFC">
        <w:t>,</w:t>
      </w:r>
      <w:r w:rsidR="00562FFC" w:rsidRPr="009D3001">
        <w:t xml:space="preserve"> but also looks ahead to longer-term results, with an emphasis on improving and sustaining the individual’s self-sufficiency. Addressing today’s hunger is important but having a meaningful job tomorrow </w:t>
      </w:r>
      <w:r w:rsidR="00562FFC">
        <w:rPr>
          <w:rFonts w:eastAsia="Times New Roman"/>
          <w:szCs w:val="22"/>
        </w:rPr>
        <w:t xml:space="preserve">that allows you to feed yourself and your family is a tremendous boost to </w:t>
      </w:r>
      <w:r w:rsidR="00562FFC" w:rsidRPr="009D3001">
        <w:t xml:space="preserve">self-respect </w:t>
      </w:r>
      <w:r w:rsidR="00562FFC">
        <w:t>and</w:t>
      </w:r>
      <w:r w:rsidR="00562FFC" w:rsidRPr="009D3001">
        <w:t xml:space="preserve"> is life</w:t>
      </w:r>
      <w:r w:rsidR="00562FFC">
        <w:t>-</w:t>
      </w:r>
      <w:r w:rsidR="00562FFC" w:rsidRPr="009D3001">
        <w:t>changing. Getting out of the cold weather today is important, but having long-term, stable housing and enabling your children to go to school is life</w:t>
      </w:r>
      <w:r w:rsidR="00562FFC">
        <w:t>-</w:t>
      </w:r>
      <w:r w:rsidR="00562FFC" w:rsidRPr="009D3001">
        <w:t>changing for your entire family.</w:t>
      </w:r>
      <w:r w:rsidR="00562FFC">
        <w:t xml:space="preserve"> </w:t>
      </w:r>
    </w:p>
    <w:p w14:paraId="18A55C47" w14:textId="4C59ACBC" w:rsidR="00562FFC" w:rsidRPr="0071059E" w:rsidRDefault="00562FFC" w:rsidP="00562FFC">
      <w:pPr>
        <w:pStyle w:val="BodyText"/>
        <w:rPr>
          <w:lang w:bidi="ar-SA"/>
        </w:rPr>
      </w:pPr>
      <w:r>
        <w:t>Our entire company is focused on health and human services and affect</w:t>
      </w:r>
      <w:r w:rsidRPr="00952B20">
        <w:t>ing</w:t>
      </w:r>
      <w:r>
        <w:t xml:space="preserve"> the way that these services are delivered. </w:t>
      </w:r>
    </w:p>
    <w:p w14:paraId="7F59476A" w14:textId="2FFCD78F" w:rsidR="00562FFC" w:rsidRPr="00CA4B85" w:rsidRDefault="00562FFC" w:rsidP="00562FFC">
      <w:pPr>
        <w:pStyle w:val="BodyText"/>
      </w:pPr>
      <w:r>
        <w:t xml:space="preserve">Beyond providing technology solutions, we participate actively in shaping the future of human services delivery. As evidence of that effort, we were recently recognized </w:t>
      </w:r>
      <w:r w:rsidRPr="00834A01">
        <w:t xml:space="preserve">by </w:t>
      </w:r>
      <w:r w:rsidRPr="00A72BFF">
        <w:t>Digital Health Awards</w:t>
      </w:r>
      <w:r w:rsidRPr="00E91528">
        <w:rPr>
          <w:vertAlign w:val="superscript"/>
        </w:rPr>
        <w:t>®</w:t>
      </w:r>
      <w:r>
        <w:t xml:space="preserve">, which </w:t>
      </w:r>
      <w:r w:rsidRPr="00A72BFF">
        <w:t xml:space="preserve">is an extension of the </w:t>
      </w:r>
      <w:r>
        <w:t xml:space="preserve">Health Information Resource </w:t>
      </w:r>
      <w:r>
        <w:lastRenderedPageBreak/>
        <w:t xml:space="preserve">Center’s </w:t>
      </w:r>
      <w:r w:rsidRPr="00FA6938">
        <w:t>(</w:t>
      </w:r>
      <w:r w:rsidRPr="00A72BFF">
        <w:t>HIR</w:t>
      </w:r>
      <w:r w:rsidRPr="00FA6938">
        <w:t>C</w:t>
      </w:r>
      <w:r>
        <w:t>’s</w:t>
      </w:r>
      <w:r w:rsidRPr="00FA6938">
        <w:t>)</w:t>
      </w:r>
      <w:r>
        <w:t xml:space="preserve"> </w:t>
      </w:r>
      <w:r w:rsidRPr="00952B20">
        <w:t>National Health Information Awards</w:t>
      </w:r>
      <w:r w:rsidRPr="00A72BFF">
        <w:rPr>
          <w:vertAlign w:val="superscript"/>
        </w:rPr>
        <w:t>SM</w:t>
      </w:r>
      <w:r>
        <w:t xml:space="preserve">, </w:t>
      </w:r>
      <w:r w:rsidRPr="00A72BFF">
        <w:t>the largest program of its kind in the United States.</w:t>
      </w:r>
      <w:r>
        <w:t xml:space="preserve"> </w:t>
      </w:r>
      <w:r w:rsidRPr="00952B20">
        <w:t xml:space="preserve">Our Whole Person Service blog series secured the Merit award in the </w:t>
      </w:r>
      <w:r w:rsidRPr="00952B20">
        <w:rPr>
          <w:i/>
        </w:rPr>
        <w:t>Digital Health Media / Publications: Blog Post Series</w:t>
      </w:r>
      <w:r w:rsidRPr="00952B20">
        <w:t xml:space="preserve"> category. And our Whole Person Service webinar won Bronze in the Web-based </w:t>
      </w:r>
      <w:r w:rsidRPr="00952B20">
        <w:rPr>
          <w:i/>
        </w:rPr>
        <w:t>Digital Health: Webinar</w:t>
      </w:r>
      <w:r w:rsidRPr="00952B20">
        <w:t xml:space="preserve"> category. </w:t>
      </w:r>
      <w:r>
        <w:t xml:space="preserve">Our </w:t>
      </w:r>
      <w:r w:rsidR="00D33BFC">
        <w:t>CalSAWS Account General Manager</w:t>
      </w:r>
      <w:r>
        <w:t xml:space="preserve"> Dawn Wilder is o</w:t>
      </w:r>
      <w:r w:rsidRPr="00A72BFF">
        <w:t>ne of the authors of the award</w:t>
      </w:r>
      <w:r>
        <w:t>-</w:t>
      </w:r>
      <w:r w:rsidRPr="00A72BFF">
        <w:t>winning Whole Person Service blog series.</w:t>
      </w:r>
      <w:r w:rsidRPr="0055285B">
        <w:rPr>
          <w:noProof/>
        </w:rPr>
        <w:t xml:space="preserve"> </w:t>
      </w:r>
    </w:p>
    <w:p w14:paraId="1F159EEA" w14:textId="77777777" w:rsidR="00562FFC" w:rsidRPr="00D71EA1" w:rsidRDefault="00562FFC" w:rsidP="00562FFC">
      <w:pPr>
        <w:pStyle w:val="BodyText"/>
        <w:rPr>
          <w:lang w:bidi="ar-SA"/>
        </w:rPr>
      </w:pPr>
      <w:r w:rsidRPr="00D71EA1">
        <w:rPr>
          <w:lang w:bidi="ar-SA"/>
        </w:rPr>
        <w:t xml:space="preserve">Reaching the state of Whole Person Service maturity is a process with several levels and focus areas. </w:t>
      </w:r>
      <w:r>
        <w:rPr>
          <w:lang w:bidi="ar-SA"/>
        </w:rPr>
        <w:t xml:space="preserve">We </w:t>
      </w:r>
      <w:r w:rsidRPr="00D71EA1">
        <w:rPr>
          <w:lang w:bidi="ar-SA"/>
        </w:rPr>
        <w:t>help our clients achieve this through incremental business transformation and solution modernization with a focus on service excellence, productivity</w:t>
      </w:r>
      <w:r>
        <w:rPr>
          <w:lang w:bidi="ar-SA"/>
        </w:rPr>
        <w:t>,</w:t>
      </w:r>
      <w:r w:rsidRPr="00D71EA1">
        <w:rPr>
          <w:lang w:bidi="ar-SA"/>
        </w:rPr>
        <w:t xml:space="preserve"> and compliance.</w:t>
      </w:r>
    </w:p>
    <w:p w14:paraId="1B7E3A5F" w14:textId="77777777" w:rsidR="00562FFC" w:rsidRPr="00A72BFF" w:rsidRDefault="00562FFC" w:rsidP="00562FFC">
      <w:pPr>
        <w:pStyle w:val="BodyText"/>
        <w:rPr>
          <w:lang w:bidi="ar-SA"/>
        </w:rPr>
      </w:pPr>
      <w:r>
        <w:rPr>
          <w:lang w:bidi="ar-SA"/>
        </w:rPr>
        <w:t>Our</w:t>
      </w:r>
      <w:r w:rsidRPr="00D71EA1">
        <w:rPr>
          <w:lang w:bidi="ar-SA"/>
        </w:rPr>
        <w:t xml:space="preserve"> approach to achieving Whole Person Service is partially viewed through the lens of our “seamless eligibility” service, which emphasizes </w:t>
      </w:r>
      <w:r w:rsidRPr="00A72BFF">
        <w:rPr>
          <w:lang w:bidi="ar-SA"/>
        </w:rPr>
        <w:t>three “</w:t>
      </w:r>
      <w:r w:rsidRPr="00A72BFF">
        <w:rPr>
          <w:i/>
          <w:bdr w:val="none" w:sz="0" w:space="0" w:color="auto" w:frame="1"/>
          <w:lang w:bidi="ar-SA"/>
        </w:rPr>
        <w:t>E</w:t>
      </w:r>
      <w:r>
        <w:rPr>
          <w:i/>
          <w:bdr w:val="none" w:sz="0" w:space="0" w:color="auto" w:frame="1"/>
          <w:lang w:bidi="ar-SA"/>
        </w:rPr>
        <w:t>’</w:t>
      </w:r>
      <w:r w:rsidRPr="00A72BFF">
        <w:rPr>
          <w:i/>
          <w:bdr w:val="none" w:sz="0" w:space="0" w:color="auto" w:frame="1"/>
          <w:lang w:bidi="ar-SA"/>
        </w:rPr>
        <w:t>s”:</w:t>
      </w:r>
    </w:p>
    <w:p w14:paraId="54920D4D" w14:textId="77777777" w:rsidR="00562FFC" w:rsidRPr="00D71EA1" w:rsidRDefault="00562FFC" w:rsidP="00EE642B">
      <w:pPr>
        <w:pStyle w:val="CvrLtrBullet1Double"/>
        <w:rPr>
          <w:lang w:bidi="ar-SA"/>
        </w:rPr>
      </w:pPr>
      <w:r w:rsidRPr="00A72BFF">
        <w:rPr>
          <w:b/>
          <w:bdr w:val="none" w:sz="0" w:space="0" w:color="auto" w:frame="1"/>
          <w:lang w:bidi="ar-SA"/>
        </w:rPr>
        <w:t>Experience</w:t>
      </w:r>
      <w:r>
        <w:rPr>
          <w:b/>
          <w:bdr w:val="none" w:sz="0" w:space="0" w:color="auto" w:frame="1"/>
          <w:lang w:bidi="ar-SA"/>
        </w:rPr>
        <w:t>.</w:t>
      </w:r>
      <w:r w:rsidRPr="00D71EA1">
        <w:rPr>
          <w:lang w:bidi="ar-SA"/>
        </w:rPr>
        <w:t xml:space="preserve"> Create a positive experience for recipients and employees, with tools and resources that are easily accessible, easy to use, streamlined</w:t>
      </w:r>
      <w:r>
        <w:rPr>
          <w:lang w:bidi="ar-SA"/>
        </w:rPr>
        <w:t>,</w:t>
      </w:r>
      <w:r w:rsidRPr="00D71EA1">
        <w:rPr>
          <w:lang w:bidi="ar-SA"/>
        </w:rPr>
        <w:t xml:space="preserve"> and responsive</w:t>
      </w:r>
      <w:r>
        <w:rPr>
          <w:lang w:bidi="ar-SA"/>
        </w:rPr>
        <w:t>.</w:t>
      </w:r>
    </w:p>
    <w:p w14:paraId="0215250F" w14:textId="77777777" w:rsidR="00562FFC" w:rsidRPr="00D71EA1" w:rsidRDefault="00562FFC" w:rsidP="00EE642B">
      <w:pPr>
        <w:pStyle w:val="CvrLtrBullet1Double"/>
        <w:rPr>
          <w:lang w:bidi="ar-SA"/>
        </w:rPr>
      </w:pPr>
      <w:r w:rsidRPr="00A72BFF">
        <w:rPr>
          <w:b/>
          <w:bdr w:val="none" w:sz="0" w:space="0" w:color="auto" w:frame="1"/>
          <w:lang w:bidi="ar-SA"/>
        </w:rPr>
        <w:t>Efficiency</w:t>
      </w:r>
      <w:r>
        <w:rPr>
          <w:b/>
          <w:bdr w:val="none" w:sz="0" w:space="0" w:color="auto" w:frame="1"/>
          <w:lang w:bidi="ar-SA"/>
        </w:rPr>
        <w:t>.</w:t>
      </w:r>
      <w:r w:rsidRPr="00A72BFF">
        <w:rPr>
          <w:lang w:bidi="ar-SA"/>
        </w:rPr>
        <w:t xml:space="preserve"> Achieve</w:t>
      </w:r>
      <w:r w:rsidRPr="00D71EA1">
        <w:rPr>
          <w:lang w:bidi="ar-SA"/>
        </w:rPr>
        <w:t xml:space="preserve"> cost</w:t>
      </w:r>
      <w:r>
        <w:rPr>
          <w:lang w:bidi="ar-SA"/>
        </w:rPr>
        <w:t>-</w:t>
      </w:r>
      <w:r w:rsidRPr="00D71EA1">
        <w:rPr>
          <w:lang w:bidi="ar-SA"/>
        </w:rPr>
        <w:t>efficiency through more streamlined program administration, enhanced employee productivity, regulatory compliance, and more accurate and complete information</w:t>
      </w:r>
      <w:r>
        <w:rPr>
          <w:lang w:bidi="ar-SA"/>
        </w:rPr>
        <w:t>.</w:t>
      </w:r>
    </w:p>
    <w:p w14:paraId="003B5B03" w14:textId="77777777" w:rsidR="00562FFC" w:rsidRPr="00D71EA1" w:rsidRDefault="00562FFC" w:rsidP="00EE642B">
      <w:pPr>
        <w:pStyle w:val="CvrLtrBullet1Double"/>
        <w:rPr>
          <w:lang w:bidi="ar-SA"/>
        </w:rPr>
      </w:pPr>
      <w:r w:rsidRPr="00A72BFF">
        <w:rPr>
          <w:b/>
          <w:bdr w:val="none" w:sz="0" w:space="0" w:color="auto" w:frame="1"/>
          <w:lang w:bidi="ar-SA"/>
        </w:rPr>
        <w:t>Effectiveness</w:t>
      </w:r>
      <w:r>
        <w:rPr>
          <w:b/>
          <w:bdr w:val="none" w:sz="0" w:space="0" w:color="auto" w:frame="1"/>
          <w:lang w:bidi="ar-SA"/>
        </w:rPr>
        <w:t>.</w:t>
      </w:r>
      <w:r>
        <w:rPr>
          <w:lang w:bidi="ar-SA"/>
        </w:rPr>
        <w:t xml:space="preserve"> </w:t>
      </w:r>
      <w:r w:rsidRPr="00D71EA1">
        <w:rPr>
          <w:lang w:bidi="ar-SA"/>
        </w:rPr>
        <w:t xml:space="preserve">Contribute to measurable improvements in recipient well-being as part of the objective of realizing the promises and possibilities of </w:t>
      </w:r>
      <w:r>
        <w:rPr>
          <w:lang w:bidi="ar-SA"/>
        </w:rPr>
        <w:t>W</w:t>
      </w:r>
      <w:r w:rsidRPr="00D71EA1">
        <w:rPr>
          <w:lang w:bidi="ar-SA"/>
        </w:rPr>
        <w:t xml:space="preserve">hole </w:t>
      </w:r>
      <w:r>
        <w:rPr>
          <w:lang w:bidi="ar-SA"/>
        </w:rPr>
        <w:t>P</w:t>
      </w:r>
      <w:r w:rsidRPr="00D71EA1">
        <w:rPr>
          <w:lang w:bidi="ar-SA"/>
        </w:rPr>
        <w:t xml:space="preserve">erson </w:t>
      </w:r>
      <w:r>
        <w:rPr>
          <w:lang w:bidi="ar-SA"/>
        </w:rPr>
        <w:t>Service.</w:t>
      </w:r>
    </w:p>
    <w:p w14:paraId="001F3C2A" w14:textId="77777777" w:rsidR="00562FFC" w:rsidRPr="000F708E" w:rsidRDefault="00562FFC" w:rsidP="00562FFC">
      <w:pPr>
        <w:pStyle w:val="BodyText"/>
      </w:pPr>
      <w:r>
        <w:t xml:space="preserve">While we bring human service thought leadership, we also focus on practical innovation. </w:t>
      </w:r>
      <w:r w:rsidRPr="000F708E">
        <w:t>Practical innovation use</w:t>
      </w:r>
      <w:r>
        <w:t>s</w:t>
      </w:r>
      <w:r w:rsidRPr="000F708E">
        <w:t xml:space="preserve"> creative approaches</w:t>
      </w:r>
      <w:r>
        <w:t xml:space="preserve"> and </w:t>
      </w:r>
      <w:r w:rsidRPr="000F708E">
        <w:t>new ideas, services</w:t>
      </w:r>
      <w:r>
        <w:t>,</w:t>
      </w:r>
      <w:r w:rsidRPr="000F708E">
        <w:t xml:space="preserve"> and technology to enhance and transform the quality of </w:t>
      </w:r>
      <w:r>
        <w:t>service</w:t>
      </w:r>
      <w:r w:rsidRPr="000F708E">
        <w:t>, reduce costs, streamline business processes, drive interoperability, improve productivity and workflow, and enable</w:t>
      </w:r>
      <w:r>
        <w:t>s and empowers</w:t>
      </w:r>
      <w:r w:rsidRPr="000F708E">
        <w:t xml:space="preserve"> informed decisions for clients.</w:t>
      </w:r>
    </w:p>
    <w:p w14:paraId="4953D8F7" w14:textId="1A0077E7" w:rsidR="00562FFC" w:rsidRDefault="00562FFC" w:rsidP="00562FFC">
      <w:pPr>
        <w:pStyle w:val="BodyText"/>
      </w:pPr>
      <w:r>
        <w:t xml:space="preserve">Practical innovation means we balance creative, new ideas with a realistic plan to implement them. Practical innovation also means we find new ways to use existing capabilities in different environments. </w:t>
      </w:r>
    </w:p>
    <w:p w14:paraId="68E39B1A" w14:textId="222FB8C3" w:rsidR="00931DDE" w:rsidRPr="00A65F9A" w:rsidRDefault="007C32F0" w:rsidP="00931DDE">
      <w:pPr>
        <w:pStyle w:val="BodyText"/>
      </w:pPr>
      <w:r w:rsidRPr="007C32F0">
        <w:rPr>
          <w:noProof/>
        </w:rPr>
        <w:drawing>
          <wp:anchor distT="0" distB="0" distL="114300" distR="114300" simplePos="0" relativeHeight="251658300" behindDoc="0" locked="0" layoutInCell="1" allowOverlap="1" wp14:anchorId="3E118379" wp14:editId="7BBE2CFC">
            <wp:simplePos x="0" y="0"/>
            <wp:positionH relativeFrom="margin">
              <wp:align>left</wp:align>
            </wp:positionH>
            <wp:positionV relativeFrom="paragraph">
              <wp:posOffset>534837</wp:posOffset>
            </wp:positionV>
            <wp:extent cx="1880558" cy="797591"/>
            <wp:effectExtent l="0" t="0" r="0" b="0"/>
            <wp:wrapSquare wrapText="bothSides"/>
            <wp:docPr id="935707048" name="Graphic 11">
              <a:extLst xmlns:a="http://schemas.openxmlformats.org/drawingml/2006/main">
                <a:ext uri="{FF2B5EF4-FFF2-40B4-BE49-F238E27FC236}">
                  <a16:creationId xmlns:a16="http://schemas.microsoft.com/office/drawing/2014/main" id="{C33ADF9B-C1E7-8B84-7702-A861EED7B8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1">
                      <a:extLst>
                        <a:ext uri="{FF2B5EF4-FFF2-40B4-BE49-F238E27FC236}">
                          <a16:creationId xmlns:a16="http://schemas.microsoft.com/office/drawing/2014/main" id="{C33ADF9B-C1E7-8B84-7702-A861EED7B894}"/>
                        </a:ext>
                      </a:extLst>
                    </pic:cNvPr>
                    <pic:cNvPicPr>
                      <a:picLocks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1880558" cy="797591"/>
                    </a:xfrm>
                    <a:prstGeom prst="rect">
                      <a:avLst/>
                    </a:prstGeom>
                  </pic:spPr>
                </pic:pic>
              </a:graphicData>
            </a:graphic>
            <wp14:sizeRelH relativeFrom="page">
              <wp14:pctWidth>0</wp14:pctWidth>
            </wp14:sizeRelH>
            <wp14:sizeRelV relativeFrom="page">
              <wp14:pctHeight>0</wp14:pctHeight>
            </wp14:sizeRelV>
          </wp:anchor>
        </w:drawing>
      </w:r>
      <w:r w:rsidR="00931DDE" w:rsidRPr="00A65F9A">
        <w:t xml:space="preserve">Gainwell’s innovation approach focuses on emerging technologies to create value and solve </w:t>
      </w:r>
      <w:r w:rsidR="007C7B77">
        <w:t>user</w:t>
      </w:r>
      <w:r w:rsidR="00931DDE" w:rsidRPr="00A65F9A">
        <w:t xml:space="preserve"> problems encountered by </w:t>
      </w:r>
      <w:r w:rsidR="007C7B77">
        <w:t>BenefitsCal users</w:t>
      </w:r>
      <w:r w:rsidR="00931DDE" w:rsidRPr="00A65F9A">
        <w:t xml:space="preserve">. </w:t>
      </w:r>
      <w:r w:rsidR="007C7B77">
        <w:t>Gainwell also recognizes that County staff rely on information provided by BenefitsCal to process applications or user activities such as document uploads</w:t>
      </w:r>
      <w:r w:rsidR="00B43B8D">
        <w:t xml:space="preserve">. </w:t>
      </w:r>
      <w:r w:rsidR="007C7B77">
        <w:t xml:space="preserve">Our innovation approach includes </w:t>
      </w:r>
      <w:r w:rsidR="00A16698">
        <w:t xml:space="preserve">consideration of </w:t>
      </w:r>
      <w:r w:rsidR="007F76D6">
        <w:t xml:space="preserve">public users, CBOs/Assisters and County staff relying on the information from BenefitsCal. </w:t>
      </w:r>
    </w:p>
    <w:p w14:paraId="7EC215D9" w14:textId="0DE429C2" w:rsidR="00931DDE" w:rsidRPr="00525731" w:rsidRDefault="00931DDE" w:rsidP="00525731">
      <w:pPr>
        <w:pStyle w:val="BodyText"/>
      </w:pPr>
      <w:r w:rsidRPr="00525731">
        <w:t xml:space="preserve">However, our view of innovation goes beyond emerging technology to include the use of current technology in new ways along with creative improvements to business processes. While we participate in thought leadership groups and monitor human services trends and technology, we also believe innovation ideas are often found by </w:t>
      </w:r>
      <w:r w:rsidRPr="00525731">
        <w:lastRenderedPageBreak/>
        <w:t>observing and talking to</w:t>
      </w:r>
      <w:r w:rsidR="00AC5EC3" w:rsidRPr="00525731">
        <w:t xml:space="preserve"> BenefitsCal users,</w:t>
      </w:r>
      <w:r w:rsidRPr="00525731">
        <w:t xml:space="preserve"> County </w:t>
      </w:r>
      <w:r w:rsidR="00017028" w:rsidRPr="00525731">
        <w:t>staff</w:t>
      </w:r>
      <w:r w:rsidR="00AC5EC3" w:rsidRPr="00525731">
        <w:t xml:space="preserve">, </w:t>
      </w:r>
      <w:r w:rsidRPr="00525731">
        <w:t>County leadership</w:t>
      </w:r>
      <w:r w:rsidR="00AC5EC3" w:rsidRPr="00525731">
        <w:t xml:space="preserve">, </w:t>
      </w:r>
      <w:r w:rsidR="00562ECA" w:rsidRPr="00525731">
        <w:t>advocates and State partners</w:t>
      </w:r>
      <w:r w:rsidRPr="00525731">
        <w:t xml:space="preserve">. </w:t>
      </w:r>
    </w:p>
    <w:p w14:paraId="76CD2B20" w14:textId="77777777" w:rsidR="00931DDE" w:rsidRPr="00525731" w:rsidRDefault="00931DDE" w:rsidP="00525731">
      <w:pPr>
        <w:pStyle w:val="BodyText"/>
      </w:pPr>
      <w:r w:rsidRPr="00525731">
        <w:t>We bring established processes to prove out and implement innovation, including proven methods to accelerate and staff innovation projects.</w:t>
      </w:r>
    </w:p>
    <w:p w14:paraId="37FC7039" w14:textId="77777777" w:rsidR="00931DDE" w:rsidRDefault="00931DDE" w:rsidP="00525731">
      <w:pPr>
        <w:pStyle w:val="BodyText"/>
      </w:pPr>
      <w:r w:rsidRPr="00525731">
        <w:t>We bring an extensive corporate innovation program that includes Results Accelerators and Buildathons to enhance the CalSAWS Innovation program. We have developed several innovations that moved from concept to pilot to production operations with multiple clients.</w:t>
      </w:r>
    </w:p>
    <w:p w14:paraId="50C4EC6F" w14:textId="41C0758C" w:rsidR="00C425C6" w:rsidRDefault="00C425C6" w:rsidP="00525731">
      <w:pPr>
        <w:pStyle w:val="BodyText"/>
      </w:pPr>
      <w:r>
        <w:t xml:space="preserve">We also understand that we may be a participant in CalSAWS innovation initiatives which enhance the functionality of </w:t>
      </w:r>
      <w:r w:rsidR="00370D6A">
        <w:t xml:space="preserve">the </w:t>
      </w:r>
      <w:r>
        <w:t>CalSAWS</w:t>
      </w:r>
      <w:r w:rsidR="00370D6A">
        <w:t xml:space="preserve"> system</w:t>
      </w:r>
      <w:r w:rsidR="00B43B8D">
        <w:t xml:space="preserve">. </w:t>
      </w:r>
      <w:r>
        <w:t>CalSAWS system innovation initiatives may have an impact on BenefitsCal, requiring coordination with the CalSAWS M&amp;E and/or Infrastructure contractors</w:t>
      </w:r>
      <w:r w:rsidR="00B43B8D">
        <w:t xml:space="preserve">. </w:t>
      </w:r>
      <w:r>
        <w:t>It is also possible that an implemented CalSAWS innovation initiative will open the door to further innovation in BenefitsCal</w:t>
      </w:r>
      <w:r w:rsidR="00B43B8D">
        <w:t xml:space="preserve">. </w:t>
      </w:r>
      <w:r>
        <w:t xml:space="preserve">As a result, </w:t>
      </w:r>
      <w:r w:rsidR="00370D6A">
        <w:t xml:space="preserve">participation in and </w:t>
      </w:r>
      <w:r>
        <w:t xml:space="preserve">coordination with the CalSAWS Innovation Team is vital in understanding </w:t>
      </w:r>
      <w:r w:rsidR="00370D6A">
        <w:t>innovation initiatives for both CalSAWS and BenefitsCal.</w:t>
      </w:r>
    </w:p>
    <w:p w14:paraId="6A6A0F73" w14:textId="140A57F9" w:rsidR="00931DDE" w:rsidRPr="00525731" w:rsidRDefault="00931DDE" w:rsidP="00525731">
      <w:pPr>
        <w:pStyle w:val="BodyText"/>
      </w:pPr>
      <w:r w:rsidRPr="00525731">
        <w:t xml:space="preserve">Our approach to </w:t>
      </w:r>
      <w:r w:rsidR="00525731" w:rsidRPr="00525731">
        <w:t xml:space="preserve">proactively exploring, identifying, analyzing, evaluating technology innovations, and formulating recommendations for potential inclusion to the BenefitsCal application </w:t>
      </w:r>
      <w:r w:rsidRPr="00525731">
        <w:t>includes:</w:t>
      </w:r>
    </w:p>
    <w:p w14:paraId="01DF9954" w14:textId="1166DE5C" w:rsidR="00931DDE" w:rsidRPr="00A65F9A" w:rsidRDefault="00931DDE" w:rsidP="00EE642B">
      <w:pPr>
        <w:pStyle w:val="CvrLtrBullet1Double"/>
      </w:pPr>
      <w:r w:rsidRPr="00A65F9A">
        <w:rPr>
          <w:b/>
          <w:bCs w:val="0"/>
        </w:rPr>
        <w:t>Ideation.</w:t>
      </w:r>
      <w:r w:rsidRPr="00A65F9A">
        <w:t xml:space="preserve"> Our mission-focused approach brings ideas to better serve </w:t>
      </w:r>
      <w:r w:rsidR="00CC45FA">
        <w:t xml:space="preserve">BenefitsCal users and </w:t>
      </w:r>
      <w:r w:rsidRPr="00A65F9A">
        <w:t xml:space="preserve">County workers. Our </w:t>
      </w:r>
      <w:r w:rsidR="00CC45FA">
        <w:t>Product Manager</w:t>
      </w:r>
      <w:r w:rsidRPr="00A65F9A">
        <w:t xml:space="preserve"> focus</w:t>
      </w:r>
      <w:r w:rsidR="00CC45FA">
        <w:t>es</w:t>
      </w:r>
      <w:r w:rsidRPr="00A65F9A">
        <w:t xml:space="preserve"> on </w:t>
      </w:r>
      <w:r w:rsidR="00310625">
        <w:t xml:space="preserve">the identification of </w:t>
      </w:r>
      <w:r w:rsidR="00614FEC">
        <w:t>innovations that address areas where users are experiencing problems or introduction of new functionality to meet user needs and increase adoption of BenefitsCal</w:t>
      </w:r>
      <w:r w:rsidRPr="00A65F9A">
        <w:t>.</w:t>
      </w:r>
    </w:p>
    <w:p w14:paraId="7A09EA3A" w14:textId="72FD8D10" w:rsidR="00931DDE" w:rsidRPr="00A65F9A" w:rsidRDefault="00931DDE" w:rsidP="00EE642B">
      <w:pPr>
        <w:pStyle w:val="CvrLtrBullet1Double"/>
      </w:pPr>
      <w:r w:rsidRPr="00A65F9A">
        <w:rPr>
          <w:b/>
          <w:bCs w:val="0"/>
        </w:rPr>
        <w:t>Industry Thought Leadership.</w:t>
      </w:r>
      <w:r w:rsidRPr="00A65F9A">
        <w:t xml:space="preserve"> We provide human services thought leadership through our Whole Person Service concept. Beyond providing technology solutions, we participate actively in shaping the future of human services delivery. As evidence of that effort, we were recently recognized by Digital Health Awards</w:t>
      </w:r>
      <w:r w:rsidRPr="00A65F9A">
        <w:rPr>
          <w:vertAlign w:val="superscript"/>
        </w:rPr>
        <w:t>®</w:t>
      </w:r>
      <w:r w:rsidRPr="00A65F9A">
        <w:t xml:space="preserve">, including recognition for a blog series authored, in part, by our </w:t>
      </w:r>
      <w:r w:rsidR="006763C8">
        <w:t>Account General Manager, Dawn Wilder who provides guidance and oversight to our Project Manager.</w:t>
      </w:r>
    </w:p>
    <w:p w14:paraId="696BB48C" w14:textId="7A051B07" w:rsidR="00931DDE" w:rsidRPr="00A65F9A" w:rsidRDefault="00931DDE" w:rsidP="00EE642B">
      <w:pPr>
        <w:pStyle w:val="CvrLtrBullet1Double"/>
      </w:pPr>
      <w:r w:rsidRPr="00A65F9A">
        <w:rPr>
          <w:b/>
          <w:bCs w:val="0"/>
        </w:rPr>
        <w:t>Innovation Program.</w:t>
      </w:r>
      <w:r w:rsidRPr="00A65F9A">
        <w:t xml:space="preserve"> We align our efforts with those of the overall CalSAWS Innovation Team.</w:t>
      </w:r>
    </w:p>
    <w:p w14:paraId="63FA4AFB" w14:textId="77777777" w:rsidR="00931DDE" w:rsidRPr="00A65F9A" w:rsidRDefault="00931DDE" w:rsidP="00EE642B">
      <w:pPr>
        <w:pStyle w:val="CvrLtrBullet1Double"/>
      </w:pPr>
      <w:r w:rsidRPr="00A65F9A">
        <w:rPr>
          <w:b/>
          <w:bCs w:val="0"/>
        </w:rPr>
        <w:t xml:space="preserve">Unique Innovation Delivery. </w:t>
      </w:r>
      <w:r w:rsidRPr="00A65F9A">
        <w:t>Our Results Accelerator methodology applies proven processes to accelerate a proof of concept. Additionally, we call on our volunteer network for expertise, or we organize Buildathons to expedite a proof of concept.</w:t>
      </w:r>
    </w:p>
    <w:p w14:paraId="5145C37D" w14:textId="0F5F25DE" w:rsidR="002204EA" w:rsidRPr="001A00A7" w:rsidRDefault="002204EA" w:rsidP="0009205F">
      <w:pPr>
        <w:pStyle w:val="HeadingManual3"/>
        <w:rPr>
          <w:b w:val="0"/>
          <w:szCs w:val="28"/>
        </w:rPr>
      </w:pPr>
      <w:bookmarkStart w:id="87" w:name="_Toc173187493"/>
      <w:r w:rsidRPr="001A00A7">
        <w:t>4.3.</w:t>
      </w:r>
      <w:r w:rsidR="00E36EA1">
        <w:t>4</w:t>
      </w:r>
      <w:r w:rsidR="0009205F">
        <w:tab/>
      </w:r>
      <w:r>
        <w:t>Product Lifecycle Management</w:t>
      </w:r>
      <w:bookmarkEnd w:id="87"/>
    </w:p>
    <w:p w14:paraId="141B5D26" w14:textId="63177095" w:rsidR="00931DDE" w:rsidRDefault="00931DDE" w:rsidP="00931DDE">
      <w:pPr>
        <w:pStyle w:val="BodyText"/>
      </w:pPr>
      <w:r w:rsidRPr="00A65F9A">
        <w:t xml:space="preserve">Many innovation programs focus on technology alone and fail to consider an issue comprehensively, which requires that practical application and business value balance technology solutions. Our approach is different. We take the initiative to understand </w:t>
      </w:r>
      <w:r w:rsidR="005F3D24">
        <w:t xml:space="preserve">BenefitsCal </w:t>
      </w:r>
      <w:r w:rsidRPr="00A65F9A">
        <w:t xml:space="preserve">user difficulties and </w:t>
      </w:r>
      <w:r w:rsidR="005F3D24">
        <w:t xml:space="preserve">impacts on County staff processing incoming actions </w:t>
      </w:r>
      <w:r w:rsidR="005F3D24">
        <w:lastRenderedPageBreak/>
        <w:t>such as applications or uploaded docum</w:t>
      </w:r>
      <w:r w:rsidR="00453122">
        <w:t>ents</w:t>
      </w:r>
      <w:r w:rsidRPr="00A65F9A">
        <w:t xml:space="preserve">. We think about how process improvements and efficiency can improve client experience, save time, or reduce costs. This insight enables us to recommend a better way. </w:t>
      </w:r>
    </w:p>
    <w:p w14:paraId="09FB9BCF" w14:textId="067E0DB4" w:rsidR="00633225" w:rsidRDefault="002F33FF" w:rsidP="00633225">
      <w:pPr>
        <w:pStyle w:val="BodyText"/>
      </w:pPr>
      <w:r>
        <w:t xml:space="preserve">This </w:t>
      </w:r>
      <w:r w:rsidRPr="003B2B31">
        <w:rPr>
          <w:b/>
          <w:bCs/>
        </w:rPr>
        <w:t>focus on the client</w:t>
      </w:r>
      <w:r>
        <w:t xml:space="preserve"> is the core of our </w:t>
      </w:r>
      <w:r w:rsidR="00FA2504">
        <w:t xml:space="preserve">Product Lifecycle Management (PLM) Framework. </w:t>
      </w:r>
      <w:r w:rsidR="00633225">
        <w:t xml:space="preserve">PLM is a methodology that introduces rigor and governance around all aspects of </w:t>
      </w:r>
      <w:r w:rsidR="00843D51">
        <w:t>p</w:t>
      </w:r>
      <w:r w:rsidR="00633225">
        <w:t xml:space="preserve">roduct lifecycle from an idea inception, build, </w:t>
      </w:r>
      <w:r w:rsidR="00843D51">
        <w:t xml:space="preserve">and </w:t>
      </w:r>
      <w:r w:rsidR="00633225">
        <w:t>deploy</w:t>
      </w:r>
      <w:r w:rsidR="00B43B8D">
        <w:t xml:space="preserve">. </w:t>
      </w:r>
      <w:r w:rsidR="0054262B">
        <w:t xml:space="preserve">Our Gainwell Product Manager </w:t>
      </w:r>
      <w:r w:rsidR="00DE3658">
        <w:t>will introduce the principles of product management into the BenefitsCal enhancement process, particularly in the areas of i</w:t>
      </w:r>
      <w:r w:rsidR="00597847">
        <w:t>nnovation idea management and proof-of-concept builds which, if approved, become production change projects.</w:t>
      </w:r>
    </w:p>
    <w:p w14:paraId="3680B373" w14:textId="38A7D8F3" w:rsidR="00633225" w:rsidRDefault="00633225" w:rsidP="00633225">
      <w:pPr>
        <w:pStyle w:val="BodyText"/>
      </w:pPr>
      <w:r>
        <w:t>PLM ensures that all activities relevant to</w:t>
      </w:r>
      <w:r w:rsidR="00597847">
        <w:t xml:space="preserve"> the</w:t>
      </w:r>
      <w:r>
        <w:t xml:space="preserve"> product lifecycle follow </w:t>
      </w:r>
      <w:r w:rsidR="00A27EDC">
        <w:t xml:space="preserve">a </w:t>
      </w:r>
      <w:r>
        <w:t>standard set of governance events</w:t>
      </w:r>
      <w:r w:rsidR="00843D51">
        <w:t xml:space="preserve"> </w:t>
      </w:r>
      <w:r w:rsidR="00DD7B60">
        <w:t xml:space="preserve">and </w:t>
      </w:r>
      <w:r>
        <w:t xml:space="preserve">checkpoints and that </w:t>
      </w:r>
      <w:r w:rsidR="00A27EDC">
        <w:t>features</w:t>
      </w:r>
      <w:r>
        <w:t xml:space="preserve"> created for use </w:t>
      </w:r>
      <w:r w:rsidR="00A27EDC">
        <w:t xml:space="preserve">by </w:t>
      </w:r>
      <w:r>
        <w:t>stakeholders follow set standards and comply with best industry and fit for purpose practices.</w:t>
      </w:r>
    </w:p>
    <w:p w14:paraId="02710FA8" w14:textId="7640E620" w:rsidR="00633225" w:rsidRDefault="0054262B" w:rsidP="00633225">
      <w:pPr>
        <w:pStyle w:val="BodyText"/>
      </w:pPr>
      <w:r>
        <w:t xml:space="preserve">The </w:t>
      </w:r>
      <w:r w:rsidRPr="003B2B31">
        <w:rPr>
          <w:b/>
          <w:bCs/>
        </w:rPr>
        <w:t>Guiding Principles</w:t>
      </w:r>
      <w:r>
        <w:t xml:space="preserve"> of our PLM</w:t>
      </w:r>
      <w:r w:rsidR="00047F5F">
        <w:t>,</w:t>
      </w:r>
      <w:r>
        <w:t xml:space="preserve"> </w:t>
      </w:r>
      <w:r w:rsidR="00047F5F">
        <w:t xml:space="preserve">which includes the four phases shown on the figure below, </w:t>
      </w:r>
      <w:r>
        <w:t>include:</w:t>
      </w:r>
    </w:p>
    <w:p w14:paraId="46726172" w14:textId="0A33D38A" w:rsidR="00633225" w:rsidRPr="008A5DFF" w:rsidRDefault="00633225" w:rsidP="008A5DFF">
      <w:pPr>
        <w:pStyle w:val="Bullet1Single0"/>
      </w:pPr>
      <w:r w:rsidRPr="008A5DFF">
        <w:t xml:space="preserve">Collaboration </w:t>
      </w:r>
    </w:p>
    <w:p w14:paraId="2D111BD9" w14:textId="7694D978" w:rsidR="00633225" w:rsidRPr="008A5DFF" w:rsidRDefault="00633225" w:rsidP="008A5DFF">
      <w:pPr>
        <w:pStyle w:val="Bullet1Single0"/>
      </w:pPr>
      <w:r w:rsidRPr="008A5DFF">
        <w:t xml:space="preserve">Standardization with flexibility </w:t>
      </w:r>
    </w:p>
    <w:p w14:paraId="04661E9D" w14:textId="5E2E3603" w:rsidR="00633225" w:rsidRPr="008A5DFF" w:rsidRDefault="00633225" w:rsidP="008A5DFF">
      <w:pPr>
        <w:pStyle w:val="Bullet1Single0"/>
      </w:pPr>
      <w:r w:rsidRPr="008A5DFF">
        <w:t>Configurable</w:t>
      </w:r>
      <w:r w:rsidR="0054262B" w:rsidRPr="008A5DFF">
        <w:t xml:space="preserve"> solution</w:t>
      </w:r>
      <w:r w:rsidRPr="008A5DFF">
        <w:t xml:space="preserve"> </w:t>
      </w:r>
      <w:r w:rsidR="0054262B" w:rsidRPr="008A5DFF">
        <w:t>is preferred</w:t>
      </w:r>
      <w:r w:rsidRPr="008A5DFF">
        <w:t xml:space="preserve"> </w:t>
      </w:r>
    </w:p>
    <w:p w14:paraId="13D140E7" w14:textId="743F7A72" w:rsidR="00633225" w:rsidRPr="008A5DFF" w:rsidRDefault="00633225" w:rsidP="008A5DFF">
      <w:pPr>
        <w:pStyle w:val="Bullet1Single0"/>
      </w:pPr>
      <w:r w:rsidRPr="008A5DFF">
        <w:t xml:space="preserve">Automation where possible </w:t>
      </w:r>
    </w:p>
    <w:p w14:paraId="4B56B2F4" w14:textId="2DDAF246" w:rsidR="00633225" w:rsidRPr="008A5DFF" w:rsidRDefault="00633225" w:rsidP="008A5DFF">
      <w:pPr>
        <w:pStyle w:val="Bullet1Single0"/>
      </w:pPr>
      <w:r w:rsidRPr="008A5DFF">
        <w:t>Transparency of progress performance</w:t>
      </w:r>
    </w:p>
    <w:p w14:paraId="581C050B" w14:textId="6877D82B" w:rsidR="00633225" w:rsidRDefault="00633225" w:rsidP="008A5DFF">
      <w:pPr>
        <w:pStyle w:val="Bullet1Double"/>
      </w:pPr>
      <w:r>
        <w:t xml:space="preserve">Innovative idea management </w:t>
      </w:r>
    </w:p>
    <w:p w14:paraId="74C7C5E9" w14:textId="5DE9131D" w:rsidR="00AF2C31" w:rsidRDefault="00AF2C31" w:rsidP="00AF2C31">
      <w:pPr>
        <w:pStyle w:val="FigureCaptionAuto"/>
      </w:pPr>
      <w:bookmarkStart w:id="88" w:name="_Toc173187531"/>
      <w:r w:rsidRPr="004C1F30">
        <w:t>Product Lifecycle Management Phases</w:t>
      </w:r>
      <w:bookmarkEnd w:id="88"/>
    </w:p>
    <w:p w14:paraId="6F50DAC2" w14:textId="29977CE4" w:rsidR="00E04C1A" w:rsidRDefault="00A803D7" w:rsidP="00A803D7">
      <w:pPr>
        <w:pStyle w:val="BodyText"/>
        <w:jc w:val="center"/>
      </w:pPr>
      <w:r>
        <w:rPr>
          <w:noProof/>
        </w:rPr>
        <w:drawing>
          <wp:inline distT="0" distB="0" distL="0" distR="0" wp14:anchorId="339EF9D1" wp14:editId="09936C77">
            <wp:extent cx="2743200" cy="2743200"/>
            <wp:effectExtent l="0" t="0" r="0" b="0"/>
            <wp:docPr id="798802638" name="Picture 1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02638" name="Picture 11" descr="A diagram of a product&#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14:paraId="4AEA16CF" w14:textId="0140A47A" w:rsidR="00A803D7" w:rsidRDefault="00FB0F6C" w:rsidP="00E36EA1">
      <w:pPr>
        <w:pStyle w:val="BodyText"/>
        <w:keepNext/>
      </w:pPr>
      <w:r>
        <w:lastRenderedPageBreak/>
        <w:t>These phases include</w:t>
      </w:r>
      <w:r w:rsidR="00751B6F">
        <w:t>:</w:t>
      </w:r>
    </w:p>
    <w:p w14:paraId="3EF00251" w14:textId="2C2CB40A" w:rsidR="00A803D7" w:rsidRDefault="00A803D7" w:rsidP="00EE642B">
      <w:pPr>
        <w:pStyle w:val="CvrLtrBullet1Double"/>
      </w:pPr>
      <w:r w:rsidRPr="00F662E0">
        <w:rPr>
          <w:b/>
          <w:bCs w:val="0"/>
        </w:rPr>
        <w:t>Research and Product Strategy</w:t>
      </w:r>
      <w:r w:rsidR="00F662E0">
        <w:t xml:space="preserve"> </w:t>
      </w:r>
      <w:r w:rsidR="00F662E0" w:rsidRPr="00F662E0">
        <w:t xml:space="preserve">is triggered by events such as discovery of a client need not covered by </w:t>
      </w:r>
      <w:r w:rsidR="00F662E0">
        <w:t>BenefitsCal</w:t>
      </w:r>
      <w:r w:rsidR="00F662E0" w:rsidRPr="00F662E0">
        <w:t xml:space="preserve">, </w:t>
      </w:r>
      <w:r w:rsidR="00667CAC">
        <w:t xml:space="preserve">product </w:t>
      </w:r>
      <w:r w:rsidR="00F662E0" w:rsidRPr="00F662E0">
        <w:t>trends</w:t>
      </w:r>
      <w:r w:rsidR="00667CAC">
        <w:t xml:space="preserve"> for applicant/reci</w:t>
      </w:r>
      <w:r w:rsidR="00835E56">
        <w:t>pient portals</w:t>
      </w:r>
      <w:r w:rsidR="00F662E0" w:rsidRPr="00F662E0">
        <w:t>, innovative ideas</w:t>
      </w:r>
      <w:r w:rsidR="00835E56">
        <w:t xml:space="preserve"> from </w:t>
      </w:r>
      <w:r w:rsidR="00BD37C2">
        <w:t>a variety of sources including users, stakeholders, the “Shark Tank,” etc.</w:t>
      </w:r>
      <w:r w:rsidR="00F662E0" w:rsidRPr="00F662E0">
        <w:t>,</w:t>
      </w:r>
      <w:r w:rsidR="00BD37C2">
        <w:t xml:space="preserve"> or</w:t>
      </w:r>
      <w:r w:rsidR="00F662E0" w:rsidRPr="00F662E0">
        <w:t xml:space="preserve"> </w:t>
      </w:r>
      <w:r w:rsidR="00835E56">
        <w:t xml:space="preserve">the </w:t>
      </w:r>
      <w:r w:rsidR="00F662E0" w:rsidRPr="00F662E0">
        <w:t xml:space="preserve">next stage in planned development on </w:t>
      </w:r>
      <w:r w:rsidR="00835E56">
        <w:t>the product</w:t>
      </w:r>
      <w:r w:rsidR="00F662E0" w:rsidRPr="00F662E0">
        <w:t xml:space="preserve"> roadmap. These inputs together with analysis, ROM cost and prioritization of emerging solutions become the basis for </w:t>
      </w:r>
      <w:r w:rsidR="00BD37C2">
        <w:t>determining the next proof-of-concept</w:t>
      </w:r>
      <w:r w:rsidR="00F662E0" w:rsidRPr="00F662E0">
        <w:t>.</w:t>
      </w:r>
    </w:p>
    <w:p w14:paraId="312DE85B" w14:textId="3E7F46AE" w:rsidR="00A803D7" w:rsidRDefault="00A803D7" w:rsidP="00EE642B">
      <w:pPr>
        <w:pStyle w:val="CvrLtrBullet1Double"/>
      </w:pPr>
      <w:r w:rsidRPr="00542250">
        <w:rPr>
          <w:b/>
          <w:bCs w:val="0"/>
        </w:rPr>
        <w:t>Product Build</w:t>
      </w:r>
      <w:r w:rsidR="00BD37C2">
        <w:t xml:space="preserve"> </w:t>
      </w:r>
      <w:r w:rsidR="00542250">
        <w:t>is triggered by completion of the Research and Product Strategy phase resulting in the selection of an innovative idea for a proof-of-concept. In this stage our Product Manager</w:t>
      </w:r>
      <w:r w:rsidR="006E75F5">
        <w:t xml:space="preserve"> and analysts</w:t>
      </w:r>
      <w:r w:rsidR="00542250">
        <w:t xml:space="preserve"> focus on collecting detailed requirements, developing the goal and intended outcome of the POC. </w:t>
      </w:r>
      <w:r w:rsidR="006E75F5">
        <w:t>T</w:t>
      </w:r>
      <w:r w:rsidR="00542250">
        <w:t xml:space="preserve">he required organizational stakeholders collaborate to complete critical activities in order to </w:t>
      </w:r>
      <w:r w:rsidR="006E75F5">
        <w:t>complete and evaluate the POC</w:t>
      </w:r>
      <w:r w:rsidR="00542250">
        <w:t>.</w:t>
      </w:r>
    </w:p>
    <w:p w14:paraId="4272FC82" w14:textId="06C78520" w:rsidR="00A803D7" w:rsidRDefault="00A803D7" w:rsidP="00EE642B">
      <w:pPr>
        <w:pStyle w:val="CvrLtrBullet1Double"/>
      </w:pPr>
      <w:r w:rsidRPr="00FE0D0F">
        <w:rPr>
          <w:b/>
          <w:bCs w:val="0"/>
        </w:rPr>
        <w:t>Market Availability</w:t>
      </w:r>
      <w:r w:rsidR="00FE0D0F">
        <w:t xml:space="preserve"> kicks off when the newly</w:t>
      </w:r>
      <w:r w:rsidR="00AC1048">
        <w:t xml:space="preserve"> </w:t>
      </w:r>
      <w:r w:rsidR="00FE0D0F">
        <w:t xml:space="preserve">developed </w:t>
      </w:r>
      <w:r w:rsidR="00712965">
        <w:t>feature</w:t>
      </w:r>
      <w:r w:rsidR="00FE0D0F">
        <w:t xml:space="preserve"> has been tested through the </w:t>
      </w:r>
      <w:r w:rsidR="00712965">
        <w:t>POC</w:t>
      </w:r>
      <w:r w:rsidR="00FE0D0F">
        <w:t xml:space="preserve"> has been </w:t>
      </w:r>
      <w:r w:rsidR="00712965">
        <w:t>prioritized for</w:t>
      </w:r>
      <w:r w:rsidR="00FE0D0F">
        <w:t xml:space="preserve"> Market Availability</w:t>
      </w:r>
      <w:r w:rsidR="00712965">
        <w:t xml:space="preserve">, i.e. </w:t>
      </w:r>
      <w:r w:rsidR="007241D3">
        <w:t xml:space="preserve">this is the step where the POC moves to </w:t>
      </w:r>
      <w:r w:rsidR="00712965">
        <w:t>implementation through the SCR process into BenefitsCal</w:t>
      </w:r>
      <w:r w:rsidR="00FE0D0F">
        <w:t xml:space="preserve">. At this </w:t>
      </w:r>
      <w:r w:rsidR="000A59BD">
        <w:t>stage,</w:t>
      </w:r>
      <w:r w:rsidR="00FE0D0F">
        <w:t xml:space="preserve"> the </w:t>
      </w:r>
      <w:r w:rsidR="00A623D5">
        <w:t>functionality</w:t>
      </w:r>
      <w:r w:rsidR="00FE0D0F">
        <w:t xml:space="preserve"> has been </w:t>
      </w:r>
      <w:r w:rsidR="008A3126">
        <w:t>proven</w:t>
      </w:r>
      <w:r w:rsidR="00FE0D0F">
        <w:t xml:space="preserve"> </w:t>
      </w:r>
      <w:r w:rsidR="008A3126">
        <w:t>and the Consortium and</w:t>
      </w:r>
      <w:r w:rsidR="00FE0D0F">
        <w:t xml:space="preserve"> stakeholders </w:t>
      </w:r>
      <w:r w:rsidR="00A623D5">
        <w:t>agree that the POC was successful</w:t>
      </w:r>
      <w:r w:rsidR="00FE0D0F">
        <w:t xml:space="preserve">. </w:t>
      </w:r>
      <w:r w:rsidR="00A623D5">
        <w:t>The concept would then move into the Collaboration Model for prioritization</w:t>
      </w:r>
      <w:r w:rsidR="000A59BD">
        <w:t xml:space="preserve">. </w:t>
      </w:r>
      <w:r w:rsidR="00086873">
        <w:t xml:space="preserve">Following prioritization and at the appropriate time in the SDLC, </w:t>
      </w:r>
      <w:r w:rsidR="00D31C0E">
        <w:t>our Public Communications Lead would be engaged to develop marketing plans and e</w:t>
      </w:r>
      <w:r w:rsidR="00FE0D0F">
        <w:t>nd-</w:t>
      </w:r>
      <w:r w:rsidR="00D31C0E">
        <w:t>u</w:t>
      </w:r>
      <w:r w:rsidR="00FE0D0F">
        <w:t xml:space="preserve">ser </w:t>
      </w:r>
      <w:r w:rsidR="00D31C0E">
        <w:t>d</w:t>
      </w:r>
      <w:r w:rsidR="00FE0D0F">
        <w:t xml:space="preserve">ocumentation and </w:t>
      </w:r>
      <w:r w:rsidR="00D31C0E">
        <w:t>t</w:t>
      </w:r>
      <w:r w:rsidR="00FE0D0F">
        <w:t xml:space="preserve">raining. </w:t>
      </w:r>
    </w:p>
    <w:p w14:paraId="34AD547E" w14:textId="283930B9" w:rsidR="00A803D7" w:rsidRDefault="00A803D7" w:rsidP="00EE642B">
      <w:pPr>
        <w:pStyle w:val="CvrLtrBullet1Double"/>
      </w:pPr>
      <w:r w:rsidRPr="00BE60A5">
        <w:rPr>
          <w:b/>
          <w:bCs w:val="0"/>
        </w:rPr>
        <w:t>Product Operations</w:t>
      </w:r>
      <w:r w:rsidR="007C74B4">
        <w:t xml:space="preserve"> is the engine driving processes, analytics, reviews, tracking, reporting, and other strategic initiatives. Activities focus on initiating and managing feedback from multiple channels on product enhancements; monitoring and reporting on the performance, strategy alignment, and other KPIs of </w:t>
      </w:r>
      <w:r w:rsidR="0023168F">
        <w:t>BenefitsCal</w:t>
      </w:r>
      <w:r w:rsidR="007C74B4">
        <w:t xml:space="preserve">, in order to detect as early as possible, the moment when improvement or adjustment to the </w:t>
      </w:r>
      <w:r w:rsidR="0023168F">
        <w:t xml:space="preserve">BenefitsCal </w:t>
      </w:r>
      <w:r w:rsidR="007C74B4">
        <w:t xml:space="preserve">Product Strategy is needed. Within this </w:t>
      </w:r>
      <w:r w:rsidR="007432E5">
        <w:t>phase</w:t>
      </w:r>
      <w:r w:rsidR="007C74B4">
        <w:t xml:space="preserve"> reviews of all aspects of </w:t>
      </w:r>
      <w:r w:rsidR="007432E5">
        <w:t xml:space="preserve">the </w:t>
      </w:r>
      <w:r w:rsidR="007C74B4">
        <w:t>Product Lifecycle (</w:t>
      </w:r>
      <w:r w:rsidR="007432E5">
        <w:t>p</w:t>
      </w:r>
      <w:r w:rsidR="007C74B4">
        <w:t xml:space="preserve">ipeline of </w:t>
      </w:r>
      <w:r w:rsidR="007432E5">
        <w:t>innovation ideas</w:t>
      </w:r>
      <w:r w:rsidR="007C74B4">
        <w:t>, issues with existing deployments</w:t>
      </w:r>
      <w:r w:rsidR="007432E5">
        <w:t>, feedback from users</w:t>
      </w:r>
      <w:r w:rsidR="00553831">
        <w:t xml:space="preserve">, </w:t>
      </w:r>
      <w:r w:rsidR="007432E5">
        <w:t xml:space="preserve">the BenefitsCal </w:t>
      </w:r>
      <w:r w:rsidR="00553831">
        <w:t>Technical Service Desk, County help d</w:t>
      </w:r>
      <w:r w:rsidR="007432E5">
        <w:t>esk</w:t>
      </w:r>
      <w:r w:rsidR="00553831">
        <w:t xml:space="preserve">s, </w:t>
      </w:r>
      <w:r w:rsidR="007C74B4">
        <w:t xml:space="preserve">etc. are collected, analyzed, and used for strategic course-changing </w:t>
      </w:r>
      <w:r w:rsidR="00553831">
        <w:t>recommendations</w:t>
      </w:r>
      <w:r w:rsidR="007C74B4">
        <w:t>.</w:t>
      </w:r>
    </w:p>
    <w:p w14:paraId="65C05013" w14:textId="06A2493A" w:rsidR="00E04C1A" w:rsidRDefault="008B51FA" w:rsidP="00502F5C">
      <w:pPr>
        <w:pStyle w:val="BodyText"/>
        <w:keepNext/>
      </w:pPr>
      <w:r>
        <w:lastRenderedPageBreak/>
        <w:t xml:space="preserve">Using our approach to innovation illustrated in </w:t>
      </w:r>
      <w:r w:rsidR="00D901E7">
        <w:t>the following figure</w:t>
      </w:r>
      <w:r>
        <w:t>, we gather and coordinate innovation ideas from various sources</w:t>
      </w:r>
      <w:r w:rsidR="00E04C1A">
        <w:t>.</w:t>
      </w:r>
    </w:p>
    <w:p w14:paraId="69D60BA8" w14:textId="7CB23A36" w:rsidR="00AE600A" w:rsidRDefault="00AE600A" w:rsidP="004339C5">
      <w:pPr>
        <w:pStyle w:val="FigureCaptionAuto"/>
      </w:pPr>
      <w:bookmarkStart w:id="89" w:name="_Toc173187532"/>
      <w:r w:rsidRPr="00BF7807">
        <w:t xml:space="preserve">Overview of Our Approach to </w:t>
      </w:r>
      <w:r>
        <w:t>Innovation</w:t>
      </w:r>
      <w:bookmarkEnd w:id="89"/>
    </w:p>
    <w:p w14:paraId="32D8BDA9" w14:textId="66A22F34" w:rsidR="008B51FA" w:rsidRDefault="007A199F" w:rsidP="00FC7E66">
      <w:pPr>
        <w:pStyle w:val="BodyTextWide"/>
        <w:ind w:left="0"/>
      </w:pPr>
      <w:r>
        <w:drawing>
          <wp:inline distT="0" distB="0" distL="0" distR="0" wp14:anchorId="35E6DD47" wp14:editId="4FF7BAF8">
            <wp:extent cx="6486733" cy="3077155"/>
            <wp:effectExtent l="0" t="0" r="0" b="9525"/>
            <wp:docPr id="166984725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519926" cy="3092901"/>
                    </a:xfrm>
                    <a:prstGeom prst="rect">
                      <a:avLst/>
                    </a:prstGeom>
                    <a:noFill/>
                  </pic:spPr>
                </pic:pic>
              </a:graphicData>
            </a:graphic>
          </wp:inline>
        </w:drawing>
      </w:r>
    </w:p>
    <w:p w14:paraId="6E2D7F03" w14:textId="02126279" w:rsidR="003C266C" w:rsidRPr="003C266C" w:rsidRDefault="003C266C" w:rsidP="00F35F64">
      <w:pPr>
        <w:pStyle w:val="Subheading"/>
        <w:rPr>
          <w:b w:val="0"/>
          <w:bCs/>
        </w:rPr>
      </w:pPr>
      <w:r w:rsidRPr="003C266C">
        <w:t>Innovation Idea Sources</w:t>
      </w:r>
    </w:p>
    <w:p w14:paraId="3FF0C3F4" w14:textId="4811CE8B" w:rsidR="008B51FA" w:rsidRDefault="00E72148" w:rsidP="008B51FA">
      <w:pPr>
        <w:pStyle w:val="BodyText"/>
      </w:pPr>
      <w:r>
        <w:t>As part of the Research and Product Strategy phase, i</w:t>
      </w:r>
      <w:r w:rsidR="008B51FA">
        <w:t>nnovation sources</w:t>
      </w:r>
      <w:r>
        <w:t xml:space="preserve"> accessed</w:t>
      </w:r>
      <w:r w:rsidR="008B51FA">
        <w:t xml:space="preserve"> include, but are not limited to, the following:</w:t>
      </w:r>
    </w:p>
    <w:p w14:paraId="1DA2B443" w14:textId="549C5FE2" w:rsidR="00416E9F" w:rsidRDefault="00416E9F" w:rsidP="000D1C3A">
      <w:pPr>
        <w:pStyle w:val="Bullet1Single0"/>
      </w:pPr>
      <w:r>
        <w:t xml:space="preserve">BenefitsCal </w:t>
      </w:r>
      <w:r w:rsidR="00686099">
        <w:t>u</w:t>
      </w:r>
      <w:r>
        <w:t>sers</w:t>
      </w:r>
      <w:r w:rsidR="00686099">
        <w:t xml:space="preserve"> including advocates for BenefitsCal users</w:t>
      </w:r>
    </w:p>
    <w:p w14:paraId="246CF40A" w14:textId="77777777" w:rsidR="00ED57BB" w:rsidRDefault="00ED57BB" w:rsidP="000D1C3A">
      <w:pPr>
        <w:pStyle w:val="Bullet1Single0"/>
      </w:pPr>
      <w:r>
        <w:t>County Leadership and Staff</w:t>
      </w:r>
    </w:p>
    <w:p w14:paraId="129A2D07" w14:textId="71EF5A41" w:rsidR="008B51FA" w:rsidRDefault="008B51FA" w:rsidP="000D1C3A">
      <w:pPr>
        <w:pStyle w:val="Bullet1Single0"/>
      </w:pPr>
      <w:r>
        <w:t>CalSAWS Innovation Team</w:t>
      </w:r>
    </w:p>
    <w:p w14:paraId="2CEBCA30" w14:textId="22A4F3DB" w:rsidR="006C58AC" w:rsidRDefault="006C58AC" w:rsidP="000D1C3A">
      <w:pPr>
        <w:pStyle w:val="Bullet1Single0"/>
      </w:pPr>
      <w:r>
        <w:t>Consortium BenefitsCal Section Director and other Consortium Staff</w:t>
      </w:r>
    </w:p>
    <w:p w14:paraId="04C660DE" w14:textId="29B0212E" w:rsidR="006C58AC" w:rsidRDefault="006C58AC" w:rsidP="000D1C3A">
      <w:pPr>
        <w:pStyle w:val="Bullet1Single0"/>
      </w:pPr>
      <w:r>
        <w:t>State partners</w:t>
      </w:r>
      <w:r w:rsidR="00F21FA1">
        <w:t xml:space="preserve">, </w:t>
      </w:r>
      <w:r w:rsidR="004F5957">
        <w:t>CWDA</w:t>
      </w:r>
      <w:r w:rsidR="00F21FA1">
        <w:t>, Union representatives (SEIU)</w:t>
      </w:r>
    </w:p>
    <w:p w14:paraId="4BE2E5B6" w14:textId="718C8D7E" w:rsidR="004F5957" w:rsidRDefault="004F5957" w:rsidP="000D1C3A">
      <w:pPr>
        <w:pStyle w:val="Bullet1Single0"/>
      </w:pPr>
      <w:r>
        <w:t>Gainwell Product Manager, UCD Lead and other Gainwell staff members</w:t>
      </w:r>
    </w:p>
    <w:p w14:paraId="4B650B66" w14:textId="398D6860" w:rsidR="004F5957" w:rsidRDefault="004F5957" w:rsidP="000D1C3A">
      <w:pPr>
        <w:pStyle w:val="Bullet1Single0"/>
      </w:pPr>
      <w:r>
        <w:t>BenefitsCal Technical Service Desk</w:t>
      </w:r>
    </w:p>
    <w:p w14:paraId="08898E25" w14:textId="1663CC5D" w:rsidR="00607ED7" w:rsidRDefault="00607ED7" w:rsidP="00EE642B">
      <w:pPr>
        <w:pStyle w:val="CvrLtrBullet1Double"/>
      </w:pPr>
      <w:r>
        <w:t>Gainwell Corporate Product Group</w:t>
      </w:r>
    </w:p>
    <w:p w14:paraId="19A3D766" w14:textId="77777777" w:rsidR="00A134C6" w:rsidRDefault="00A134C6" w:rsidP="008F5C89">
      <w:pPr>
        <w:pStyle w:val="BodyText"/>
        <w:keepNext/>
      </w:pPr>
      <w:r>
        <w:lastRenderedPageBreak/>
        <w:t>A number of enhancement input channels are elements of the Collaboration Model as shown on the diagram from the RFP below.</w:t>
      </w:r>
    </w:p>
    <w:p w14:paraId="36B116E4" w14:textId="77777777" w:rsidR="00AE600A" w:rsidRPr="000C2E5D" w:rsidRDefault="00AE600A" w:rsidP="004339C5">
      <w:pPr>
        <w:pStyle w:val="FigureCaptionAuto"/>
      </w:pPr>
      <w:bookmarkStart w:id="90" w:name="_Toc173187533"/>
      <w:r w:rsidRPr="000C2E5D">
        <w:t>Current Collaboration Model</w:t>
      </w:r>
      <w:r>
        <w:t xml:space="preserve"> (from the BenefitsCal RFP)</w:t>
      </w:r>
      <w:bookmarkEnd w:id="90"/>
    </w:p>
    <w:p w14:paraId="3D8B26E4" w14:textId="77777777" w:rsidR="00A134C6" w:rsidRDefault="00A134C6" w:rsidP="00A134C6">
      <w:pPr>
        <w:pStyle w:val="BodyText"/>
      </w:pPr>
      <w:r w:rsidRPr="007174AB">
        <w:rPr>
          <w:noProof/>
        </w:rPr>
        <w:drawing>
          <wp:inline distT="0" distB="0" distL="0" distR="0" wp14:anchorId="7CBC31BA" wp14:editId="23D02806">
            <wp:extent cx="5852160" cy="3572151"/>
            <wp:effectExtent l="0" t="0" r="0" b="9525"/>
            <wp:docPr id="1503927065" name="Picture 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bubble chart&#10;&#10;Description automatically generated"/>
                    <pic:cNvPicPr>
                      <a:picLocks noChangeAspect="1" noChangeArrowheads="1"/>
                    </pic:cNvPicPr>
                  </pic:nvPicPr>
                  <pic:blipFill rotWithShape="1">
                    <a:blip r:embed="rId104">
                      <a:extLst>
                        <a:ext uri="{28A0092B-C50C-407E-A947-70E740481C1C}">
                          <a14:useLocalDpi xmlns:a14="http://schemas.microsoft.com/office/drawing/2010/main" val="0"/>
                        </a:ext>
                      </a:extLst>
                    </a:blip>
                    <a:srcRect l="1282" r="2928" b="2824"/>
                    <a:stretch/>
                  </pic:blipFill>
                  <pic:spPr bwMode="auto">
                    <a:xfrm>
                      <a:off x="0" y="0"/>
                      <a:ext cx="5852160" cy="3572151"/>
                    </a:xfrm>
                    <a:prstGeom prst="rect">
                      <a:avLst/>
                    </a:prstGeom>
                    <a:noFill/>
                    <a:ln>
                      <a:noFill/>
                    </a:ln>
                    <a:extLst>
                      <a:ext uri="{53640926-AAD7-44D8-BBD7-CCE9431645EC}">
                        <a14:shadowObscured xmlns:a14="http://schemas.microsoft.com/office/drawing/2010/main"/>
                      </a:ext>
                    </a:extLst>
                  </pic:spPr>
                </pic:pic>
              </a:graphicData>
            </a:graphic>
          </wp:inline>
        </w:drawing>
      </w:r>
    </w:p>
    <w:p w14:paraId="3680148A" w14:textId="77777777" w:rsidR="005F01D9" w:rsidRDefault="00A134C6" w:rsidP="00A134C6">
      <w:pPr>
        <w:pStyle w:val="BodyText"/>
      </w:pPr>
      <w:r>
        <w:t xml:space="preserve">Gainwell fully supports the Collaboration Model and proposes an additional input channel for identifying enhancements/innovations, </w:t>
      </w:r>
      <w:r w:rsidRPr="001E395D">
        <w:rPr>
          <w:b/>
          <w:bCs/>
        </w:rPr>
        <w:t>outreach</w:t>
      </w:r>
      <w:r>
        <w:t xml:space="preserve">. </w:t>
      </w:r>
    </w:p>
    <w:p w14:paraId="5D443A3D" w14:textId="61BFC3C8" w:rsidR="00A134C6" w:rsidRDefault="00062DB2" w:rsidP="00A134C6">
      <w:pPr>
        <w:pStyle w:val="BodyText"/>
      </w:pPr>
      <w:r w:rsidRPr="00F8463F">
        <w:rPr>
          <w:noProof/>
        </w:rPr>
        <w:drawing>
          <wp:anchor distT="0" distB="0" distL="114300" distR="114300" simplePos="0" relativeHeight="251658279" behindDoc="0" locked="0" layoutInCell="1" allowOverlap="1" wp14:anchorId="125E1C3F" wp14:editId="17C92928">
            <wp:simplePos x="0" y="0"/>
            <wp:positionH relativeFrom="margin">
              <wp:posOffset>3228057</wp:posOffset>
            </wp:positionH>
            <wp:positionV relativeFrom="paragraph">
              <wp:posOffset>285539</wp:posOffset>
            </wp:positionV>
            <wp:extent cx="2588260" cy="1454785"/>
            <wp:effectExtent l="0" t="0" r="2540" b="0"/>
            <wp:wrapSquare wrapText="bothSides"/>
            <wp:docPr id="7" name="Picture 6" descr="A picture containing person, table, indoor, meal&#10;&#10;Description automatically generated">
              <a:extLst xmlns:a="http://schemas.openxmlformats.org/drawingml/2006/main">
                <a:ext uri="{FF2B5EF4-FFF2-40B4-BE49-F238E27FC236}">
                  <a16:creationId xmlns:a16="http://schemas.microsoft.com/office/drawing/2014/main" id="{08124857-F81C-499E-BCC1-2182160027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icture containing person, table, indoor, meal&#10;&#10;Description automatically generated">
                      <a:extLst>
                        <a:ext uri="{FF2B5EF4-FFF2-40B4-BE49-F238E27FC236}">
                          <a16:creationId xmlns:a16="http://schemas.microsoft.com/office/drawing/2014/main" id="{08124857-F81C-499E-BCC1-218216002718}"/>
                        </a:ext>
                      </a:extLst>
                    </pic:cNvPr>
                    <pic:cNvPicPr>
                      <a:picLocks noChangeAspect="1"/>
                    </pic:cNvPicPr>
                  </pic:nvPicPr>
                  <pic:blipFill rotWithShape="1">
                    <a:blip r:embed="rId105" cstate="print">
                      <a:extLst>
                        <a:ext uri="{28A0092B-C50C-407E-A947-70E740481C1C}">
                          <a14:useLocalDpi xmlns:a14="http://schemas.microsoft.com/office/drawing/2010/main" val="0"/>
                        </a:ext>
                      </a:extLst>
                    </a:blip>
                    <a:srcRect/>
                    <a:stretch/>
                  </pic:blipFill>
                  <pic:spPr>
                    <a:xfrm>
                      <a:off x="0" y="0"/>
                      <a:ext cx="2588260" cy="1454785"/>
                    </a:xfrm>
                    <a:prstGeom prst="rect">
                      <a:avLst/>
                    </a:prstGeom>
                  </pic:spPr>
                </pic:pic>
              </a:graphicData>
            </a:graphic>
            <wp14:sizeRelH relativeFrom="page">
              <wp14:pctWidth>0</wp14:pctWidth>
            </wp14:sizeRelH>
            <wp14:sizeRelV relativeFrom="page">
              <wp14:pctHeight>0</wp14:pctHeight>
            </wp14:sizeRelV>
          </wp:anchor>
        </w:drawing>
      </w:r>
      <w:r w:rsidR="00A134C6">
        <w:t>Gainwell conducted outreach for the County of Placer targeted at contacting Medi-Cal recipients who were not enrolled in CalFresh</w:t>
      </w:r>
      <w:r w:rsidR="000A59BD">
        <w:t xml:space="preserve">. </w:t>
      </w:r>
      <w:r w:rsidR="00A134C6">
        <w:t>Beyond the goals of increasing CalFresh enrollment, this project resulted in a unique opportunity to observe and assist users in the portal in use at the time, MyBCW</w:t>
      </w:r>
      <w:r w:rsidR="000A59BD">
        <w:t xml:space="preserve">. </w:t>
      </w:r>
      <w:r w:rsidR="00A134C6">
        <w:t>The County of Placer outreach project was a data-driven approach to increasing CalFresh enrollment</w:t>
      </w:r>
      <w:r w:rsidR="000A59BD">
        <w:t xml:space="preserve">. </w:t>
      </w:r>
      <w:r w:rsidR="00A134C6">
        <w:t>Gainwell worked with the County of Placer to identify target candidates for an outreach campaign.</w:t>
      </w:r>
    </w:p>
    <w:p w14:paraId="1D7B2AD3" w14:textId="49B7DFA1" w:rsidR="00A134C6" w:rsidRDefault="00A134C6" w:rsidP="00A134C6">
      <w:pPr>
        <w:pStyle w:val="BodyText"/>
      </w:pPr>
      <w:r w:rsidRPr="00F8463F">
        <w:t xml:space="preserve">The Gainwell team </w:t>
      </w:r>
      <w:r>
        <w:t>focused</w:t>
      </w:r>
      <w:r w:rsidRPr="00F8463F">
        <w:t xml:space="preserve"> on each individual </w:t>
      </w:r>
      <w:r>
        <w:t xml:space="preserve">candidate </w:t>
      </w:r>
      <w:r w:rsidRPr="00F8463F">
        <w:t>with a service orientation, approaching each person with empathy, and seeking to assist them with overcoming barriers to submitting an application or maintaining their benefits</w:t>
      </w:r>
      <w:r w:rsidR="000A59BD" w:rsidRPr="00F8463F">
        <w:t>.</w:t>
      </w:r>
      <w:r w:rsidR="000A59BD">
        <w:t xml:space="preserve"> </w:t>
      </w:r>
      <w:r>
        <w:t>Gainwell staff member</w:t>
      </w:r>
      <w:r w:rsidR="00DC08AE">
        <w:t>s</w:t>
      </w:r>
      <w:r>
        <w:t xml:space="preserve"> conducting the outreach were also trained on MyBCW portal usage</w:t>
      </w:r>
      <w:r w:rsidR="000A59BD">
        <w:t xml:space="preserve">. </w:t>
      </w:r>
      <w:r>
        <w:t>Our staff assisted individuals with using MyBCW and observed areas of the portal where customers had difficulty or made suggestions as they navigated through the portal</w:t>
      </w:r>
      <w:r w:rsidR="000A59BD">
        <w:t xml:space="preserve">. </w:t>
      </w:r>
      <w:r>
        <w:t xml:space="preserve">Not </w:t>
      </w:r>
      <w:r>
        <w:lastRenderedPageBreak/>
        <w:t>only did the Gainwell staff perform the outreach service, but they also gathered invaluable information about pain points and improvement suggestions for the MyBCW portal based on actual usage of the portal.</w:t>
      </w:r>
    </w:p>
    <w:p w14:paraId="1926B360" w14:textId="38F4E1B5" w:rsidR="00A134C6" w:rsidRDefault="00062DB2" w:rsidP="00A134C6">
      <w:pPr>
        <w:pStyle w:val="BodyText"/>
      </w:pPr>
      <w:r w:rsidRPr="005F01D9">
        <w:rPr>
          <w:noProof/>
        </w:rPr>
        <w:drawing>
          <wp:anchor distT="0" distB="0" distL="114300" distR="114300" simplePos="0" relativeHeight="251658301" behindDoc="0" locked="0" layoutInCell="1" allowOverlap="1" wp14:anchorId="049D836B" wp14:editId="784A01B9">
            <wp:simplePos x="0" y="0"/>
            <wp:positionH relativeFrom="margin">
              <wp:align>left</wp:align>
            </wp:positionH>
            <wp:positionV relativeFrom="paragraph">
              <wp:posOffset>308751</wp:posOffset>
            </wp:positionV>
            <wp:extent cx="1860605" cy="729518"/>
            <wp:effectExtent l="0" t="0" r="0" b="0"/>
            <wp:wrapSquare wrapText="bothSides"/>
            <wp:docPr id="3" name="Graphic 2">
              <a:extLst xmlns:a="http://schemas.openxmlformats.org/drawingml/2006/main">
                <a:ext uri="{FF2B5EF4-FFF2-40B4-BE49-F238E27FC236}">
                  <a16:creationId xmlns:a16="http://schemas.microsoft.com/office/drawing/2014/main" id="{94E9AA52-CEC0-3B0A-3738-75FF0AAFC1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94E9AA52-CEC0-3B0A-3738-75FF0AAFC1CA}"/>
                        </a:ext>
                      </a:extLst>
                    </pic:cNvPr>
                    <pic:cNvPicPr>
                      <a:picLocks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1860605" cy="729518"/>
                    </a:xfrm>
                    <a:prstGeom prst="rect">
                      <a:avLst/>
                    </a:prstGeom>
                  </pic:spPr>
                </pic:pic>
              </a:graphicData>
            </a:graphic>
            <wp14:sizeRelH relativeFrom="page">
              <wp14:pctWidth>0</wp14:pctWidth>
            </wp14:sizeRelH>
            <wp14:sizeRelV relativeFrom="page">
              <wp14:pctHeight>0</wp14:pctHeight>
            </wp14:sizeRelV>
          </wp:anchor>
        </w:drawing>
      </w:r>
      <w:r w:rsidR="00A134C6">
        <w:t>We are proposing to coordinate with the Consortium to identify interested Counties</w:t>
      </w:r>
      <w:r w:rsidR="000A59BD">
        <w:t xml:space="preserve">. </w:t>
      </w:r>
      <w:r w:rsidR="00A134C6">
        <w:t>The Gainwell team will work with the identified Counties to conduct similar outreach activities to obtain this same type of information regarding BenefitsCal</w:t>
      </w:r>
      <w:r w:rsidR="000A59BD">
        <w:t xml:space="preserve">. </w:t>
      </w:r>
      <w:r w:rsidR="00A134C6">
        <w:t>This usage research serves the double duty of assisting volunteer Counties with outreach activities.</w:t>
      </w:r>
    </w:p>
    <w:p w14:paraId="62A2707C" w14:textId="0F38D6CB" w:rsidR="008B51FA" w:rsidRDefault="00175ED2" w:rsidP="00931DDE">
      <w:pPr>
        <w:pStyle w:val="BodyText"/>
      </w:pPr>
      <w:r>
        <w:t xml:space="preserve">While the Consortium, </w:t>
      </w:r>
      <w:r w:rsidR="004905FD">
        <w:t xml:space="preserve">County leadership and staff, </w:t>
      </w:r>
      <w:r>
        <w:t xml:space="preserve">Gainwell and other contractors, </w:t>
      </w:r>
      <w:r w:rsidR="00A86770">
        <w:t xml:space="preserve">and </w:t>
      </w:r>
      <w:r>
        <w:t xml:space="preserve">State </w:t>
      </w:r>
      <w:r w:rsidR="00A86770">
        <w:t xml:space="preserve">partners and </w:t>
      </w:r>
      <w:r>
        <w:t xml:space="preserve">stakeholders are all sources of innovation ideas that are actively sought out by our Gainwell </w:t>
      </w:r>
      <w:r w:rsidR="00A86770">
        <w:t>Product Manager</w:t>
      </w:r>
      <w:r>
        <w:t xml:space="preserve">, we place </w:t>
      </w:r>
      <w:r w:rsidRPr="00637A23">
        <w:t xml:space="preserve">a </w:t>
      </w:r>
      <w:r w:rsidRPr="00650925">
        <w:t>u</w:t>
      </w:r>
      <w:r>
        <w:t>nique emphasis on using</w:t>
      </w:r>
      <w:r w:rsidR="00A86770">
        <w:t xml:space="preserve"> analytics,</w:t>
      </w:r>
      <w:r>
        <w:t xml:space="preserve"> consulting techniques</w:t>
      </w:r>
      <w:r w:rsidR="00A86770">
        <w:t xml:space="preserve">, </w:t>
      </w:r>
      <w:r>
        <w:t xml:space="preserve">and direct interactions with </w:t>
      </w:r>
      <w:r w:rsidR="00A86770">
        <w:t>BenefitsCal</w:t>
      </w:r>
      <w:r>
        <w:t xml:space="preserve"> </w:t>
      </w:r>
      <w:r w:rsidR="00A86770">
        <w:t>users</w:t>
      </w:r>
      <w:r>
        <w:t xml:space="preserve"> to identify both pain points and improvement suggestions</w:t>
      </w:r>
      <w:r w:rsidR="00941096">
        <w:t>.</w:t>
      </w:r>
    </w:p>
    <w:p w14:paraId="752E1769" w14:textId="12220873" w:rsidR="00941096" w:rsidRDefault="00941096" w:rsidP="00931DDE">
      <w:pPr>
        <w:pStyle w:val="BodyText"/>
      </w:pPr>
      <w:r>
        <w:t xml:space="preserve">Much of this interaction occurs as part of our </w:t>
      </w:r>
      <w:r w:rsidR="00B403D3">
        <w:t>UCD process which includes</w:t>
      </w:r>
      <w:r w:rsidR="00C27747">
        <w:t xml:space="preserve"> focus groups, user surveys and user interviews</w:t>
      </w:r>
      <w:r w:rsidR="009449BE">
        <w:t>.</w:t>
      </w:r>
    </w:p>
    <w:p w14:paraId="373B96A4" w14:textId="46189501" w:rsidR="00664407" w:rsidRDefault="00AA724C" w:rsidP="00931DDE">
      <w:pPr>
        <w:pStyle w:val="BodyText"/>
      </w:pPr>
      <w:r>
        <w:rPr>
          <w:noProof/>
        </w:rPr>
        <w:drawing>
          <wp:anchor distT="0" distB="0" distL="114300" distR="114300" simplePos="0" relativeHeight="251658281" behindDoc="0" locked="0" layoutInCell="1" allowOverlap="1" wp14:anchorId="01488AE2" wp14:editId="30FF51B8">
            <wp:simplePos x="0" y="0"/>
            <wp:positionH relativeFrom="margin">
              <wp:align>left</wp:align>
            </wp:positionH>
            <wp:positionV relativeFrom="paragraph">
              <wp:posOffset>480554</wp:posOffset>
            </wp:positionV>
            <wp:extent cx="2569845" cy="4184015"/>
            <wp:effectExtent l="0" t="0" r="1905" b="6985"/>
            <wp:wrapSquare wrapText="bothSides"/>
            <wp:docPr id="10276484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69845" cy="4184015"/>
                    </a:xfrm>
                    <a:prstGeom prst="rect">
                      <a:avLst/>
                    </a:prstGeom>
                    <a:noFill/>
                  </pic:spPr>
                </pic:pic>
              </a:graphicData>
            </a:graphic>
            <wp14:sizeRelH relativeFrom="margin">
              <wp14:pctWidth>0</wp14:pctWidth>
            </wp14:sizeRelH>
            <wp14:sizeRelV relativeFrom="margin">
              <wp14:pctHeight>0</wp14:pctHeight>
            </wp14:sizeRelV>
          </wp:anchor>
        </w:drawing>
      </w:r>
      <w:r w:rsidR="00DB62CE">
        <w:t xml:space="preserve">Our </w:t>
      </w:r>
      <w:r w:rsidR="00DB62CE" w:rsidRPr="00C33FAC">
        <w:rPr>
          <w:b/>
          <w:bCs/>
        </w:rPr>
        <w:t>BenefitsCal Technical Service Desk</w:t>
      </w:r>
      <w:r w:rsidR="00DB62CE">
        <w:t xml:space="preserve"> staff members also interact with </w:t>
      </w:r>
      <w:r w:rsidR="00C14258">
        <w:t>BenefitsCal users</w:t>
      </w:r>
      <w:r w:rsidR="00AE0FDD">
        <w:t xml:space="preserve"> and gather significant insight into the areas where users are experiencing barriers</w:t>
      </w:r>
      <w:r w:rsidR="000A59BD">
        <w:t xml:space="preserve">. </w:t>
      </w:r>
      <w:r w:rsidR="00A462CE">
        <w:t xml:space="preserve">The BenefitsCal Technical Service Desk </w:t>
      </w:r>
      <w:r w:rsidR="00E06D65">
        <w:t xml:space="preserve">monitors </w:t>
      </w:r>
      <w:r w:rsidR="004A620F">
        <w:t>tickets</w:t>
      </w:r>
      <w:r w:rsidR="00D61AC3">
        <w:t xml:space="preserve"> for trends and repeating </w:t>
      </w:r>
      <w:r w:rsidR="00B77B3D">
        <w:t>problems</w:t>
      </w:r>
      <w:r w:rsidR="000A59BD">
        <w:t xml:space="preserve">. </w:t>
      </w:r>
      <w:r w:rsidR="00A4269A">
        <w:t>A</w:t>
      </w:r>
      <w:r w:rsidR="00011B90">
        <w:t>reas identified by the BenefitsCal Technical Service Desk for invest</w:t>
      </w:r>
      <w:r w:rsidR="000767E2">
        <w:t>igation include</w:t>
      </w:r>
      <w:r w:rsidR="00E31C9B">
        <w:t>:</w:t>
      </w:r>
    </w:p>
    <w:p w14:paraId="5A197983" w14:textId="2C865AC4" w:rsidR="00462CDD" w:rsidRPr="006C6EA9" w:rsidRDefault="00462CDD" w:rsidP="000A65DE">
      <w:pPr>
        <w:pStyle w:val="NumbersAuto1Double"/>
        <w:tabs>
          <w:tab w:val="left" w:pos="4500"/>
        </w:tabs>
        <w:rPr>
          <w:rFonts w:ascii="Calibri" w:hAnsi="Calibri"/>
          <w:color w:val="auto"/>
          <w:lang w:bidi="ar-SA"/>
        </w:rPr>
      </w:pPr>
      <w:r>
        <w:t>Translation of the website to other languages</w:t>
      </w:r>
      <w:r w:rsidR="003D5BFA">
        <w:t xml:space="preserve"> </w:t>
      </w:r>
      <w:r>
        <w:t xml:space="preserve">is not always accurate and may need </w:t>
      </w:r>
      <w:r w:rsidR="003D5BFA">
        <w:t>additional verification</w:t>
      </w:r>
      <w:r w:rsidR="002A250D">
        <w:t>.</w:t>
      </w:r>
    </w:p>
    <w:p w14:paraId="1D02C117" w14:textId="2C67E7FA" w:rsidR="00462CDD" w:rsidRPr="001A059E" w:rsidRDefault="00462CDD" w:rsidP="006B2442">
      <w:pPr>
        <w:pStyle w:val="NumbersAuto1Double"/>
        <w:tabs>
          <w:tab w:val="left" w:pos="4500"/>
        </w:tabs>
      </w:pPr>
      <w:r>
        <w:t>Navigat</w:t>
      </w:r>
      <w:r w:rsidR="003D5BFA">
        <w:t>ion</w:t>
      </w:r>
      <w:r>
        <w:t xml:space="preserve"> by the elderly community or those needing ADA accommodations is not always smooth</w:t>
      </w:r>
      <w:r w:rsidR="001A059E">
        <w:t>, for example, the f</w:t>
      </w:r>
      <w:r w:rsidRPr="001A059E">
        <w:t xml:space="preserve">ont </w:t>
      </w:r>
      <w:r w:rsidR="001A059E">
        <w:t>si</w:t>
      </w:r>
      <w:r w:rsidRPr="001A059E">
        <w:t xml:space="preserve">ze for those with vision impairment makes navigating hard since zooming in and out </w:t>
      </w:r>
      <w:r w:rsidR="00B629D0">
        <w:t xml:space="preserve">on </w:t>
      </w:r>
      <w:r w:rsidRPr="001A059E">
        <w:t xml:space="preserve">the </w:t>
      </w:r>
      <w:r w:rsidR="00B629D0">
        <w:t>web</w:t>
      </w:r>
      <w:r w:rsidRPr="001A059E">
        <w:t>site can be cumbersome</w:t>
      </w:r>
      <w:r w:rsidR="002A250D">
        <w:t>.</w:t>
      </w:r>
    </w:p>
    <w:p w14:paraId="0DB64575" w14:textId="1FB1AF78" w:rsidR="00462CDD" w:rsidRDefault="00462CDD" w:rsidP="006B2442">
      <w:pPr>
        <w:pStyle w:val="NumbersAuto1Double"/>
        <w:tabs>
          <w:tab w:val="left" w:pos="4500"/>
        </w:tabs>
      </w:pPr>
      <w:r>
        <w:t xml:space="preserve">Many customers have asked if there is a BenefitsCal Application and/or when there will be one, for </w:t>
      </w:r>
      <w:r w:rsidR="00B629D0">
        <w:t xml:space="preserve">a </w:t>
      </w:r>
      <w:r>
        <w:t>better navigation experience on mobile phone</w:t>
      </w:r>
      <w:r w:rsidR="00B629D0">
        <w:t>s</w:t>
      </w:r>
      <w:r>
        <w:t xml:space="preserve"> and tablets</w:t>
      </w:r>
      <w:r w:rsidR="002A250D">
        <w:t>.</w:t>
      </w:r>
    </w:p>
    <w:p w14:paraId="42D1C149" w14:textId="1854B45D" w:rsidR="00462CDD" w:rsidRDefault="00462CDD" w:rsidP="006B2442">
      <w:pPr>
        <w:pStyle w:val="NumbersAuto1Double"/>
        <w:tabs>
          <w:tab w:val="left" w:pos="4500"/>
        </w:tabs>
      </w:pPr>
      <w:r>
        <w:t xml:space="preserve">Error messages are too vague, causing the customer to contact the </w:t>
      </w:r>
      <w:r w:rsidR="00B629D0">
        <w:t>C</w:t>
      </w:r>
      <w:r>
        <w:t xml:space="preserve">ounty. </w:t>
      </w:r>
      <w:r w:rsidR="00B629D0">
        <w:t xml:space="preserve">Additionally, </w:t>
      </w:r>
      <w:r w:rsidR="00B629D0">
        <w:lastRenderedPageBreak/>
        <w:t>County staff state they do not have or do not know where to access information to assist callers regarding the error message.</w:t>
      </w:r>
    </w:p>
    <w:p w14:paraId="4C220382" w14:textId="27246028" w:rsidR="00462CDD" w:rsidRDefault="00660604" w:rsidP="006C6EA9">
      <w:pPr>
        <w:pStyle w:val="NumbersAuto1Double"/>
      </w:pPr>
      <w:r w:rsidRPr="005F01D9">
        <w:rPr>
          <w:noProof/>
        </w:rPr>
        <w:drawing>
          <wp:anchor distT="0" distB="0" distL="114300" distR="114300" simplePos="0" relativeHeight="251658302" behindDoc="0" locked="0" layoutInCell="1" allowOverlap="1" wp14:anchorId="3FE2979B" wp14:editId="0AD16EE1">
            <wp:simplePos x="0" y="0"/>
            <wp:positionH relativeFrom="margin">
              <wp:posOffset>4195114</wp:posOffset>
            </wp:positionH>
            <wp:positionV relativeFrom="paragraph">
              <wp:posOffset>483042</wp:posOffset>
            </wp:positionV>
            <wp:extent cx="1860605" cy="729518"/>
            <wp:effectExtent l="0" t="0" r="0" b="0"/>
            <wp:wrapSquare wrapText="bothSides"/>
            <wp:docPr id="1006090277" name="Graphic 2">
              <a:extLst xmlns:a="http://schemas.openxmlformats.org/drawingml/2006/main">
                <a:ext uri="{FF2B5EF4-FFF2-40B4-BE49-F238E27FC236}">
                  <a16:creationId xmlns:a16="http://schemas.microsoft.com/office/drawing/2014/main" id="{94E9AA52-CEC0-3B0A-3738-75FF0AAFC1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94E9AA52-CEC0-3B0A-3738-75FF0AAFC1CA}"/>
                        </a:ext>
                      </a:extLst>
                    </pic:cNvPr>
                    <pic:cNvPicPr>
                      <a:picLocks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1860605" cy="729518"/>
                    </a:xfrm>
                    <a:prstGeom prst="rect">
                      <a:avLst/>
                    </a:prstGeom>
                  </pic:spPr>
                </pic:pic>
              </a:graphicData>
            </a:graphic>
            <wp14:sizeRelH relativeFrom="page">
              <wp14:pctWidth>0</wp14:pctWidth>
            </wp14:sizeRelH>
            <wp14:sizeRelV relativeFrom="page">
              <wp14:pctHeight>0</wp14:pctHeight>
            </wp14:sizeRelV>
          </wp:anchor>
        </w:drawing>
      </w:r>
      <w:r w:rsidR="00B9295C">
        <w:t>County staff have indicated that documents received from BenefitsCal uploads are not always usable</w:t>
      </w:r>
      <w:r w:rsidR="006A4240">
        <w:t>, for example they may not fully captured in the image,</w:t>
      </w:r>
      <w:r w:rsidR="00B26DC6">
        <w:t xml:space="preserve"> too small to read and/or blurred when expanded, unfocused, etc.</w:t>
      </w:r>
    </w:p>
    <w:p w14:paraId="1D7B54CB" w14:textId="397FDE04" w:rsidR="00A134C6" w:rsidRDefault="00111659" w:rsidP="001237A7">
      <w:pPr>
        <w:pStyle w:val="BodyText"/>
      </w:pPr>
      <w:r>
        <w:t xml:space="preserve">Areas for improvement such as these </w:t>
      </w:r>
      <w:r w:rsidR="004A4D48">
        <w:t>lead to</w:t>
      </w:r>
      <w:r>
        <w:t xml:space="preserve"> </w:t>
      </w:r>
      <w:r w:rsidR="004A4D48">
        <w:t>potential</w:t>
      </w:r>
      <w:r>
        <w:t xml:space="preserve"> innovation ideas </w:t>
      </w:r>
      <w:r w:rsidR="004A4D48">
        <w:t xml:space="preserve">to test out through </w:t>
      </w:r>
      <w:r w:rsidR="000C2E5D">
        <w:t>POCs</w:t>
      </w:r>
      <w:r w:rsidR="004A4D48">
        <w:t xml:space="preserve"> or enhancements to BenefitsCal</w:t>
      </w:r>
      <w:r w:rsidR="000A59BD">
        <w:t xml:space="preserve">. </w:t>
      </w:r>
    </w:p>
    <w:p w14:paraId="12BD3119" w14:textId="1C96AFBB" w:rsidR="002204EA" w:rsidRPr="001A00A7" w:rsidRDefault="002204EA" w:rsidP="0009205F">
      <w:pPr>
        <w:pStyle w:val="HeadingManual3"/>
        <w:rPr>
          <w:b w:val="0"/>
          <w:szCs w:val="28"/>
        </w:rPr>
      </w:pPr>
      <w:bookmarkStart w:id="91" w:name="_Toc173187494"/>
      <w:r w:rsidRPr="001A00A7">
        <w:t>4.3.</w:t>
      </w:r>
      <w:r>
        <w:t>5</w:t>
      </w:r>
      <w:r w:rsidR="0009205F">
        <w:tab/>
      </w:r>
      <w:r>
        <w:t>Coordinate with the Consortium to Evaluate Emerging Technologies</w:t>
      </w:r>
      <w:bookmarkEnd w:id="91"/>
    </w:p>
    <w:p w14:paraId="3D690276" w14:textId="263F5872" w:rsidR="00B6123A" w:rsidRDefault="00B6123A" w:rsidP="001237A7">
      <w:pPr>
        <w:pStyle w:val="BodyText"/>
      </w:pPr>
      <w:r>
        <w:t>The Gainwell team will coordinate with the Consortium on ideas generated through any of the channels described previously including evaluating emerging technologies</w:t>
      </w:r>
      <w:r w:rsidR="000313A0">
        <w:t>.</w:t>
      </w:r>
      <w:r>
        <w:t xml:space="preserve"> </w:t>
      </w:r>
    </w:p>
    <w:p w14:paraId="00C5C105" w14:textId="77777777" w:rsidR="00C965CB" w:rsidRDefault="00C965CB" w:rsidP="00C965CB">
      <w:pPr>
        <w:pStyle w:val="FigureCaptionAuto"/>
      </w:pPr>
      <w:bookmarkStart w:id="92" w:name="_Toc173187534"/>
      <w:r>
        <w:t>Innovation Approach – Evaluate and Integrate Ideas</w:t>
      </w:r>
      <w:bookmarkEnd w:id="92"/>
    </w:p>
    <w:p w14:paraId="1D17B7E5" w14:textId="09A6ED92" w:rsidR="000D6391" w:rsidRDefault="005A4D91" w:rsidP="001237A7">
      <w:pPr>
        <w:pStyle w:val="BodyText"/>
      </w:pPr>
      <w:r>
        <w:rPr>
          <w:noProof/>
        </w:rPr>
        <w:drawing>
          <wp:inline distT="0" distB="0" distL="0" distR="0" wp14:anchorId="7A092EB5" wp14:editId="424BEAB9">
            <wp:extent cx="6494070" cy="3172239"/>
            <wp:effectExtent l="0" t="0" r="2540" b="9525"/>
            <wp:docPr id="16158923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525621" cy="3187651"/>
                    </a:xfrm>
                    <a:prstGeom prst="rect">
                      <a:avLst/>
                    </a:prstGeom>
                    <a:noFill/>
                  </pic:spPr>
                </pic:pic>
              </a:graphicData>
            </a:graphic>
          </wp:inline>
        </w:drawing>
      </w:r>
    </w:p>
    <w:p w14:paraId="61DA2D20" w14:textId="365CFFD7" w:rsidR="00F86172" w:rsidRDefault="00F86172" w:rsidP="00F86172">
      <w:pPr>
        <w:pStyle w:val="BodyText"/>
      </w:pPr>
      <w:r>
        <w:t>We coordinate all innovation ideas</w:t>
      </w:r>
      <w:r w:rsidR="007E4F75">
        <w:t xml:space="preserve"> including emerging technologies</w:t>
      </w:r>
      <w:r>
        <w:t>, and associated analysis of business value, with the Consortium regardless of whe</w:t>
      </w:r>
      <w:r w:rsidR="00A14480">
        <w:t>re</w:t>
      </w:r>
      <w:r>
        <w:t xml:space="preserve"> the idea originated. </w:t>
      </w:r>
    </w:p>
    <w:p w14:paraId="157C3699" w14:textId="734F9851" w:rsidR="00A97E80" w:rsidRDefault="00024858" w:rsidP="00F86172">
      <w:pPr>
        <w:pStyle w:val="BodyText"/>
      </w:pPr>
      <w:r>
        <w:t xml:space="preserve">Ideas </w:t>
      </w:r>
      <w:r w:rsidR="00FE7C69">
        <w:t xml:space="preserve">may be selected for a </w:t>
      </w:r>
      <w:r w:rsidR="003718B9">
        <w:t>POC</w:t>
      </w:r>
      <w:r w:rsidR="00C14227">
        <w:t>, pilot,</w:t>
      </w:r>
      <w:r w:rsidR="003718B9">
        <w:t xml:space="preserve"> or</w:t>
      </w:r>
      <w:r w:rsidR="00FE7C69">
        <w:t xml:space="preserve"> inclusion </w:t>
      </w:r>
      <w:r w:rsidR="00576626">
        <w:t xml:space="preserve">in the SCR process for implementation into full production. </w:t>
      </w:r>
      <w:r w:rsidR="00935C47">
        <w:t xml:space="preserve">For example, use of </w:t>
      </w:r>
      <w:r w:rsidR="007B04F9">
        <w:t xml:space="preserve">Google Translate to translate webpages </w:t>
      </w:r>
      <w:r w:rsidR="007B4185">
        <w:t xml:space="preserve">may be </w:t>
      </w:r>
      <w:r w:rsidR="005D7AEA">
        <w:t xml:space="preserve">selected for a </w:t>
      </w:r>
      <w:r w:rsidR="009C3B4A">
        <w:t>pilot</w:t>
      </w:r>
      <w:r w:rsidR="007D61BA">
        <w:t xml:space="preserve"> with selected SCRs</w:t>
      </w:r>
      <w:r w:rsidR="005D7AEA">
        <w:t xml:space="preserve"> </w:t>
      </w:r>
      <w:r w:rsidR="007D61BA">
        <w:t xml:space="preserve">to </w:t>
      </w:r>
      <w:r w:rsidR="005D7AEA">
        <w:t xml:space="preserve">tests for viability of the idea. </w:t>
      </w:r>
      <w:r w:rsidR="00A97E80">
        <w:t xml:space="preserve">Such a </w:t>
      </w:r>
      <w:r w:rsidR="007A6912">
        <w:t xml:space="preserve">pilot or </w:t>
      </w:r>
      <w:r w:rsidR="00A97E80">
        <w:t xml:space="preserve">proof of concept </w:t>
      </w:r>
      <w:r w:rsidR="00260039">
        <w:t>would inform the joint Consortium/Gainwell team of the effectiveness of the technology and the amount of human verification required to finalize the webpage</w:t>
      </w:r>
      <w:r w:rsidR="007A6912">
        <w:t xml:space="preserve"> before it is released to production.</w:t>
      </w:r>
      <w:r w:rsidR="005D7AEA">
        <w:t xml:space="preserve"> </w:t>
      </w:r>
    </w:p>
    <w:p w14:paraId="630C82C9" w14:textId="060F35C6" w:rsidR="007A6912" w:rsidRDefault="003951DB" w:rsidP="00F86172">
      <w:pPr>
        <w:pStyle w:val="BodyText"/>
      </w:pPr>
      <w:r>
        <w:rPr>
          <w:rFonts w:cstheme="minorHAnsi"/>
          <w:szCs w:val="22"/>
        </w:rPr>
        <w:lastRenderedPageBreak/>
        <w:t>For pilots that require user interaction, Gainwell</w:t>
      </w:r>
      <w:r w:rsidR="007A6912">
        <w:rPr>
          <w:rFonts w:cstheme="minorHAnsi"/>
          <w:szCs w:val="22"/>
        </w:rPr>
        <w:t xml:space="preserve"> will, in coordination with the Consortium, define the need and representative </w:t>
      </w:r>
      <w:r>
        <w:rPr>
          <w:rFonts w:cstheme="minorHAnsi"/>
          <w:szCs w:val="22"/>
        </w:rPr>
        <w:t>u</w:t>
      </w:r>
      <w:r w:rsidR="007A6912">
        <w:rPr>
          <w:rFonts w:cstheme="minorHAnsi"/>
          <w:szCs w:val="22"/>
        </w:rPr>
        <w:t xml:space="preserve">ser population most appropriate for </w:t>
      </w:r>
      <w:r w:rsidR="004C6F74">
        <w:rPr>
          <w:rFonts w:cstheme="minorHAnsi"/>
          <w:szCs w:val="22"/>
        </w:rPr>
        <w:t>the pilot</w:t>
      </w:r>
      <w:r w:rsidR="007A6912">
        <w:rPr>
          <w:rFonts w:cstheme="minorHAnsi"/>
          <w:szCs w:val="22"/>
        </w:rPr>
        <w:t xml:space="preserve">. The pilot County or Counties, scope, schedule, activities </w:t>
      </w:r>
      <w:r w:rsidR="004C6F74">
        <w:rPr>
          <w:rFonts w:cstheme="minorHAnsi"/>
          <w:szCs w:val="22"/>
        </w:rPr>
        <w:t xml:space="preserve">including customer/user experience testing </w:t>
      </w:r>
      <w:r w:rsidR="007A6912">
        <w:rPr>
          <w:rFonts w:cstheme="minorHAnsi"/>
          <w:szCs w:val="22"/>
        </w:rPr>
        <w:t>will be based upon the scope and complexity of the Innovation initiative</w:t>
      </w:r>
      <w:r w:rsidR="00E132AF">
        <w:rPr>
          <w:rFonts w:cstheme="minorHAnsi"/>
          <w:szCs w:val="22"/>
        </w:rPr>
        <w:t xml:space="preserve"> along with the ability to limit the access by customer type or geographic area</w:t>
      </w:r>
      <w:r w:rsidR="007A6912">
        <w:rPr>
          <w:rFonts w:cstheme="minorHAnsi"/>
          <w:szCs w:val="22"/>
        </w:rPr>
        <w:t>.</w:t>
      </w:r>
    </w:p>
    <w:p w14:paraId="0A020968" w14:textId="0C8F29E1" w:rsidR="00F86172" w:rsidRDefault="00BF4B7F" w:rsidP="00F86172">
      <w:pPr>
        <w:pStyle w:val="BodyText"/>
      </w:pPr>
      <w:r>
        <w:t>Any evaluation of an emerging technology</w:t>
      </w:r>
      <w:r w:rsidR="00D24C4D">
        <w:t>, such as artificial intelligence (AI),</w:t>
      </w:r>
      <w:r>
        <w:t xml:space="preserve"> is a </w:t>
      </w:r>
      <w:r w:rsidR="000A59BD">
        <w:t>candidate</w:t>
      </w:r>
      <w:r>
        <w:t xml:space="preserve"> for a proof of concept to mitigate risk, including </w:t>
      </w:r>
      <w:r w:rsidR="00F86172">
        <w:t>potential security risks that need to be evaluated before an innovation initiative could be implemented</w:t>
      </w:r>
      <w:r w:rsidR="00C25475">
        <w:t xml:space="preserve">. </w:t>
      </w:r>
      <w:r w:rsidR="005353DF">
        <w:t>As such the Product Manager coordinates closely with the Consortium and Gainwell Security Manager</w:t>
      </w:r>
      <w:r w:rsidR="00910902">
        <w:t>s during the proof of concept to identify security aspects that need to be implemented for a production rollout.</w:t>
      </w:r>
    </w:p>
    <w:p w14:paraId="3C349758" w14:textId="6BBED498" w:rsidR="00F86172" w:rsidRDefault="00F86172" w:rsidP="00F86172">
      <w:pPr>
        <w:pStyle w:val="BodyText"/>
      </w:pPr>
      <w:r w:rsidRPr="00B20062">
        <w:t>For each innovation idea deemed to have business value, we will</w:t>
      </w:r>
      <w:r w:rsidRPr="00B20062" w:rsidDel="0012137F">
        <w:t xml:space="preserve"> </w:t>
      </w:r>
      <w:r w:rsidRPr="00B20062">
        <w:t xml:space="preserve">determine specific evaluation criteria in conjunction with the Consortium. </w:t>
      </w:r>
    </w:p>
    <w:p w14:paraId="61525AEF" w14:textId="7BE9F798" w:rsidR="00E36EA1" w:rsidRPr="001A00A7" w:rsidRDefault="00E36EA1" w:rsidP="0009205F">
      <w:pPr>
        <w:pStyle w:val="HeadingManual3"/>
        <w:rPr>
          <w:b w:val="0"/>
          <w:szCs w:val="28"/>
        </w:rPr>
      </w:pPr>
      <w:bookmarkStart w:id="93" w:name="_Toc173187495"/>
      <w:r w:rsidRPr="001A00A7">
        <w:t>4.3.</w:t>
      </w:r>
      <w:r>
        <w:t>6</w:t>
      </w:r>
      <w:r w:rsidR="0009205F">
        <w:tab/>
      </w:r>
      <w:r>
        <w:t>Propose Integration of the Selected Innovation</w:t>
      </w:r>
      <w:bookmarkEnd w:id="93"/>
    </w:p>
    <w:p w14:paraId="18A240CC" w14:textId="19F7ED49" w:rsidR="00D86736" w:rsidRDefault="00D86736" w:rsidP="00D86736">
      <w:pPr>
        <w:pStyle w:val="BodyText"/>
      </w:pPr>
      <w:r>
        <w:t xml:space="preserve">The integration of an innovation idea into the </w:t>
      </w:r>
      <w:r w:rsidR="007B79D8">
        <w:t>BenefitsCal</w:t>
      </w:r>
      <w:r>
        <w:t xml:space="preserve"> platform depends on the complexity and risk factors. Innovation is integrated through one of the processes described in </w:t>
      </w:r>
      <w:r w:rsidR="007B79D8">
        <w:t>the table below</w:t>
      </w:r>
      <w:r>
        <w:t>.</w:t>
      </w:r>
    </w:p>
    <w:p w14:paraId="239C9733" w14:textId="77777777" w:rsidR="00D86736" w:rsidRPr="00C965CB" w:rsidRDefault="00D86736" w:rsidP="00C965CB">
      <w:pPr>
        <w:pStyle w:val="TableCaptionAuto"/>
      </w:pPr>
      <w:bookmarkStart w:id="94" w:name="_Ref122510488"/>
      <w:bookmarkStart w:id="95" w:name="_Toc123585870"/>
      <w:bookmarkStart w:id="96" w:name="_Toc123721777"/>
      <w:bookmarkStart w:id="97" w:name="_Toc173187555"/>
      <w:r w:rsidRPr="00C965CB">
        <w:t>Innovation Integration Processes</w:t>
      </w:r>
      <w:bookmarkEnd w:id="94"/>
      <w:bookmarkEnd w:id="95"/>
      <w:bookmarkEnd w:id="96"/>
      <w:bookmarkEnd w:id="97"/>
    </w:p>
    <w:tbl>
      <w:tblPr>
        <w:tblW w:w="5000" w:type="pct"/>
        <w:tblInd w:w="18" w:type="dxa"/>
        <w:tblBorders>
          <w:bottom w:val="single" w:sz="4" w:space="0" w:color="2B3A44"/>
          <w:insideH w:val="single" w:sz="4" w:space="0" w:color="2B3A44"/>
        </w:tblBorders>
        <w:tblCellMar>
          <w:top w:w="57" w:type="dxa"/>
        </w:tblCellMar>
        <w:tblLook w:val="0620" w:firstRow="1" w:lastRow="0" w:firstColumn="0" w:lastColumn="0" w:noHBand="1" w:noVBand="1"/>
      </w:tblPr>
      <w:tblGrid>
        <w:gridCol w:w="2127"/>
        <w:gridCol w:w="7233"/>
      </w:tblGrid>
      <w:tr w:rsidR="00D86736" w:rsidRPr="00F04D5A" w14:paraId="38B9A39D" w14:textId="77777777" w:rsidTr="00822115">
        <w:trPr>
          <w:cantSplit/>
          <w:tblHeader/>
        </w:trPr>
        <w:tc>
          <w:tcPr>
            <w:tcW w:w="0" w:type="auto"/>
            <w:tcBorders>
              <w:top w:val="single" w:sz="8" w:space="0" w:color="7030A0"/>
              <w:bottom w:val="single" w:sz="8" w:space="0" w:color="7030A0"/>
            </w:tcBorders>
            <w:shd w:val="clear" w:color="auto" w:fill="EFE5F7"/>
            <w:hideMark/>
          </w:tcPr>
          <w:p w14:paraId="496135C6" w14:textId="77777777" w:rsidR="00D86736" w:rsidRPr="00F04D5A" w:rsidRDefault="00D86736" w:rsidP="00822115">
            <w:pPr>
              <w:pStyle w:val="TableHeading10"/>
            </w:pPr>
            <w:r>
              <w:t>Process</w:t>
            </w:r>
          </w:p>
        </w:tc>
        <w:tc>
          <w:tcPr>
            <w:tcW w:w="0" w:type="auto"/>
            <w:tcBorders>
              <w:top w:val="single" w:sz="8" w:space="0" w:color="7030A0"/>
              <w:bottom w:val="single" w:sz="8" w:space="0" w:color="7030A0"/>
            </w:tcBorders>
            <w:shd w:val="clear" w:color="auto" w:fill="EFE5F7"/>
            <w:hideMark/>
          </w:tcPr>
          <w:p w14:paraId="3158DA40" w14:textId="77777777" w:rsidR="00D86736" w:rsidRPr="00F04D5A" w:rsidRDefault="00D86736" w:rsidP="00822115">
            <w:pPr>
              <w:pStyle w:val="TableHeading10"/>
            </w:pPr>
            <w:r w:rsidRPr="00F04D5A">
              <w:t>Description</w:t>
            </w:r>
          </w:p>
        </w:tc>
      </w:tr>
      <w:tr w:rsidR="00D86736" w:rsidRPr="009D2D50" w14:paraId="10429479" w14:textId="77777777" w:rsidTr="00822115">
        <w:trPr>
          <w:cantSplit/>
        </w:trPr>
        <w:tc>
          <w:tcPr>
            <w:tcW w:w="0" w:type="auto"/>
            <w:tcBorders>
              <w:top w:val="single" w:sz="8" w:space="0" w:color="7030A0"/>
            </w:tcBorders>
            <w:shd w:val="clear" w:color="auto" w:fill="auto"/>
            <w:hideMark/>
          </w:tcPr>
          <w:p w14:paraId="44C69A1F" w14:textId="13F6A624" w:rsidR="00D86736" w:rsidRPr="009D2D50" w:rsidRDefault="0030309E" w:rsidP="00822115">
            <w:pPr>
              <w:pStyle w:val="TableText10Double"/>
              <w:rPr>
                <w:b/>
              </w:rPr>
            </w:pPr>
            <w:r>
              <w:rPr>
                <w:b/>
              </w:rPr>
              <w:t>BenefitsCal</w:t>
            </w:r>
            <w:r w:rsidR="00D86736">
              <w:rPr>
                <w:b/>
              </w:rPr>
              <w:t xml:space="preserve"> System Change Process</w:t>
            </w:r>
          </w:p>
        </w:tc>
        <w:tc>
          <w:tcPr>
            <w:tcW w:w="0" w:type="auto"/>
            <w:tcBorders>
              <w:top w:val="single" w:sz="8" w:space="0" w:color="7030A0"/>
            </w:tcBorders>
            <w:shd w:val="clear" w:color="auto" w:fill="auto"/>
            <w:hideMark/>
          </w:tcPr>
          <w:p w14:paraId="12137A2C" w14:textId="77777777" w:rsidR="00D86736" w:rsidRPr="009D2D50" w:rsidRDefault="00D86736" w:rsidP="00822115">
            <w:pPr>
              <w:pStyle w:val="TableText10Double"/>
            </w:pPr>
            <w:r>
              <w:t>This option uses the normal maintenance and enhancement implementation process for initiatives that do not require a proof of concept.</w:t>
            </w:r>
          </w:p>
        </w:tc>
      </w:tr>
      <w:tr w:rsidR="00D86736" w:rsidRPr="009D2D50" w14:paraId="06DB161C" w14:textId="77777777" w:rsidTr="00822115">
        <w:trPr>
          <w:cantSplit/>
        </w:trPr>
        <w:tc>
          <w:tcPr>
            <w:tcW w:w="0" w:type="auto"/>
            <w:shd w:val="clear" w:color="auto" w:fill="auto"/>
            <w:hideMark/>
          </w:tcPr>
          <w:p w14:paraId="126C61C2" w14:textId="77777777" w:rsidR="00D86736" w:rsidRPr="009D2D50" w:rsidRDefault="00D86736" w:rsidP="00822115">
            <w:pPr>
              <w:pStyle w:val="TableText10Double"/>
              <w:rPr>
                <w:b/>
              </w:rPr>
            </w:pPr>
            <w:r>
              <w:rPr>
                <w:b/>
              </w:rPr>
              <w:t>Proof of Concept Process (Results Accelerator)</w:t>
            </w:r>
          </w:p>
        </w:tc>
        <w:tc>
          <w:tcPr>
            <w:tcW w:w="0" w:type="auto"/>
            <w:shd w:val="clear" w:color="auto" w:fill="auto"/>
            <w:hideMark/>
          </w:tcPr>
          <w:p w14:paraId="62EF068C" w14:textId="5F0AB083" w:rsidR="00D86736" w:rsidRPr="009D2D50" w:rsidRDefault="00D86736" w:rsidP="00822115">
            <w:pPr>
              <w:pStyle w:val="TableText10Double"/>
            </w:pPr>
            <w:r>
              <w:t xml:space="preserve">This option conducts a proof of concept to evaluate some aspect of the idea such as technology, security, process change, or business value. Following the proof of concept, if implementation is recommended, it </w:t>
            </w:r>
            <w:r w:rsidR="008475E8">
              <w:t>follows</w:t>
            </w:r>
            <w:r>
              <w:t xml:space="preserve"> the </w:t>
            </w:r>
            <w:r w:rsidR="008475E8">
              <w:t>BenefitsCal</w:t>
            </w:r>
            <w:r>
              <w:t xml:space="preserve"> System Change Process to implement project-wide.</w:t>
            </w:r>
          </w:p>
        </w:tc>
      </w:tr>
    </w:tbl>
    <w:p w14:paraId="1DEBDD35" w14:textId="77777777" w:rsidR="00D86736" w:rsidRDefault="00D86736" w:rsidP="00D86736">
      <w:pPr>
        <w:pStyle w:val="TableText9Single"/>
      </w:pPr>
    </w:p>
    <w:p w14:paraId="79C703BD" w14:textId="3F9B9C73" w:rsidR="00B250C0" w:rsidRDefault="00D86736" w:rsidP="00D86736">
      <w:pPr>
        <w:pStyle w:val="BodyText"/>
      </w:pPr>
      <w:r>
        <w:t xml:space="preserve">For innovation initiatives that are low risk both from a County business process perspective and a technology perspective, the Application Maintenance Team can integrate them into </w:t>
      </w:r>
      <w:r w:rsidR="008475E8">
        <w:t>BenefitsCal</w:t>
      </w:r>
      <w:r>
        <w:t xml:space="preserve"> through the SCR process. </w:t>
      </w:r>
      <w:r w:rsidR="008475E8">
        <w:t>The decision on whether to conduct a POC or implement an innovation through the SCR process will be made in collaboration with the Consortium</w:t>
      </w:r>
      <w:r>
        <w:t xml:space="preserve">. </w:t>
      </w:r>
    </w:p>
    <w:p w14:paraId="5E1BD95B" w14:textId="77777777" w:rsidR="00BE3F1F" w:rsidRDefault="00BE3F1F" w:rsidP="00BE3F1F">
      <w:pPr>
        <w:pStyle w:val="BodyText"/>
      </w:pPr>
      <w:r>
        <w:t xml:space="preserve">Returning to our PLM framework, we would now enter the Product Build phase. </w:t>
      </w:r>
    </w:p>
    <w:p w14:paraId="2645C824" w14:textId="5625D26E" w:rsidR="00BE3F1F" w:rsidRDefault="00BE3F1F" w:rsidP="00D86736">
      <w:pPr>
        <w:pStyle w:val="BodyText"/>
      </w:pPr>
      <w:r>
        <w:rPr>
          <w:noProof/>
        </w:rPr>
        <w:lastRenderedPageBreak/>
        <w:drawing>
          <wp:anchor distT="0" distB="0" distL="114300" distR="114300" simplePos="0" relativeHeight="251658248" behindDoc="1" locked="0" layoutInCell="1" allowOverlap="1" wp14:anchorId="3BC47C2D" wp14:editId="7BDCA17C">
            <wp:simplePos x="0" y="0"/>
            <wp:positionH relativeFrom="margin">
              <wp:align>right</wp:align>
            </wp:positionH>
            <wp:positionV relativeFrom="paragraph">
              <wp:posOffset>7620</wp:posOffset>
            </wp:positionV>
            <wp:extent cx="1812290" cy="1812290"/>
            <wp:effectExtent l="0" t="0" r="0" b="0"/>
            <wp:wrapTight wrapText="bothSides">
              <wp:wrapPolygon edited="0">
                <wp:start x="9536" y="0"/>
                <wp:lineTo x="7493" y="454"/>
                <wp:lineTo x="2270" y="2952"/>
                <wp:lineTo x="2270" y="3860"/>
                <wp:lineTo x="227" y="7493"/>
                <wp:lineTo x="0" y="11125"/>
                <wp:lineTo x="681" y="14758"/>
                <wp:lineTo x="2952" y="18391"/>
                <wp:lineTo x="3179" y="19072"/>
                <wp:lineTo x="7947" y="21116"/>
                <wp:lineTo x="9309" y="21343"/>
                <wp:lineTo x="12034" y="21343"/>
                <wp:lineTo x="13396" y="21116"/>
                <wp:lineTo x="18164" y="18845"/>
                <wp:lineTo x="20889" y="14758"/>
                <wp:lineTo x="21343" y="11125"/>
                <wp:lineTo x="21116" y="7493"/>
                <wp:lineTo x="19299" y="4087"/>
                <wp:lineTo x="19072" y="3179"/>
                <wp:lineTo x="13396" y="454"/>
                <wp:lineTo x="11352" y="0"/>
                <wp:lineTo x="9536" y="0"/>
              </wp:wrapPolygon>
            </wp:wrapTight>
            <wp:docPr id="1056271342" name="Picture 1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02638" name="Picture 11" descr="A diagram of a product&#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812290" cy="1812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2250">
        <w:rPr>
          <w:b/>
          <w:bCs/>
        </w:rPr>
        <w:t>Product Build</w:t>
      </w:r>
      <w:r>
        <w:t xml:space="preserve"> - is triggered by completion of the Research and Product Strategy phase resulting in the selection of an innovative idea for a proof-of-concept. In this stage our Product Manager and analysts focus on collecting detailed requirements</w:t>
      </w:r>
      <w:r w:rsidR="00DD27F7">
        <w:t xml:space="preserve"> in conjunction with the Consortium and other stakeholders</w:t>
      </w:r>
      <w:r>
        <w:t>, developing the goal and intended outcome of the POC. The required stakeholders collaborate to complete critical activities in order to complete the POC.</w:t>
      </w:r>
    </w:p>
    <w:p w14:paraId="2D099D94" w14:textId="77777777" w:rsidR="00822115" w:rsidRPr="00822115" w:rsidRDefault="00822115" w:rsidP="00AD24BC">
      <w:pPr>
        <w:pStyle w:val="Subheading"/>
      </w:pPr>
      <w:r w:rsidRPr="00822115">
        <w:t>Results Accelerator Program</w:t>
      </w:r>
    </w:p>
    <w:p w14:paraId="6D84CAA6" w14:textId="3EB47C19" w:rsidR="00D86736" w:rsidRDefault="00D86736" w:rsidP="00D86736">
      <w:pPr>
        <w:pStyle w:val="BodyText"/>
      </w:pPr>
      <w:r>
        <w:t xml:space="preserve">For innovation ideas that involve emerging technology or have other factors that warrant a proof of concept, we propose use of our Results Accelerator program. This program is a concentrated effort to rapidly prove out an idea and would be accomplished within our </w:t>
      </w:r>
      <w:r w:rsidR="00CF3916">
        <w:t>Product</w:t>
      </w:r>
      <w:r>
        <w:t xml:space="preserve"> Team</w:t>
      </w:r>
      <w:r w:rsidR="00CF3916">
        <w:t xml:space="preserve"> and led by our Product Manager</w:t>
      </w:r>
      <w:r>
        <w:t xml:space="preserve">. </w:t>
      </w:r>
    </w:p>
    <w:p w14:paraId="1A5F3D31" w14:textId="20B08241" w:rsidR="00D86736" w:rsidRDefault="00D86736" w:rsidP="00D86736">
      <w:pPr>
        <w:pStyle w:val="BodyText"/>
      </w:pPr>
      <w:r>
        <w:t xml:space="preserve">A Results Accelerator effort involves a dedicated team as depicted in </w:t>
      </w:r>
      <w:r w:rsidR="00882CAB">
        <w:t>the following figure</w:t>
      </w:r>
      <w:r>
        <w:t>. The Team Leader and the Results Accelerator Team are Gainwell staff who may also interact with other contractors, such as the</w:t>
      </w:r>
      <w:r w:rsidR="00CF3916">
        <w:t xml:space="preserve"> CalSAWS M&amp;E and/or CalSAWS</w:t>
      </w:r>
      <w:r>
        <w:t xml:space="preserve"> Infrastructure </w:t>
      </w:r>
      <w:r w:rsidRPr="00952B20">
        <w:t>Contractor</w:t>
      </w:r>
      <w:r>
        <w:t>, to accomplish the objective of the Results Accelerator and determine the timeline and tasks required across organizations. We anticipate the Executive Sponsor to be a Consortium staff member.</w:t>
      </w:r>
    </w:p>
    <w:p w14:paraId="1A069318" w14:textId="265703E1" w:rsidR="00AF2C31" w:rsidRDefault="00AF2C31" w:rsidP="00D86736">
      <w:pPr>
        <w:pStyle w:val="FigureCaptionAuto"/>
      </w:pPr>
      <w:bookmarkStart w:id="98" w:name="_Ref122510552"/>
      <w:bookmarkStart w:id="99" w:name="_Toc123585940"/>
      <w:bookmarkStart w:id="100" w:name="_Toc123721824"/>
      <w:bookmarkStart w:id="101" w:name="_Toc173187535"/>
      <w:r w:rsidRPr="00407EC4">
        <w:t>Results Accelerator Team Composition</w:t>
      </w:r>
      <w:bookmarkEnd w:id="98"/>
      <w:bookmarkEnd w:id="99"/>
      <w:bookmarkEnd w:id="100"/>
      <w:bookmarkEnd w:id="101"/>
    </w:p>
    <w:p w14:paraId="723060B4" w14:textId="77777777" w:rsidR="00D86736" w:rsidRPr="00CC614A" w:rsidRDefault="00D86736" w:rsidP="00D86736">
      <w:pPr>
        <w:pStyle w:val="BodyText"/>
      </w:pPr>
      <w:r>
        <w:rPr>
          <w:noProof/>
        </w:rPr>
        <w:drawing>
          <wp:inline distT="0" distB="0" distL="0" distR="0" wp14:anchorId="46450B8E" wp14:editId="6D91B32B">
            <wp:extent cx="5816287" cy="3051313"/>
            <wp:effectExtent l="0" t="0" r="0" b="0"/>
            <wp:docPr id="1539761767" name="Picture 1539761767" descr="A diagram of a te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61767" name="Picture 1539761767" descr="A diagram of a team&#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840394" cy="3063960"/>
                    </a:xfrm>
                    <a:prstGeom prst="rect">
                      <a:avLst/>
                    </a:prstGeom>
                    <a:noFill/>
                  </pic:spPr>
                </pic:pic>
              </a:graphicData>
            </a:graphic>
          </wp:inline>
        </w:drawing>
      </w:r>
    </w:p>
    <w:p w14:paraId="44FAD9BE" w14:textId="27DA49CB" w:rsidR="00D86736" w:rsidRDefault="00D86736" w:rsidP="00AF2C31">
      <w:pPr>
        <w:pStyle w:val="BodyText"/>
      </w:pPr>
      <w:r>
        <w:t xml:space="preserve">Once the team is formed, we begin the Results Accelerator process. </w:t>
      </w:r>
      <w:r w:rsidR="002C33D8">
        <w:t>The figure below</w:t>
      </w:r>
      <w:r>
        <w:t xml:space="preserve"> illustrates the Results Accelerator process using an example of a 90-day effort.</w:t>
      </w:r>
    </w:p>
    <w:p w14:paraId="155F7E19" w14:textId="4758AC63" w:rsidR="00407EC4" w:rsidRDefault="00AF2C31" w:rsidP="00D86736">
      <w:pPr>
        <w:pStyle w:val="FigureCaptionAuto"/>
      </w:pPr>
      <w:bookmarkStart w:id="102" w:name="_Ref122510572"/>
      <w:bookmarkStart w:id="103" w:name="_Toc123585941"/>
      <w:bookmarkStart w:id="104" w:name="_Toc123721825"/>
      <w:bookmarkStart w:id="105" w:name="_Toc173187536"/>
      <w:r w:rsidRPr="00407EC4">
        <w:lastRenderedPageBreak/>
        <w:t>Results Accelerator Process</w:t>
      </w:r>
      <w:bookmarkEnd w:id="102"/>
      <w:bookmarkEnd w:id="103"/>
      <w:bookmarkEnd w:id="104"/>
      <w:bookmarkEnd w:id="105"/>
    </w:p>
    <w:p w14:paraId="5E6650DE" w14:textId="4E0EDE9B" w:rsidR="00D86736" w:rsidRDefault="00CC4118" w:rsidP="00407EC4">
      <w:pPr>
        <w:pStyle w:val="BodyText"/>
        <w:keepNext/>
      </w:pPr>
      <w:r w:rsidRPr="00CC4118">
        <w:rPr>
          <w:noProof/>
        </w:rPr>
        <w:drawing>
          <wp:inline distT="0" distB="0" distL="0" distR="0" wp14:anchorId="2A0CA7D3" wp14:editId="428F14CE">
            <wp:extent cx="5811061" cy="3667637"/>
            <wp:effectExtent l="0" t="0" r="0" b="9525"/>
            <wp:docPr id="71881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815971" name=""/>
                    <pic:cNvPicPr/>
                  </pic:nvPicPr>
                  <pic:blipFill>
                    <a:blip r:embed="rId110"/>
                    <a:stretch>
                      <a:fillRect/>
                    </a:stretch>
                  </pic:blipFill>
                  <pic:spPr>
                    <a:xfrm>
                      <a:off x="0" y="0"/>
                      <a:ext cx="5811061" cy="3667637"/>
                    </a:xfrm>
                    <a:prstGeom prst="rect">
                      <a:avLst/>
                    </a:prstGeom>
                  </pic:spPr>
                </pic:pic>
              </a:graphicData>
            </a:graphic>
          </wp:inline>
        </w:drawing>
      </w:r>
    </w:p>
    <w:p w14:paraId="163945DE" w14:textId="77777777" w:rsidR="00D86736" w:rsidRDefault="00D86736" w:rsidP="00D86736">
      <w:pPr>
        <w:pStyle w:val="BodyText"/>
        <w:keepNext/>
      </w:pPr>
      <w:r>
        <w:t>The Results Accelerator process begins with design and preparation, where we:</w:t>
      </w:r>
    </w:p>
    <w:p w14:paraId="2E3A1ABC" w14:textId="77777777" w:rsidR="00D86736" w:rsidRDefault="00D86736" w:rsidP="00EE642B">
      <w:pPr>
        <w:pStyle w:val="CvrLtrBullet1Double"/>
      </w:pPr>
      <w:r>
        <w:t>Define the innovation and the business problem it will address</w:t>
      </w:r>
    </w:p>
    <w:p w14:paraId="062063E9" w14:textId="77777777" w:rsidR="00D86736" w:rsidRDefault="00D86736" w:rsidP="00EE642B">
      <w:pPr>
        <w:pStyle w:val="CvrLtrBullet1Double"/>
      </w:pPr>
      <w:r>
        <w:t>Obtain stakeholder input and align stakeholders to the objectives of the project to be undertaken</w:t>
      </w:r>
    </w:p>
    <w:p w14:paraId="23A58B4F" w14:textId="77777777" w:rsidR="00D86736" w:rsidRDefault="00D86736" w:rsidP="00EE642B">
      <w:pPr>
        <w:pStyle w:val="CvrLtrBullet1Double"/>
      </w:pPr>
      <w:r>
        <w:t>We then launch the project, giving it a specific name related to the business problem or improvement being targeted. During the launch, we:</w:t>
      </w:r>
    </w:p>
    <w:p w14:paraId="20DE08E1" w14:textId="77777777" w:rsidR="00D86736" w:rsidRDefault="00D86736" w:rsidP="00EE642B">
      <w:pPr>
        <w:pStyle w:val="CvrLtrBullet1Double"/>
      </w:pPr>
      <w:r>
        <w:t>Define the work plan tasks and timeline</w:t>
      </w:r>
    </w:p>
    <w:p w14:paraId="0107558A" w14:textId="77777777" w:rsidR="00D86736" w:rsidRDefault="00D86736" w:rsidP="00EE642B">
      <w:pPr>
        <w:pStyle w:val="CvrLtrBullet1Double"/>
      </w:pPr>
      <w:r>
        <w:t>Share the goal and work plan with the Consortium Executive Sponsor</w:t>
      </w:r>
    </w:p>
    <w:p w14:paraId="116952A5" w14:textId="6D40DFFF" w:rsidR="00D86736" w:rsidRDefault="00D86736" w:rsidP="00EE642B">
      <w:pPr>
        <w:pStyle w:val="CvrLtrBullet1Double"/>
      </w:pPr>
      <w:r>
        <w:t>Using an Agile methodology for development activities or defined process for non-system development ideas, we enter the stage of Innovate, Experiment, and Execute</w:t>
      </w:r>
      <w:r w:rsidR="007753F9">
        <w:t xml:space="preserve"> as shown on the diagram above</w:t>
      </w:r>
      <w:r>
        <w:t>. During this stage we:</w:t>
      </w:r>
    </w:p>
    <w:p w14:paraId="109450AC" w14:textId="77777777" w:rsidR="00D86736" w:rsidRDefault="00D86736" w:rsidP="00EE642B">
      <w:pPr>
        <w:pStyle w:val="CvrLtrBullet1Double"/>
      </w:pPr>
      <w:r>
        <w:t>Repeat a cycle of progressing, reviewing results, and pivoting, as applicable, based on the results</w:t>
      </w:r>
    </w:p>
    <w:p w14:paraId="24E79577" w14:textId="1BE58F6D" w:rsidR="00D86736" w:rsidRDefault="00D86736" w:rsidP="00EE642B">
      <w:pPr>
        <w:pStyle w:val="CvrLtrBullet1Double"/>
      </w:pPr>
      <w:r>
        <w:t>Provide weekly updates to the Consortium Executive Sponsor, who confirms that work should continue, stop, or pivot, considering the recommendation of the Results Accelerator Team</w:t>
      </w:r>
    </w:p>
    <w:p w14:paraId="23C50B5B" w14:textId="77777777" w:rsidR="00822115" w:rsidRPr="00822115" w:rsidRDefault="00772A48" w:rsidP="00D86736">
      <w:pPr>
        <w:pStyle w:val="BodyText"/>
        <w:rPr>
          <w:b/>
          <w:bCs/>
        </w:rPr>
      </w:pPr>
      <w:r w:rsidRPr="00822115">
        <w:rPr>
          <w:b/>
          <w:bCs/>
          <w:noProof/>
        </w:rPr>
        <w:lastRenderedPageBreak/>
        <w:drawing>
          <wp:anchor distT="0" distB="0" distL="114300" distR="114300" simplePos="0" relativeHeight="251658247" behindDoc="1" locked="0" layoutInCell="1" allowOverlap="1" wp14:anchorId="749BF0DA" wp14:editId="65A905ED">
            <wp:simplePos x="0" y="0"/>
            <wp:positionH relativeFrom="margin">
              <wp:posOffset>3498215</wp:posOffset>
            </wp:positionH>
            <wp:positionV relativeFrom="paragraph">
              <wp:posOffset>12700</wp:posOffset>
            </wp:positionV>
            <wp:extent cx="2437765" cy="4808220"/>
            <wp:effectExtent l="0" t="0" r="635" b="0"/>
            <wp:wrapTight wrapText="bothSides">
              <wp:wrapPolygon edited="0">
                <wp:start x="0" y="0"/>
                <wp:lineTo x="0" y="21480"/>
                <wp:lineTo x="21437" y="21480"/>
                <wp:lineTo x="21437" y="0"/>
                <wp:lineTo x="0" y="0"/>
              </wp:wrapPolygon>
            </wp:wrapTight>
            <wp:docPr id="14856578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437765" cy="4808220"/>
                    </a:xfrm>
                    <a:prstGeom prst="rect">
                      <a:avLst/>
                    </a:prstGeom>
                    <a:noFill/>
                  </pic:spPr>
                </pic:pic>
              </a:graphicData>
            </a:graphic>
            <wp14:sizeRelH relativeFrom="page">
              <wp14:pctWidth>0</wp14:pctWidth>
            </wp14:sizeRelH>
            <wp14:sizeRelV relativeFrom="page">
              <wp14:pctHeight>0</wp14:pctHeight>
            </wp14:sizeRelV>
          </wp:anchor>
        </w:drawing>
      </w:r>
      <w:r w:rsidR="00822115" w:rsidRPr="00822115">
        <w:rPr>
          <w:b/>
          <w:bCs/>
        </w:rPr>
        <w:t>Buildathon</w:t>
      </w:r>
    </w:p>
    <w:p w14:paraId="635DB030" w14:textId="103386BF" w:rsidR="00D86736" w:rsidRDefault="00D86736" w:rsidP="00D86736">
      <w:pPr>
        <w:pStyle w:val="BodyText"/>
      </w:pPr>
      <w:r>
        <w:t xml:space="preserve">If the Gainwell </w:t>
      </w:r>
      <w:r w:rsidR="007753F9">
        <w:t>Product</w:t>
      </w:r>
      <w:r>
        <w:t xml:space="preserve"> Team requires additional resources or expertise for the Innovate, Experiment, and Execute step of the Results Accelerator, </w:t>
      </w:r>
      <w:r w:rsidR="007753F9">
        <w:t>our Product Manager</w:t>
      </w:r>
      <w:r>
        <w:t xml:space="preserve"> can pursue a Gainwell “Buildathon.” A Gainwell Buildathon brings together volunteer staff members, referred to as the Gainwell Volunteer Network, to participate in a focused project to build an innovation proof of concept quickly. </w:t>
      </w:r>
      <w:r w:rsidRPr="00DA67A9">
        <w:t xml:space="preserve">The </w:t>
      </w:r>
      <w:r>
        <w:t xml:space="preserve">Gainwell </w:t>
      </w:r>
      <w:r w:rsidRPr="00DA67A9">
        <w:t>Volunteer Network is a vast</w:t>
      </w:r>
      <w:r>
        <w:t xml:space="preserve"> base of</w:t>
      </w:r>
      <w:r w:rsidRPr="00DA67A9">
        <w:t xml:space="preserve"> employee</w:t>
      </w:r>
      <w:r>
        <w:t>s</w:t>
      </w:r>
      <w:r w:rsidRPr="00DA67A9" w:rsidDel="00865F64">
        <w:t xml:space="preserve"> </w:t>
      </w:r>
      <w:r>
        <w:t>who</w:t>
      </w:r>
      <w:r w:rsidRPr="00DA67A9">
        <w:t xml:space="preserve"> raise </w:t>
      </w:r>
      <w:r>
        <w:t>their</w:t>
      </w:r>
      <w:r w:rsidRPr="00DA67A9">
        <w:t xml:space="preserve"> hand</w:t>
      </w:r>
      <w:r>
        <w:t>s</w:t>
      </w:r>
      <w:r w:rsidRPr="00DA67A9">
        <w:t xml:space="preserve"> to assist with opportunities and challenges when needed. They participate actively in problem-solving</w:t>
      </w:r>
      <w:r>
        <w:t xml:space="preserve"> and innovation activities such as Buildathons</w:t>
      </w:r>
      <w:r w:rsidRPr="00DA67A9">
        <w:t>.</w:t>
      </w:r>
      <w:r>
        <w:t xml:space="preserve"> An example of a Buildathon in action is described in </w:t>
      </w:r>
      <w:r w:rsidR="00772A48">
        <w:t>the</w:t>
      </w:r>
      <w:r>
        <w:t xml:space="preserve"> callout box</w:t>
      </w:r>
      <w:r w:rsidRPr="00DA67A9">
        <w:t>.</w:t>
      </w:r>
    </w:p>
    <w:p w14:paraId="7E459DD6" w14:textId="35E63F0A" w:rsidR="00D86736" w:rsidRDefault="00D86736" w:rsidP="00D86736">
      <w:pPr>
        <w:pStyle w:val="BodyText"/>
      </w:pPr>
      <w:r>
        <w:t xml:space="preserve">As indicated, the </w:t>
      </w:r>
      <w:r w:rsidR="007753F9">
        <w:t>Product Manager</w:t>
      </w:r>
      <w:r>
        <w:t xml:space="preserve"> can obtain the staff for a Results Accelerator through the addition of team members by organizing a Buildathon or requesting specific expertise by making a request to the Gainwell Volunteer Network.</w:t>
      </w:r>
    </w:p>
    <w:p w14:paraId="4FC508F6" w14:textId="77777777" w:rsidR="00D86736" w:rsidRDefault="00D86736" w:rsidP="00D86736">
      <w:pPr>
        <w:pStyle w:val="BodyText"/>
      </w:pPr>
      <w:r>
        <w:t>After the Results Accelerator effort to Innovate, Experiment and Execute has completed, the Evaluate step begins. The Evaluate step is described in the next subsection.</w:t>
      </w:r>
    </w:p>
    <w:p w14:paraId="1421EE1F" w14:textId="3897D0C4" w:rsidR="00E36EA1" w:rsidRPr="001A00A7" w:rsidRDefault="00E36EA1" w:rsidP="0059081D">
      <w:pPr>
        <w:pStyle w:val="HeadingManual3"/>
        <w:rPr>
          <w:b w:val="0"/>
          <w:szCs w:val="28"/>
        </w:rPr>
      </w:pPr>
      <w:bookmarkStart w:id="106" w:name="_Toc173187496"/>
      <w:r w:rsidRPr="001A00A7">
        <w:t>4.3.</w:t>
      </w:r>
      <w:r>
        <w:t>7</w:t>
      </w:r>
      <w:r w:rsidR="0059081D">
        <w:tab/>
      </w:r>
      <w:r>
        <w:t>Evaluate Value and Impact to Business Operations and Develop Strategies for Implementation</w:t>
      </w:r>
      <w:bookmarkEnd w:id="106"/>
    </w:p>
    <w:p w14:paraId="6AC5F2AD" w14:textId="565AFED1" w:rsidR="005666D6" w:rsidRDefault="005B0731" w:rsidP="001237A7">
      <w:pPr>
        <w:pStyle w:val="BodyText"/>
      </w:pPr>
      <w:r>
        <w:t>At this point our POC would be complete</w:t>
      </w:r>
      <w:r w:rsidR="00153DC7">
        <w:t>,</w:t>
      </w:r>
      <w:r>
        <w:t xml:space="preserve"> and the results would be evaluated to determine if the innovation idea resulted in the business value that was expected</w:t>
      </w:r>
      <w:r w:rsidR="003B012C">
        <w:t xml:space="preserve">. </w:t>
      </w:r>
      <w:r>
        <w:t>Business value can be defined as improved customer experience, improved performance, reduced workload, etc.</w:t>
      </w:r>
    </w:p>
    <w:p w14:paraId="3038FCE5" w14:textId="145B838F" w:rsidR="00B250C0" w:rsidRDefault="008F740B" w:rsidP="001237A7">
      <w:pPr>
        <w:pStyle w:val="BodyText"/>
      </w:pPr>
      <w:r>
        <w:t xml:space="preserve">Our innovation approach, as shown in the following figure, includes the evaluation of value and, for those ideas that are recommended for implementation, the change would be prioritized and implemented per the established BenefitsCal application enhancement processes including use of the Collaboration Model for prioritization. </w:t>
      </w:r>
    </w:p>
    <w:p w14:paraId="6C790F14" w14:textId="46CA5F8B" w:rsidR="008F25A7" w:rsidRDefault="00153DC7" w:rsidP="004339C5">
      <w:pPr>
        <w:pStyle w:val="FigureCaptionAuto"/>
      </w:pPr>
      <w:bookmarkStart w:id="107" w:name="_Toc173187537"/>
      <w:r>
        <w:lastRenderedPageBreak/>
        <w:t xml:space="preserve">Innovation Approach </w:t>
      </w:r>
      <w:r w:rsidR="009F0336">
        <w:t>–</w:t>
      </w:r>
      <w:r>
        <w:t xml:space="preserve"> Evaluate Value and Idea Implementation</w:t>
      </w:r>
      <w:bookmarkEnd w:id="107"/>
    </w:p>
    <w:p w14:paraId="2870766F" w14:textId="0FB057A1" w:rsidR="00381B40" w:rsidRDefault="00381B40" w:rsidP="001237A7">
      <w:pPr>
        <w:pStyle w:val="BodyText"/>
      </w:pPr>
      <w:r>
        <w:rPr>
          <w:noProof/>
        </w:rPr>
        <w:drawing>
          <wp:inline distT="0" distB="0" distL="0" distR="0" wp14:anchorId="235474B2" wp14:editId="1A6D9B99">
            <wp:extent cx="6420678" cy="3140738"/>
            <wp:effectExtent l="0" t="0" r="0" b="2540"/>
            <wp:docPr id="111482618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450358" cy="3155256"/>
                    </a:xfrm>
                    <a:prstGeom prst="rect">
                      <a:avLst/>
                    </a:prstGeom>
                    <a:noFill/>
                  </pic:spPr>
                </pic:pic>
              </a:graphicData>
            </a:graphic>
          </wp:inline>
        </w:drawing>
      </w:r>
    </w:p>
    <w:p w14:paraId="724D3BB7" w14:textId="64BE973C" w:rsidR="00B74F28" w:rsidRDefault="280623FF" w:rsidP="00B6123A">
      <w:pPr>
        <w:pStyle w:val="BodyText"/>
      </w:pPr>
      <w:r>
        <w:t xml:space="preserve">As part of our PLM framework, goals </w:t>
      </w:r>
      <w:r w:rsidR="29D0EDBA">
        <w:t>and intended outcome of the POC are identified in the Product Build phase.</w:t>
      </w:r>
      <w:r>
        <w:t xml:space="preserve"> </w:t>
      </w:r>
      <w:r w:rsidR="29D0EDBA">
        <w:t>As the Product Build phase is executed, evaluation criteria and/or metrics are identified to assist with the evaluation of the POC</w:t>
      </w:r>
      <w:r w:rsidR="3150F9B3">
        <w:t xml:space="preserve">. </w:t>
      </w:r>
      <w:r w:rsidR="29D0EDBA">
        <w:t xml:space="preserve">The POC is evaluated against these criteria and/or metrics to provide objective measurement along with the more subjective criteria such as “easier to use.” </w:t>
      </w:r>
      <w:r w:rsidR="48B28DC1">
        <w:t xml:space="preserve">At conclusion of the POC, the </w:t>
      </w:r>
      <w:r w:rsidR="147AA8D3">
        <w:t>desired</w:t>
      </w:r>
      <w:r w:rsidR="48B28DC1">
        <w:t xml:space="preserve"> outcome is that the functionality has been proven and the Consortium and stakeholders agree that the POC was successful</w:t>
      </w:r>
      <w:r w:rsidR="3150F9B3">
        <w:t xml:space="preserve">. </w:t>
      </w:r>
      <w:r w:rsidR="48B28DC1">
        <w:t xml:space="preserve">It is also possible that it will be determined that the POC did not meet the goals and expected outcomes or that the </w:t>
      </w:r>
      <w:r w:rsidR="147AA8D3">
        <w:t>return on investment does not justify continuing with the innovation.</w:t>
      </w:r>
    </w:p>
    <w:p w14:paraId="4EF4BB28" w14:textId="77777777" w:rsidR="00394BA2" w:rsidRPr="00EE642B" w:rsidRDefault="00081808" w:rsidP="009F0336">
      <w:pPr>
        <w:pStyle w:val="Subheading"/>
      </w:pPr>
      <w:r w:rsidRPr="00394BA2">
        <w:rPr>
          <w:noProof/>
        </w:rPr>
        <w:drawing>
          <wp:anchor distT="0" distB="0" distL="114300" distR="114300" simplePos="0" relativeHeight="251658249" behindDoc="1" locked="0" layoutInCell="1" allowOverlap="1" wp14:anchorId="35A2AB62" wp14:editId="7AA3F3A6">
            <wp:simplePos x="0" y="0"/>
            <wp:positionH relativeFrom="margin">
              <wp:posOffset>4236818</wp:posOffset>
            </wp:positionH>
            <wp:positionV relativeFrom="paragraph">
              <wp:posOffset>7620</wp:posOffset>
            </wp:positionV>
            <wp:extent cx="1812290" cy="1812290"/>
            <wp:effectExtent l="0" t="0" r="0" b="0"/>
            <wp:wrapTight wrapText="bothSides">
              <wp:wrapPolygon edited="0">
                <wp:start x="9309" y="0"/>
                <wp:lineTo x="7266" y="454"/>
                <wp:lineTo x="2270" y="2952"/>
                <wp:lineTo x="2270" y="3860"/>
                <wp:lineTo x="1362" y="5449"/>
                <wp:lineTo x="454" y="7493"/>
                <wp:lineTo x="0" y="9763"/>
                <wp:lineTo x="0" y="11352"/>
                <wp:lineTo x="908" y="14758"/>
                <wp:lineTo x="2952" y="18391"/>
                <wp:lineTo x="3179" y="19072"/>
                <wp:lineTo x="7947" y="21116"/>
                <wp:lineTo x="9309" y="21343"/>
                <wp:lineTo x="12034" y="21343"/>
                <wp:lineTo x="13396" y="21116"/>
                <wp:lineTo x="18164" y="18845"/>
                <wp:lineTo x="20662" y="14758"/>
                <wp:lineTo x="21343" y="11125"/>
                <wp:lineTo x="21116" y="7493"/>
                <wp:lineTo x="19299" y="3179"/>
                <wp:lineTo x="13850" y="454"/>
                <wp:lineTo x="11580" y="0"/>
                <wp:lineTo x="9309" y="0"/>
              </wp:wrapPolygon>
            </wp:wrapTight>
            <wp:docPr id="2046462143" name="Picture 1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02638" name="Picture 11" descr="A diagram of a product&#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812290" cy="1812290"/>
                    </a:xfrm>
                    <a:prstGeom prst="rect">
                      <a:avLst/>
                    </a:prstGeom>
                    <a:noFill/>
                    <a:ln>
                      <a:noFill/>
                    </a:ln>
                  </pic:spPr>
                </pic:pic>
              </a:graphicData>
            </a:graphic>
            <wp14:sizeRelH relativeFrom="page">
              <wp14:pctWidth>0</wp14:pctWidth>
            </wp14:sizeRelH>
            <wp14:sizeRelV relativeFrom="page">
              <wp14:pctHeight>0</wp14:pctHeight>
            </wp14:sizeRelV>
          </wp:anchor>
        </w:drawing>
      </w:r>
      <w:r w:rsidR="00394BA2" w:rsidRPr="00EE642B">
        <w:t>Proceeding with an Approved Successful POC</w:t>
      </w:r>
    </w:p>
    <w:p w14:paraId="2F87E67F" w14:textId="525CD8C4" w:rsidR="00DB12FB" w:rsidRDefault="00BF275A" w:rsidP="00B6123A">
      <w:pPr>
        <w:pStyle w:val="BodyText"/>
      </w:pPr>
      <w:r>
        <w:t>Assuming that the POC is successful, we return</w:t>
      </w:r>
      <w:r w:rsidR="00DB12FB">
        <w:t xml:space="preserve"> to our PLM framework</w:t>
      </w:r>
      <w:r>
        <w:t xml:space="preserve"> and enter </w:t>
      </w:r>
      <w:r w:rsidR="00DB12FB">
        <w:t>the Market Availability phase followed by Product Operations.</w:t>
      </w:r>
    </w:p>
    <w:p w14:paraId="516A17B0" w14:textId="20A90615" w:rsidR="008F740B" w:rsidRDefault="008F740B" w:rsidP="00DB12FB">
      <w:pPr>
        <w:pStyle w:val="BodyText"/>
      </w:pPr>
      <w:r w:rsidRPr="00FE0D0F">
        <w:rPr>
          <w:b/>
          <w:bCs/>
        </w:rPr>
        <w:t>Market Availability</w:t>
      </w:r>
      <w:r>
        <w:t xml:space="preserve"> - kicks off when the </w:t>
      </w:r>
      <w:r w:rsidR="00811ACD">
        <w:t>newly developed</w:t>
      </w:r>
      <w:r>
        <w:t xml:space="preserve"> feature has been tested through the POC has been prioritized for Market Availability</w:t>
      </w:r>
      <w:r w:rsidR="003B012C">
        <w:t>;</w:t>
      </w:r>
      <w:r>
        <w:t xml:space="preserve"> i.e.</w:t>
      </w:r>
      <w:r w:rsidR="003B012C">
        <w:t>,</w:t>
      </w:r>
      <w:r>
        <w:t xml:space="preserve"> this is the step where the POC moves to</w:t>
      </w:r>
      <w:r w:rsidR="00BF275A">
        <w:t xml:space="preserve"> implementation</w:t>
      </w:r>
      <w:r w:rsidR="00C25475">
        <w:t xml:space="preserve">. </w:t>
      </w:r>
      <w:r>
        <w:t xml:space="preserve">The concept </w:t>
      </w:r>
      <w:r w:rsidR="00BF275A">
        <w:t>would</w:t>
      </w:r>
      <w:r>
        <w:t xml:space="preserve"> move into the Collaboration Model for prioritization</w:t>
      </w:r>
      <w:r w:rsidR="003B012C">
        <w:t xml:space="preserve">. </w:t>
      </w:r>
      <w:r>
        <w:t>Following prioritization</w:t>
      </w:r>
      <w:r w:rsidR="00BF275A">
        <w:t>, the innovation idea would follow the establish BenefitsCal SCR process</w:t>
      </w:r>
      <w:r w:rsidR="003B012C">
        <w:t xml:space="preserve">. </w:t>
      </w:r>
      <w:r w:rsidR="00BF275A">
        <w:t xml:space="preserve">At the </w:t>
      </w:r>
      <w:r>
        <w:t xml:space="preserve">appropriate time in the SDLC, our Public Communications Lead would be engaged to develop marketing plans and end-user documentation and training. </w:t>
      </w:r>
    </w:p>
    <w:p w14:paraId="765A7AFD" w14:textId="71DD9730" w:rsidR="00BF275A" w:rsidRDefault="00BF275A" w:rsidP="00DB12FB">
      <w:pPr>
        <w:pStyle w:val="BodyText"/>
      </w:pPr>
      <w:r>
        <w:lastRenderedPageBreak/>
        <w:t>Following implementation, we enter the Product Operations phase</w:t>
      </w:r>
      <w:r w:rsidR="003B012C">
        <w:t xml:space="preserve">. </w:t>
      </w:r>
      <w:r>
        <w:t>This is not equivalent to IT Production Operations which is designed to maintain the application and keep it running efficiently from a system perspective</w:t>
      </w:r>
      <w:r w:rsidR="003B012C">
        <w:t xml:space="preserve">. </w:t>
      </w:r>
      <w:r>
        <w:t>Product Operations is about analyzing the results including the use of analytics to understand the outcome achieved by the newly implemented product feature.</w:t>
      </w:r>
    </w:p>
    <w:p w14:paraId="6E1BA555" w14:textId="3EEE3C82" w:rsidR="008F740B" w:rsidRDefault="008F740B" w:rsidP="00DB12FB">
      <w:pPr>
        <w:pStyle w:val="BodyText"/>
      </w:pPr>
      <w:r w:rsidRPr="00BE60A5">
        <w:rPr>
          <w:b/>
          <w:bCs/>
        </w:rPr>
        <w:t>Product Operations</w:t>
      </w:r>
      <w:r>
        <w:t xml:space="preserve"> - is the engine driving processes, analytics, reviews, tracking, </w:t>
      </w:r>
      <w:r w:rsidR="00BF275A">
        <w:t xml:space="preserve">and </w:t>
      </w:r>
      <w:r>
        <w:t xml:space="preserve">reporting. Activities focus on initiating and managing feedback from multiple channels on product enhancements; monitoring and reporting on the </w:t>
      </w:r>
      <w:r w:rsidR="00081808">
        <w:t>performance and</w:t>
      </w:r>
      <w:r w:rsidR="00BF275A">
        <w:t xml:space="preserve"> analyzing data</w:t>
      </w:r>
      <w:r>
        <w:t xml:space="preserve"> in order to detect as early as possible, the moment when improvement or adjustment is needed.</w:t>
      </w:r>
    </w:p>
    <w:p w14:paraId="173BE04F" w14:textId="72AE9697" w:rsidR="00E36EA1" w:rsidRPr="001A00A7" w:rsidRDefault="00E36EA1" w:rsidP="0059081D">
      <w:pPr>
        <w:pStyle w:val="HeadingManual3"/>
        <w:rPr>
          <w:b w:val="0"/>
          <w:szCs w:val="28"/>
        </w:rPr>
      </w:pPr>
      <w:bookmarkStart w:id="108" w:name="_Toc173187497"/>
      <w:r w:rsidRPr="001A00A7">
        <w:t>4.3.</w:t>
      </w:r>
      <w:r>
        <w:t>8</w:t>
      </w:r>
      <w:r w:rsidR="0059081D">
        <w:tab/>
      </w:r>
      <w:r>
        <w:t>The Product Lifecycle Management Framework and Innovation Approach in Action</w:t>
      </w:r>
      <w:bookmarkEnd w:id="108"/>
    </w:p>
    <w:p w14:paraId="61AA5ABF" w14:textId="567CD0CF" w:rsidR="006D7287" w:rsidRDefault="00AF313F" w:rsidP="006A2DD8">
      <w:pPr>
        <w:pStyle w:val="BodyText"/>
      </w:pPr>
      <w:r>
        <w:rPr>
          <w:noProof/>
          <w14:ligatures w14:val="standardContextual"/>
        </w:rPr>
        <w:drawing>
          <wp:anchor distT="0" distB="0" distL="114300" distR="114300" simplePos="0" relativeHeight="251658250" behindDoc="0" locked="0" layoutInCell="1" allowOverlap="1" wp14:anchorId="632666FA" wp14:editId="468A8DC9">
            <wp:simplePos x="0" y="0"/>
            <wp:positionH relativeFrom="column">
              <wp:posOffset>4298290</wp:posOffset>
            </wp:positionH>
            <wp:positionV relativeFrom="paragraph">
              <wp:posOffset>265860</wp:posOffset>
            </wp:positionV>
            <wp:extent cx="1584325" cy="2116455"/>
            <wp:effectExtent l="0" t="0" r="0" b="0"/>
            <wp:wrapSquare wrapText="bothSides"/>
            <wp:docPr id="1147514974" name="Picture 1" descr="A piece of paper with writing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514974" name="Picture 1" descr="A piece of paper with writing on i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1584325" cy="2116455"/>
                    </a:xfrm>
                    <a:prstGeom prst="rect">
                      <a:avLst/>
                    </a:prstGeom>
                  </pic:spPr>
                </pic:pic>
              </a:graphicData>
            </a:graphic>
            <wp14:sizeRelH relativeFrom="page">
              <wp14:pctWidth>0</wp14:pctWidth>
            </wp14:sizeRelH>
            <wp14:sizeRelV relativeFrom="page">
              <wp14:pctHeight>0</wp14:pctHeight>
            </wp14:sizeRelV>
          </wp:anchor>
        </w:drawing>
      </w:r>
      <w:r w:rsidR="006A2DD8">
        <w:t xml:space="preserve">One of </w:t>
      </w:r>
      <w:r w:rsidR="008A7150">
        <w:t>BenefitsCal</w:t>
      </w:r>
      <w:r w:rsidR="006A2DD8">
        <w:t xml:space="preserve">’s primary features is enabling the customer to upload and submit documents, </w:t>
      </w:r>
      <w:r w:rsidR="00A85C06">
        <w:t>reports,</w:t>
      </w:r>
      <w:r w:rsidR="006A2DD8">
        <w:t xml:space="preserve"> and renewals for case worker review. </w:t>
      </w:r>
    </w:p>
    <w:p w14:paraId="3C7CC8A7" w14:textId="6126DE8C" w:rsidR="006D7287" w:rsidRPr="006D7287" w:rsidRDefault="006D7287" w:rsidP="009F0336">
      <w:pPr>
        <w:pStyle w:val="Subheading"/>
      </w:pPr>
      <w:r w:rsidRPr="006D7287">
        <w:t>The Identified Problem</w:t>
      </w:r>
    </w:p>
    <w:p w14:paraId="017E7D13" w14:textId="2E42CE01" w:rsidR="00BF7A59" w:rsidRDefault="006A2DD8" w:rsidP="006A2DD8">
      <w:pPr>
        <w:pStyle w:val="BodyText"/>
      </w:pPr>
      <w:r>
        <w:t xml:space="preserve">Today, </w:t>
      </w:r>
      <w:r w:rsidR="00BF7A59">
        <w:t>as previously mentioned, the BenefitsCal Technical Service Desk has received information from County Staff that the documents are not always usable</w:t>
      </w:r>
      <w:r w:rsidR="00A85C06">
        <w:t xml:space="preserve">. </w:t>
      </w:r>
      <w:r w:rsidR="00BF7A59">
        <w:t>However, the customer believes that they have successfully accomplished the document upload</w:t>
      </w:r>
      <w:r w:rsidR="00A85C06">
        <w:t xml:space="preserve">. </w:t>
      </w:r>
      <w:r w:rsidR="008F388A">
        <w:t xml:space="preserve">A non-client </w:t>
      </w:r>
      <w:r w:rsidR="0063698C">
        <w:t>document simulation</w:t>
      </w:r>
      <w:r w:rsidR="008F388A">
        <w:t xml:space="preserve"> of the type </w:t>
      </w:r>
      <w:r w:rsidR="00AF313F">
        <w:t>seen</w:t>
      </w:r>
      <w:r w:rsidR="0063698C">
        <w:t xml:space="preserve"> uploaded by customers is shown in the picture </w:t>
      </w:r>
      <w:r w:rsidR="00AF313F">
        <w:t>to the right</w:t>
      </w:r>
      <w:r w:rsidR="00A85C06">
        <w:t xml:space="preserve">. </w:t>
      </w:r>
      <w:r w:rsidR="00B92F44">
        <w:t>While some aspects of this document could not be enhanced other aspects that might make it usable are possible.</w:t>
      </w:r>
    </w:p>
    <w:p w14:paraId="1C14843B" w14:textId="1DC12E21" w:rsidR="006A2DD8" w:rsidRDefault="00BF7A59" w:rsidP="006A2DD8">
      <w:pPr>
        <w:pStyle w:val="BodyText"/>
      </w:pPr>
      <w:r>
        <w:t>T</w:t>
      </w:r>
      <w:r w:rsidR="006A2DD8">
        <w:t xml:space="preserve">he BenefitsCal upload feature lacks critical functionality to support the </w:t>
      </w:r>
      <w:r>
        <w:t>customer</w:t>
      </w:r>
      <w:r w:rsidR="006A2DD8">
        <w:t xml:space="preserve"> in ensuring viability of the content being captured and submitted for review. Customers </w:t>
      </w:r>
      <w:r>
        <w:t>may</w:t>
      </w:r>
      <w:r w:rsidR="006A2DD8">
        <w:t xml:space="preserve"> unknowingly submit </w:t>
      </w:r>
      <w:r>
        <w:t>unusable</w:t>
      </w:r>
      <w:r w:rsidR="006A2DD8">
        <w:t xml:space="preserve"> images introducing unnecessary processing delays. </w:t>
      </w:r>
    </w:p>
    <w:p w14:paraId="5A218A99" w14:textId="3DED6C19" w:rsidR="006A2DD8" w:rsidRDefault="006A2DD8" w:rsidP="006A2DD8">
      <w:pPr>
        <w:pStyle w:val="BodyText"/>
      </w:pPr>
      <w:r>
        <w:t>Most commonly, documents are captured with the following quality issues:</w:t>
      </w:r>
    </w:p>
    <w:p w14:paraId="53CEEE24" w14:textId="2DFB97EC" w:rsidR="006A2DD8" w:rsidRPr="00FD1DFD" w:rsidRDefault="006A2DD8" w:rsidP="00EE642B">
      <w:pPr>
        <w:pStyle w:val="CvrLtrBullet1Double"/>
      </w:pPr>
      <w:r w:rsidRPr="00FD1DFD">
        <w:t>Distant capture, poor lighting, limited contrast background</w:t>
      </w:r>
    </w:p>
    <w:p w14:paraId="4492BDC2" w14:textId="59BEE47D" w:rsidR="006A2DD8" w:rsidRPr="00FD1DFD" w:rsidRDefault="006A2DD8" w:rsidP="00EE642B">
      <w:pPr>
        <w:pStyle w:val="CvrLtrBullet1Double"/>
      </w:pPr>
      <w:r w:rsidRPr="00FD1DFD">
        <w:t>General quality and resolution issues which prevent downstream character recognition</w:t>
      </w:r>
    </w:p>
    <w:p w14:paraId="4C869DC8" w14:textId="52427878" w:rsidR="006A2DD8" w:rsidRPr="00FD1DFD" w:rsidRDefault="006A2DD8" w:rsidP="00EE642B">
      <w:pPr>
        <w:pStyle w:val="CvrLtrBullet1Double"/>
      </w:pPr>
      <w:r w:rsidRPr="00FD1DFD">
        <w:t>Missing parts of images due to poor image framing and lack of cropping</w:t>
      </w:r>
    </w:p>
    <w:p w14:paraId="635FE77B" w14:textId="0B58AF19" w:rsidR="006A2DD8" w:rsidRPr="00FD1DFD" w:rsidRDefault="006A2DD8" w:rsidP="00EE642B">
      <w:pPr>
        <w:pStyle w:val="CvrLtrBullet1Double"/>
      </w:pPr>
      <w:r w:rsidRPr="00FD1DFD">
        <w:t>Issues with rotation as well as dimensions or perspective causing highly skewed images</w:t>
      </w:r>
    </w:p>
    <w:p w14:paraId="0C1E19F9" w14:textId="77777777" w:rsidR="00023836" w:rsidRDefault="00023836" w:rsidP="00A81B54">
      <w:pPr>
        <w:pStyle w:val="BodyText"/>
      </w:pPr>
    </w:p>
    <w:p w14:paraId="3644E7F7" w14:textId="5EE0AC06" w:rsidR="00163F3D" w:rsidRDefault="00A81B54" w:rsidP="00A81B54">
      <w:pPr>
        <w:pStyle w:val="BodyText"/>
      </w:pPr>
      <w:r>
        <w:lastRenderedPageBreak/>
        <w:t>There is a l</w:t>
      </w:r>
      <w:r w:rsidR="006A2DD8">
        <w:t xml:space="preserve">ack of feedback or instruction for users to submit better images for </w:t>
      </w:r>
      <w:r>
        <w:t>successful processing by County staff</w:t>
      </w:r>
      <w:r w:rsidR="00A85C06">
        <w:t xml:space="preserve">. </w:t>
      </w:r>
      <w:r>
        <w:t>These quality issues result in increased workload for County</w:t>
      </w:r>
      <w:r w:rsidR="00A92B26">
        <w:t xml:space="preserve"> </w:t>
      </w:r>
      <w:r>
        <w:t>staff and poor customer experience.</w:t>
      </w:r>
    </w:p>
    <w:p w14:paraId="44EA7842" w14:textId="77777777" w:rsidR="006D7287" w:rsidRPr="006D7287" w:rsidRDefault="006D7287" w:rsidP="009F0336">
      <w:pPr>
        <w:pStyle w:val="Subheading"/>
      </w:pPr>
      <w:r w:rsidRPr="006D7287">
        <w:t>Identifying a Potential Innovation to Address the Problem</w:t>
      </w:r>
    </w:p>
    <w:p w14:paraId="36A361C8" w14:textId="7B0819FD" w:rsidR="00A81B54" w:rsidRDefault="00295F4E" w:rsidP="00A81B54">
      <w:pPr>
        <w:pStyle w:val="BodyText"/>
      </w:pPr>
      <w:r>
        <w:t xml:space="preserve">Using the PLM Framework, Gainwell has already entered the </w:t>
      </w:r>
      <w:r w:rsidRPr="00295F4E">
        <w:rPr>
          <w:b/>
          <w:bCs/>
        </w:rPr>
        <w:t>Research and Product Strategy</w:t>
      </w:r>
      <w:r>
        <w:t xml:space="preserve"> phase</w:t>
      </w:r>
      <w:r w:rsidR="0009371A">
        <w:t xml:space="preserve"> to consider ways to improve the customer feedback on the viability of their image as they capture it</w:t>
      </w:r>
      <w:r w:rsidR="00A85C06">
        <w:t xml:space="preserve">. </w:t>
      </w:r>
      <w:r w:rsidR="00CF2EA6">
        <w:t>We have engaged our partner, Hyland who provides the CalSAWS imaging system, to brainstorm technology enhancements</w:t>
      </w:r>
      <w:r w:rsidR="00A85C06">
        <w:t xml:space="preserve">. </w:t>
      </w:r>
    </w:p>
    <w:p w14:paraId="325C9503" w14:textId="77777777" w:rsidR="00E7157E" w:rsidRDefault="00E7157E" w:rsidP="00081808">
      <w:pPr>
        <w:pStyle w:val="BodyText"/>
        <w:rPr>
          <w:rFonts w:asciiTheme="minorHAnsi" w:eastAsiaTheme="minorEastAsia" w:hAnsiTheme="minorHAnsi"/>
          <w:color w:val="auto"/>
          <w:lang w:bidi="ar-SA"/>
        </w:rPr>
      </w:pPr>
      <w:r>
        <w:t xml:space="preserve">Introducing additional features that guide the customer and improve image quality at the point of capture (upload) is the best way to create a strong foundation for downstream, automated processing in the CalSAWS system and Imaging solution. Higher quality images </w:t>
      </w:r>
      <w:r>
        <w:rPr>
          <w:u w:val="single"/>
        </w:rPr>
        <w:t>directly</w:t>
      </w:r>
      <w:r>
        <w:t xml:space="preserve"> correlate to increased classification success rates downstream in the process, minimizing case worker manual touches and increasing the speed in which cases can be reviewed and processed.</w:t>
      </w:r>
    </w:p>
    <w:p w14:paraId="1994278C" w14:textId="57240A0D" w:rsidR="006D7287" w:rsidRPr="006D7287" w:rsidRDefault="006D7287" w:rsidP="009F0336">
      <w:pPr>
        <w:pStyle w:val="Subheading"/>
        <w:rPr>
          <w:b w:val="0"/>
        </w:rPr>
      </w:pPr>
      <w:r w:rsidRPr="006D7287">
        <w:t>Conduct a POC</w:t>
      </w:r>
    </w:p>
    <w:p w14:paraId="77C597B7" w14:textId="19364B58" w:rsidR="00E7157E" w:rsidRDefault="006D7287" w:rsidP="00081808">
      <w:pPr>
        <w:pStyle w:val="BodyText"/>
      </w:pPr>
      <w:r w:rsidRPr="006D7287">
        <w:rPr>
          <w:b/>
          <w:bCs/>
          <w:noProof/>
        </w:rPr>
        <w:drawing>
          <wp:anchor distT="0" distB="0" distL="114300" distR="114300" simplePos="0" relativeHeight="251658255" behindDoc="0" locked="0" layoutInCell="1" allowOverlap="1" wp14:anchorId="4B7D51AA" wp14:editId="22BF8AB7">
            <wp:simplePos x="0" y="0"/>
            <wp:positionH relativeFrom="margin">
              <wp:align>right</wp:align>
            </wp:positionH>
            <wp:positionV relativeFrom="paragraph">
              <wp:posOffset>15418</wp:posOffset>
            </wp:positionV>
            <wp:extent cx="2442210" cy="4333240"/>
            <wp:effectExtent l="0" t="0" r="0" b="0"/>
            <wp:wrapSquare wrapText="bothSides"/>
            <wp:docPr id="114199428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42210" cy="4333240"/>
                    </a:xfrm>
                    <a:prstGeom prst="rect">
                      <a:avLst/>
                    </a:prstGeom>
                    <a:noFill/>
                  </pic:spPr>
                </pic:pic>
              </a:graphicData>
            </a:graphic>
            <wp14:sizeRelH relativeFrom="margin">
              <wp14:pctWidth>0</wp14:pctWidth>
            </wp14:sizeRelH>
            <wp14:sizeRelV relativeFrom="margin">
              <wp14:pctHeight>0</wp14:pctHeight>
            </wp14:sizeRelV>
          </wp:anchor>
        </w:drawing>
      </w:r>
      <w:r w:rsidR="00EC2F7A">
        <w:t>Gainwell will partner with Hyland to conduct a</w:t>
      </w:r>
      <w:r w:rsidR="00E7157E">
        <w:t xml:space="preserve"> point</w:t>
      </w:r>
      <w:r w:rsidR="0061610D">
        <w:t>-</w:t>
      </w:r>
      <w:r w:rsidR="00E7157E">
        <w:t>of</w:t>
      </w:r>
      <w:r w:rsidR="0061610D">
        <w:t>-</w:t>
      </w:r>
      <w:r w:rsidR="00E7157E">
        <w:t xml:space="preserve">capture technology </w:t>
      </w:r>
      <w:r w:rsidR="0061610D">
        <w:t xml:space="preserve">POC </w:t>
      </w:r>
      <w:r w:rsidR="00E7157E">
        <w:t>to provide a more modernized user interface that gives the customer a chance to review and validate the quality of the image(s) being submitted. Users will upload image(s) and will be presented with a companion window showing a cleaned-up, optimized version of the image. This clean-up and optimization will include the following features:</w:t>
      </w:r>
    </w:p>
    <w:p w14:paraId="725A4CED" w14:textId="77777777" w:rsidR="00E7157E" w:rsidRPr="00FD1DFD" w:rsidRDefault="00E7157E" w:rsidP="00EE642B">
      <w:pPr>
        <w:pStyle w:val="CvrLtrBullet1Double"/>
      </w:pPr>
      <w:r w:rsidRPr="00FD1DFD">
        <w:rPr>
          <w:b/>
        </w:rPr>
        <w:t>Cropping:</w:t>
      </w:r>
      <w:r w:rsidRPr="00FD1DFD">
        <w:t xml:space="preserve"> to help focus on the actual document within the image and eliminate background noise which can cause downstream detection challenge for classification and extraction.</w:t>
      </w:r>
    </w:p>
    <w:p w14:paraId="0D460D46" w14:textId="77777777" w:rsidR="00E7157E" w:rsidRPr="00FD1DFD" w:rsidRDefault="00E7157E" w:rsidP="00EE642B">
      <w:pPr>
        <w:pStyle w:val="CvrLtrBullet1Double"/>
      </w:pPr>
      <w:r w:rsidRPr="00FD1DFD">
        <w:rPr>
          <w:b/>
        </w:rPr>
        <w:t>Orientation:</w:t>
      </w:r>
      <w:r w:rsidRPr="00FD1DFD">
        <w:t xml:space="preserve"> to align the text for better human and machine readability and comprehension of important context on the page.</w:t>
      </w:r>
    </w:p>
    <w:p w14:paraId="5377DC91" w14:textId="77777777" w:rsidR="00E7157E" w:rsidRPr="00FD1DFD" w:rsidRDefault="00E7157E" w:rsidP="00EE642B">
      <w:pPr>
        <w:pStyle w:val="CvrLtrBullet1Double"/>
      </w:pPr>
      <w:r w:rsidRPr="00FD1DFD">
        <w:rPr>
          <w:b/>
        </w:rPr>
        <w:t>Deskew:</w:t>
      </w:r>
      <w:r w:rsidRPr="00FD1DFD">
        <w:t xml:space="preserve"> to adjust viewing angles and distance to image from awkwardly positioned cameras during image capture.</w:t>
      </w:r>
    </w:p>
    <w:p w14:paraId="385591F9" w14:textId="77777777" w:rsidR="00E7157E" w:rsidRPr="00FD1DFD" w:rsidRDefault="00E7157E" w:rsidP="00EE642B">
      <w:pPr>
        <w:pStyle w:val="CvrLtrBullet1Double"/>
      </w:pPr>
      <w:r w:rsidRPr="00FD1DFD">
        <w:rPr>
          <w:b/>
        </w:rPr>
        <w:t>Rectangularization:</w:t>
      </w:r>
      <w:r w:rsidRPr="00FD1DFD">
        <w:t xml:space="preserve"> to assist with heavily skewed images with more noise on the same plane as the document.</w:t>
      </w:r>
    </w:p>
    <w:p w14:paraId="13DD0EDD" w14:textId="77777777" w:rsidR="00C73C0D" w:rsidRDefault="00C73C0D" w:rsidP="00887C2B">
      <w:pPr>
        <w:pStyle w:val="BodyText"/>
      </w:pPr>
    </w:p>
    <w:p w14:paraId="45CDDB7E" w14:textId="7D7886EC" w:rsidR="00E7157E" w:rsidRDefault="00E7157E" w:rsidP="00887C2B">
      <w:pPr>
        <w:pStyle w:val="BodyText"/>
      </w:pPr>
      <w:r>
        <w:lastRenderedPageBreak/>
        <w:t xml:space="preserve">The user </w:t>
      </w:r>
      <w:r w:rsidR="00887C2B">
        <w:t xml:space="preserve">would </w:t>
      </w:r>
      <w:r>
        <w:t xml:space="preserve">then have the option to interact (via the same </w:t>
      </w:r>
      <w:r w:rsidR="00887C2B">
        <w:t>user interface</w:t>
      </w:r>
      <w:r>
        <w:t>) to confirm submission of the optimized image.</w:t>
      </w:r>
    </w:p>
    <w:p w14:paraId="2308E466" w14:textId="2BA00A21" w:rsidR="00925616" w:rsidRDefault="00925616" w:rsidP="00887C2B">
      <w:pPr>
        <w:pStyle w:val="BodyText"/>
      </w:pPr>
      <w:r>
        <w:t xml:space="preserve">Prior to the image optimization occurring, an automated check </w:t>
      </w:r>
      <w:r w:rsidR="00F07DED">
        <w:t xml:space="preserve">would be run </w:t>
      </w:r>
      <w:r>
        <w:t xml:space="preserve">to determine if the captured content is multi-page. If so, </w:t>
      </w:r>
      <w:r w:rsidR="00F07DED">
        <w:t>we</w:t>
      </w:r>
      <w:r>
        <w:t xml:space="preserve"> can bypass the user-prompted image validation to use the original image. This will </w:t>
      </w:r>
      <w:r w:rsidR="00F07DED">
        <w:t>prevent</w:t>
      </w:r>
      <w:r>
        <w:t xml:space="preserve"> downloaded files like bank statements, which are already optimally formatted and captured, </w:t>
      </w:r>
      <w:r w:rsidR="00F07DED">
        <w:t xml:space="preserve">from requiring </w:t>
      </w:r>
      <w:r>
        <w:t>customer validation.</w:t>
      </w:r>
    </w:p>
    <w:p w14:paraId="140A67AE" w14:textId="3446074D" w:rsidR="00F07DED" w:rsidRDefault="00F07DED" w:rsidP="00887C2B">
      <w:pPr>
        <w:pStyle w:val="BodyText"/>
        <w:rPr>
          <w:rFonts w:asciiTheme="minorHAnsi" w:eastAsiaTheme="minorEastAsia" w:hAnsiTheme="minorHAnsi"/>
          <w:color w:val="auto"/>
          <w:lang w:bidi="ar-SA"/>
        </w:rPr>
      </w:pPr>
      <w:r w:rsidRPr="00F07DED">
        <w:t>After completing the Research and Product Strategy phase in collaboration with the Consortium</w:t>
      </w:r>
      <w:r w:rsidR="00150164">
        <w:rPr>
          <w:b/>
          <w:bCs/>
        </w:rPr>
        <w:t xml:space="preserve"> </w:t>
      </w:r>
      <w:r w:rsidR="00150164" w:rsidRPr="00150164">
        <w:t>and assuming</w:t>
      </w:r>
      <w:r w:rsidR="00150164">
        <w:t xml:space="preserve"> this point of capture</w:t>
      </w:r>
      <w:r w:rsidR="00150164" w:rsidRPr="00150164">
        <w:t xml:space="preserve"> </w:t>
      </w:r>
      <w:r w:rsidR="00150164">
        <w:t>innovation is selected</w:t>
      </w:r>
      <w:r>
        <w:t xml:space="preserve"> for a proof-of-concep</w:t>
      </w:r>
      <w:r w:rsidR="00150164">
        <w:t>t, we would enter the Product Build phase to conduct the POC</w:t>
      </w:r>
      <w:r w:rsidR="00A85C06">
        <w:t xml:space="preserve">. </w:t>
      </w:r>
      <w:r w:rsidR="00150164">
        <w:t>O</w:t>
      </w:r>
      <w:r>
        <w:t xml:space="preserve">ur Product Manager and analysts </w:t>
      </w:r>
      <w:r w:rsidR="00150164">
        <w:t>collect</w:t>
      </w:r>
      <w:r>
        <w:t xml:space="preserve"> detailed requirements in conjunction with</w:t>
      </w:r>
      <w:r w:rsidR="00150164">
        <w:t xml:space="preserve"> Hyland,</w:t>
      </w:r>
      <w:r>
        <w:t xml:space="preserve"> the </w:t>
      </w:r>
      <w:r w:rsidR="00A85C06">
        <w:t>Consortium,</w:t>
      </w:r>
      <w:r>
        <w:t xml:space="preserve"> and other stakeholders</w:t>
      </w:r>
      <w:r w:rsidR="00C25475">
        <w:t xml:space="preserve">. </w:t>
      </w:r>
      <w:r w:rsidR="00150164">
        <w:t>We would jointly</w:t>
      </w:r>
      <w:r>
        <w:t xml:space="preserve"> develop the goal and intended outcome of the POC</w:t>
      </w:r>
      <w:r w:rsidR="00150164">
        <w:t xml:space="preserve"> along with evaluation criteria or target metrics to assist with the evaluation of the POC results</w:t>
      </w:r>
      <w:r>
        <w:t xml:space="preserve">. </w:t>
      </w:r>
    </w:p>
    <w:p w14:paraId="272EDB8C" w14:textId="3B0542D1" w:rsidR="00925616" w:rsidRDefault="000F3FEA" w:rsidP="00887C2B">
      <w:pPr>
        <w:pStyle w:val="BodyText"/>
      </w:pPr>
      <w:r w:rsidRPr="000F3FEA">
        <w:t>The BenefitsCal portal can offer customers a faster path to applying for or renewing their benefits, however, without the right technology to ensure a proper document upload, some users are experiencing delays</w:t>
      </w:r>
      <w:r w:rsidR="00A85C06" w:rsidRPr="000F3FEA">
        <w:t xml:space="preserve">. </w:t>
      </w:r>
      <w:r w:rsidRPr="000F3FEA">
        <w:t>The seamless integration of this new technology will help transform the solution to guide users during front-end submission and help fix common imaging problems to keep benefits disbursements on track and on time</w:t>
      </w:r>
      <w:r w:rsidR="00A85C06" w:rsidRPr="000F3FEA">
        <w:t>.</w:t>
      </w:r>
      <w:r w:rsidR="00A85C06">
        <w:t xml:space="preserve"> </w:t>
      </w:r>
      <w:r w:rsidR="00925616">
        <w:t xml:space="preserve">Maintaining the existing integration to the CalSAWS Imaging solution and introducing this new functionality </w:t>
      </w:r>
      <w:r w:rsidR="00F07DED">
        <w:t>has the potential to</w:t>
      </w:r>
      <w:r w:rsidR="00925616">
        <w:t xml:space="preserve"> improve the customer’s </w:t>
      </w:r>
      <w:r w:rsidR="00F07DED">
        <w:t xml:space="preserve">BenefitsCal </w:t>
      </w:r>
      <w:r w:rsidR="00925616">
        <w:t xml:space="preserve">experience and greatly reduce the number of processing delays and </w:t>
      </w:r>
      <w:r w:rsidR="00F07DED">
        <w:t>County staff</w:t>
      </w:r>
      <w:r w:rsidR="00925616">
        <w:t xml:space="preserve"> manual touch points required today</w:t>
      </w:r>
      <w:r w:rsidR="00A85C06">
        <w:t xml:space="preserve">. </w:t>
      </w:r>
    </w:p>
    <w:p w14:paraId="070A586F" w14:textId="7ED488FC" w:rsidR="00150164" w:rsidRDefault="00966EAF" w:rsidP="00887C2B">
      <w:pPr>
        <w:pStyle w:val="BodyText"/>
      </w:pPr>
      <w:r w:rsidRPr="00C63A5F">
        <w:rPr>
          <w:b/>
          <w:bCs/>
          <w:noProof/>
        </w:rPr>
        <w:drawing>
          <wp:anchor distT="0" distB="0" distL="114300" distR="114300" simplePos="0" relativeHeight="251658303" behindDoc="0" locked="0" layoutInCell="1" allowOverlap="1" wp14:anchorId="187EE05D" wp14:editId="4125399E">
            <wp:simplePos x="0" y="0"/>
            <wp:positionH relativeFrom="margin">
              <wp:align>left</wp:align>
            </wp:positionH>
            <wp:positionV relativeFrom="paragraph">
              <wp:posOffset>20875</wp:posOffset>
            </wp:positionV>
            <wp:extent cx="1860605" cy="729518"/>
            <wp:effectExtent l="0" t="0" r="0" b="0"/>
            <wp:wrapSquare wrapText="bothSides"/>
            <wp:docPr id="1874408916" name="Graphic 2">
              <a:extLst xmlns:a="http://schemas.openxmlformats.org/drawingml/2006/main">
                <a:ext uri="{FF2B5EF4-FFF2-40B4-BE49-F238E27FC236}">
                  <a16:creationId xmlns:a16="http://schemas.microsoft.com/office/drawing/2014/main" id="{94E9AA52-CEC0-3B0A-3738-75FF0AAFC1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94E9AA52-CEC0-3B0A-3738-75FF0AAFC1CA}"/>
                        </a:ext>
                      </a:extLst>
                    </pic:cNvPr>
                    <pic:cNvPicPr>
                      <a:picLocks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1860605" cy="729518"/>
                    </a:xfrm>
                    <a:prstGeom prst="rect">
                      <a:avLst/>
                    </a:prstGeom>
                  </pic:spPr>
                </pic:pic>
              </a:graphicData>
            </a:graphic>
            <wp14:sizeRelH relativeFrom="page">
              <wp14:pctWidth>0</wp14:pctWidth>
            </wp14:sizeRelH>
            <wp14:sizeRelV relativeFrom="page">
              <wp14:pctHeight>0</wp14:pctHeight>
            </wp14:sizeRelV>
          </wp:anchor>
        </w:drawing>
      </w:r>
      <w:r w:rsidR="00150164" w:rsidRPr="00C63A5F">
        <w:rPr>
          <w:b/>
          <w:bCs/>
        </w:rPr>
        <w:t>Our proposal</w:t>
      </w:r>
      <w:r w:rsidR="00150164">
        <w:t xml:space="preserve"> </w:t>
      </w:r>
      <w:r w:rsidR="00150164" w:rsidRPr="00C63A5F">
        <w:rPr>
          <w:b/>
          <w:bCs/>
        </w:rPr>
        <w:t>includes completion of the point of capture POC</w:t>
      </w:r>
      <w:r w:rsidR="00BC7D18">
        <w:t xml:space="preserve"> including building the prototype and evaluating the results</w:t>
      </w:r>
      <w:r w:rsidR="00A106DE">
        <w:t xml:space="preserve"> of the POC</w:t>
      </w:r>
      <w:r w:rsidR="00150164">
        <w:t xml:space="preserve"> as described in this section</w:t>
      </w:r>
      <w:r w:rsidR="00A85C06">
        <w:t xml:space="preserve">. </w:t>
      </w:r>
    </w:p>
    <w:p w14:paraId="3AC750D9" w14:textId="242A3AA3" w:rsidR="00925616" w:rsidRDefault="00001A39" w:rsidP="00B42AD3">
      <w:pPr>
        <w:pStyle w:val="BodyText"/>
      </w:pPr>
      <w:r>
        <w:t>A</w:t>
      </w:r>
      <w:r w:rsidR="00925616">
        <w:t xml:space="preserve">dditional </w:t>
      </w:r>
      <w:r>
        <w:t xml:space="preserve">innovation ideas related to </w:t>
      </w:r>
      <w:r w:rsidR="00362B7E">
        <w:t xml:space="preserve">point of capture of images </w:t>
      </w:r>
      <w:r w:rsidR="00925616">
        <w:t>could be layered into a mobile app, if/when that is added to the BenefitsCal</w:t>
      </w:r>
      <w:r w:rsidR="00362B7E">
        <w:t xml:space="preserve"> product</w:t>
      </w:r>
      <w:r w:rsidR="00925616">
        <w:t xml:space="preserve"> roadmap. The use of a mobile app would enable additional technology possibilities by permitting local camera feature access and would allow </w:t>
      </w:r>
      <w:r w:rsidR="00CE48ED">
        <w:t>consider</w:t>
      </w:r>
      <w:r w:rsidR="00925616">
        <w:t xml:space="preserve"> an even more optimal user experience. This could include features such as real time illumination feedback, framing for documents inside camera mode, as well as better stabilization and visual focus to ensure users are offered more real-time feedback during the image capture process. </w:t>
      </w:r>
    </w:p>
    <w:p w14:paraId="034AC8B4" w14:textId="77777777" w:rsidR="006B6658" w:rsidRDefault="006B6658" w:rsidP="00B42AD3">
      <w:pPr>
        <w:pStyle w:val="BodyText"/>
      </w:pPr>
    </w:p>
    <w:p w14:paraId="6181232C" w14:textId="77777777" w:rsidR="006B6658" w:rsidRDefault="006B6658" w:rsidP="00B42AD3">
      <w:pPr>
        <w:pStyle w:val="BodyText"/>
      </w:pPr>
    </w:p>
    <w:p w14:paraId="7EFC8F3E" w14:textId="77777777" w:rsidR="008031D9" w:rsidRDefault="008031D9" w:rsidP="00B42AD3">
      <w:pPr>
        <w:pStyle w:val="BodyText"/>
      </w:pPr>
    </w:p>
    <w:tbl>
      <w:tblPr>
        <w:tblStyle w:val="TableGrid"/>
        <w:tblpPr w:leftFromText="187" w:rightFromText="187" w:bottomFromText="115"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5" w:type="dxa"/>
        </w:tblCellMar>
        <w:tblLook w:val="04A0" w:firstRow="1" w:lastRow="0" w:firstColumn="1" w:lastColumn="0" w:noHBand="0" w:noVBand="1"/>
      </w:tblPr>
      <w:tblGrid>
        <w:gridCol w:w="9350"/>
      </w:tblGrid>
      <w:tr w:rsidR="001237A7" w14:paraId="58B016F2" w14:textId="77777777" w:rsidTr="00776790">
        <w:tc>
          <w:tcPr>
            <w:tcW w:w="9350" w:type="dxa"/>
            <w:shd w:val="clear" w:color="auto" w:fill="auto"/>
          </w:tcPr>
          <w:tbl>
            <w:tblPr>
              <w:tblW w:w="9072" w:type="dxa"/>
              <w:tblLook w:val="04A0" w:firstRow="1" w:lastRow="0" w:firstColumn="1" w:lastColumn="0" w:noHBand="0" w:noVBand="1"/>
            </w:tblPr>
            <w:tblGrid>
              <w:gridCol w:w="990"/>
              <w:gridCol w:w="8082"/>
            </w:tblGrid>
            <w:tr w:rsidR="001237A7" w:rsidRPr="00A7028F" w14:paraId="7B761315" w14:textId="77777777" w:rsidTr="00071C95">
              <w:tc>
                <w:tcPr>
                  <w:tcW w:w="990" w:type="dxa"/>
                  <w:shd w:val="clear" w:color="auto" w:fill="F2F2F2" w:themeFill="background1" w:themeFillShade="F2"/>
                  <w:noWrap/>
                </w:tcPr>
                <w:p w14:paraId="05B804EE" w14:textId="77777777" w:rsidR="001237A7" w:rsidRPr="00A7028F" w:rsidRDefault="001237A7" w:rsidP="00B066BA">
                  <w:pPr>
                    <w:pStyle w:val="ReqNo"/>
                    <w:framePr w:wrap="around"/>
                  </w:pPr>
                </w:p>
              </w:tc>
              <w:tc>
                <w:tcPr>
                  <w:tcW w:w="8082" w:type="dxa"/>
                  <w:shd w:val="clear" w:color="auto" w:fill="F2F2F2" w:themeFill="background1" w:themeFillShade="F2"/>
                </w:tcPr>
                <w:p w14:paraId="7FA1C100" w14:textId="77777777" w:rsidR="001237A7" w:rsidRPr="00A7028F" w:rsidRDefault="001237A7" w:rsidP="00900713">
                  <w:pPr>
                    <w:pStyle w:val="BodyText0"/>
                    <w:framePr w:wrap="around"/>
                  </w:pPr>
                  <w:r w:rsidRPr="00FC3BDF">
                    <w:t>Describe how you will participate with and support the existing CalSAWS Innovation Team relative to your overall Innovation strategy.</w:t>
                  </w:r>
                </w:p>
              </w:tc>
            </w:tr>
          </w:tbl>
          <w:p w14:paraId="17EC20B9" w14:textId="77777777" w:rsidR="001237A7" w:rsidRDefault="001237A7" w:rsidP="005853A3">
            <w:pPr>
              <w:pStyle w:val="BodyText0"/>
              <w:keepNext/>
              <w:keepLines/>
              <w:framePr w:hSpace="0" w:wrap="auto" w:vAnchor="margin" w:yAlign="inline"/>
              <w:suppressOverlap w:val="0"/>
            </w:pPr>
          </w:p>
        </w:tc>
      </w:tr>
    </w:tbl>
    <w:p w14:paraId="2AAAA10F" w14:textId="1A544F8A" w:rsidR="00F95BE8" w:rsidRDefault="003F5368" w:rsidP="00F95BE8">
      <w:pPr>
        <w:pStyle w:val="BodyText"/>
      </w:pPr>
      <w:r>
        <w:t>The CalSAWS Innovation Team</w:t>
      </w:r>
      <w:r w:rsidR="005810D4">
        <w:t xml:space="preserve"> are key decision makers</w:t>
      </w:r>
      <w:r w:rsidR="00573690">
        <w:t xml:space="preserve"> in the innovation strategy</w:t>
      </w:r>
      <w:r w:rsidR="00A85C06">
        <w:t xml:space="preserve">. </w:t>
      </w:r>
      <w:r w:rsidR="00573690">
        <w:t xml:space="preserve">Providing guidance </w:t>
      </w:r>
      <w:r w:rsidR="009921C1">
        <w:t>related to the innovation goals and participating in evaluation and approval of new ideas for POC</w:t>
      </w:r>
      <w:r w:rsidR="00A85C06">
        <w:t xml:space="preserve">. </w:t>
      </w:r>
    </w:p>
    <w:p w14:paraId="0786EEA2" w14:textId="5F14AC07" w:rsidR="00755287" w:rsidRDefault="00F95BE8" w:rsidP="00F07452">
      <w:pPr>
        <w:pStyle w:val="BodyText"/>
      </w:pPr>
      <w:r>
        <w:t>We suggest evaluating the current CalSAWS Innovation Team structure.</w:t>
      </w:r>
      <w:r w:rsidR="00EC54D3">
        <w:t xml:space="preserve"> </w:t>
      </w:r>
      <w:r w:rsidR="00C94586">
        <w:t xml:space="preserve">Because the existing CalSAWS Innovation Team was largely staffed from the technical area, we recommend expanding the </w:t>
      </w:r>
      <w:r w:rsidR="00060AB4">
        <w:t>participants to include representatives from other areas of the Consortium</w:t>
      </w:r>
      <w:r w:rsidR="0090272E">
        <w:t xml:space="preserve"> or Counties</w:t>
      </w:r>
      <w:r w:rsidR="00A85C06">
        <w:t xml:space="preserve">. </w:t>
      </w:r>
    </w:p>
    <w:p w14:paraId="6F111DEE" w14:textId="3E18948D" w:rsidR="00206BD2" w:rsidRDefault="002B00AC" w:rsidP="00F07452">
      <w:pPr>
        <w:pStyle w:val="BodyText"/>
      </w:pPr>
      <w:r w:rsidRPr="002B00AC">
        <w:rPr>
          <w:noProof/>
        </w:rPr>
        <w:drawing>
          <wp:anchor distT="0" distB="0" distL="114300" distR="114300" simplePos="0" relativeHeight="251658252" behindDoc="1" locked="0" layoutInCell="1" allowOverlap="1" wp14:anchorId="512F4546" wp14:editId="6422170A">
            <wp:simplePos x="0" y="0"/>
            <wp:positionH relativeFrom="column">
              <wp:posOffset>28989</wp:posOffset>
            </wp:positionH>
            <wp:positionV relativeFrom="paragraph">
              <wp:posOffset>209551</wp:posOffset>
            </wp:positionV>
            <wp:extent cx="1248989" cy="1835426"/>
            <wp:effectExtent l="400050" t="209550" r="389890" b="488950"/>
            <wp:wrapTight wrapText="bothSides">
              <wp:wrapPolygon edited="0">
                <wp:start x="7910" y="-2466"/>
                <wp:lineTo x="330" y="-2018"/>
                <wp:lineTo x="330" y="1570"/>
                <wp:lineTo x="-2307" y="1570"/>
                <wp:lineTo x="-2307" y="5157"/>
                <wp:lineTo x="-4614" y="5157"/>
                <wp:lineTo x="-4614" y="8745"/>
                <wp:lineTo x="-6592" y="8745"/>
                <wp:lineTo x="-6922" y="19507"/>
                <wp:lineTo x="-5603" y="19507"/>
                <wp:lineTo x="-2966" y="23095"/>
                <wp:lineTo x="-2966" y="23319"/>
                <wp:lineTo x="4944" y="26682"/>
                <wp:lineTo x="5274" y="27131"/>
                <wp:lineTo x="15162" y="27131"/>
                <wp:lineTo x="15491" y="26682"/>
                <wp:lineTo x="23731" y="23319"/>
                <wp:lineTo x="24061" y="23095"/>
                <wp:lineTo x="26698" y="19507"/>
                <wp:lineTo x="28016" y="15920"/>
                <wp:lineTo x="28016" y="12332"/>
                <wp:lineTo x="26368" y="8745"/>
                <wp:lineTo x="21424" y="1794"/>
                <wp:lineTo x="21095" y="1570"/>
                <wp:lineTo x="13514" y="-1794"/>
                <wp:lineTo x="13184" y="-2466"/>
                <wp:lineTo x="7910" y="-2466"/>
              </wp:wrapPolygon>
            </wp:wrapTight>
            <wp:docPr id="5" name="Picture 4">
              <a:extLst xmlns:a="http://schemas.openxmlformats.org/drawingml/2006/main">
                <a:ext uri="{FF2B5EF4-FFF2-40B4-BE49-F238E27FC236}">
                  <a16:creationId xmlns:a16="http://schemas.microsoft.com/office/drawing/2014/main" id="{570DDAFE-A3E8-45A2-5235-19F4B01B71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70DDAFE-A3E8-45A2-5235-19F4B01B7146}"/>
                        </a:ext>
                      </a:extLst>
                    </pic:cNvPr>
                    <pic:cNvPicPr>
                      <a:picLocks noChangeAspect="1"/>
                    </pic:cNvPicPr>
                  </pic:nvPicPr>
                  <pic:blipFill>
                    <a:blip r:embed="rId115" cstate="print">
                      <a:extLst>
                        <a:ext uri="{28A0092B-C50C-407E-A947-70E740481C1C}">
                          <a14:useLocalDpi xmlns:a14="http://schemas.microsoft.com/office/drawing/2010/main" val="0"/>
                        </a:ext>
                      </a:extLst>
                    </a:blip>
                    <a:srcRect/>
                    <a:stretch/>
                  </pic:blipFill>
                  <pic:spPr>
                    <a:xfrm>
                      <a:off x="0" y="0"/>
                      <a:ext cx="1250283" cy="1837327"/>
                    </a:xfrm>
                    <a:prstGeom prst="rect">
                      <a:avLst/>
                    </a:prstGeom>
                    <a:effectLst>
                      <a:outerShdw blurRad="728832" dist="38100" dir="15360000" sx="92000" sy="92000" algn="b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755287">
        <w:t xml:space="preserve">Once the participants are solidified, </w:t>
      </w:r>
      <w:r w:rsidR="00EC54D3">
        <w:t xml:space="preserve">Gainwell leadership including our Product Manager </w:t>
      </w:r>
      <w:r w:rsidR="00E57EA0">
        <w:t xml:space="preserve">would assist in </w:t>
      </w:r>
      <w:r w:rsidR="00215019">
        <w:t xml:space="preserve">facilitating sessions with County and </w:t>
      </w:r>
      <w:r w:rsidR="00CE60EC">
        <w:t xml:space="preserve">other </w:t>
      </w:r>
      <w:r w:rsidR="00215019">
        <w:t>stakeholder participants to establish Innovation program goals and objectives</w:t>
      </w:r>
      <w:r w:rsidR="00A85C06">
        <w:t xml:space="preserve">. </w:t>
      </w:r>
    </w:p>
    <w:p w14:paraId="52CC5242" w14:textId="50CA020F" w:rsidR="00060AB4" w:rsidRDefault="00755287" w:rsidP="00F07452">
      <w:pPr>
        <w:pStyle w:val="BodyText"/>
      </w:pPr>
      <w:r>
        <w:t>The Innovation program must have goals and objectives that are tied to the organizational goals</w:t>
      </w:r>
      <w:r w:rsidR="00A85C06">
        <w:t xml:space="preserve">. </w:t>
      </w:r>
      <w:r>
        <w:t xml:space="preserve">If this foundational step is not taken, </w:t>
      </w:r>
      <w:r w:rsidR="00C412E0">
        <w:t xml:space="preserve">often innovation projects selected are focused more on the latest technology rather than on introducing innovative ideas that “move the needle” to meeting important strategic </w:t>
      </w:r>
      <w:r w:rsidR="00206BD2">
        <w:t>goals</w:t>
      </w:r>
      <w:r w:rsidR="00C412E0">
        <w:t>.</w:t>
      </w:r>
    </w:p>
    <w:p w14:paraId="26AC0821" w14:textId="020B5C4C" w:rsidR="003F5368" w:rsidRDefault="00F07452" w:rsidP="00F07452">
      <w:pPr>
        <w:pStyle w:val="BodyText"/>
      </w:pPr>
      <w:r>
        <w:t>The Gainwell Team will participate with and support the CalSAWS Innovation Team including:</w:t>
      </w:r>
    </w:p>
    <w:p w14:paraId="406B44FD" w14:textId="77777777" w:rsidR="00E16999" w:rsidRDefault="00351788" w:rsidP="00EE642B">
      <w:pPr>
        <w:pStyle w:val="CvrLtrBullet1Double"/>
      </w:pPr>
      <w:r>
        <w:t xml:space="preserve">Establishing Innovation program goals and objectives that </w:t>
      </w:r>
      <w:r w:rsidR="00E16999">
        <w:t>are aligned with and support the CalSAWS strategic goals</w:t>
      </w:r>
    </w:p>
    <w:p w14:paraId="630E62C9" w14:textId="7AAC7D13" w:rsidR="006A24DB" w:rsidRDefault="00495EB1" w:rsidP="00EE642B">
      <w:pPr>
        <w:pStyle w:val="CvrLtrBullet1Double"/>
      </w:pPr>
      <w:r>
        <w:t>Identifying training for staff members to “market” the Innovation program and create a culture of innovation at the staff level</w:t>
      </w:r>
    </w:p>
    <w:p w14:paraId="33357C54" w14:textId="22D69C2C" w:rsidR="00F07452" w:rsidRDefault="000F4DA6" w:rsidP="00EE642B">
      <w:pPr>
        <w:pStyle w:val="CvrLtrBullet1Double"/>
      </w:pPr>
      <w:r>
        <w:t>Participating</w:t>
      </w:r>
      <w:r w:rsidR="00D42671">
        <w:t xml:space="preserve"> in the</w:t>
      </w:r>
      <w:r w:rsidR="00F07452">
        <w:t xml:space="preserve"> current award-winning “Shark Tank” process </w:t>
      </w:r>
    </w:p>
    <w:p w14:paraId="25EF7563" w14:textId="22CDC5C2" w:rsidR="00F07452" w:rsidRDefault="000F4DA6" w:rsidP="00EE642B">
      <w:pPr>
        <w:pStyle w:val="CvrLtrBullet1Double"/>
      </w:pPr>
      <w:r>
        <w:t>Supporting the CalSAWS Innovation Team in selecting ideas for POC and evaluating results</w:t>
      </w:r>
      <w:r w:rsidR="008E61D5">
        <w:t xml:space="preserve"> at the conclusion of the POC build</w:t>
      </w:r>
    </w:p>
    <w:p w14:paraId="5509E87B" w14:textId="3C9098DE" w:rsidR="006A24DB" w:rsidRDefault="006A24DB" w:rsidP="00F07452">
      <w:pPr>
        <w:pStyle w:val="BodyText"/>
      </w:pPr>
      <w:r>
        <w:t>We also recommend that members of the CalSAWS Innovation Team participate in visits to County offices</w:t>
      </w:r>
      <w:r w:rsidR="004130DF">
        <w:t xml:space="preserve"> and BenefitsCal CBO locations</w:t>
      </w:r>
      <w:r>
        <w:t xml:space="preserve"> that have implemented innovative business practices or who have identified pain points that are roadblocks to productivity</w:t>
      </w:r>
      <w:r w:rsidR="00A85C06">
        <w:t xml:space="preserve">. </w:t>
      </w:r>
      <w:r>
        <w:t xml:space="preserve">Exposure to the impact of the BenefitsCal system on County staff </w:t>
      </w:r>
      <w:r w:rsidR="004130DF">
        <w:t xml:space="preserve">and CBO staff </w:t>
      </w:r>
      <w:r>
        <w:t>either in positive or negative way</w:t>
      </w:r>
      <w:r w:rsidR="004130DF">
        <w:t>s is often the spark for future innovative ideas.</w:t>
      </w:r>
    </w:p>
    <w:p w14:paraId="743884AD" w14:textId="77777777" w:rsidR="00712C84" w:rsidRDefault="004130DF" w:rsidP="00F07452">
      <w:pPr>
        <w:pStyle w:val="BodyText"/>
      </w:pPr>
      <w:r>
        <w:t xml:space="preserve">Information flow to the CalSAWS Innovation Team is also an important aspect of generating ideas or evaluating the impact of innovation. </w:t>
      </w:r>
      <w:r w:rsidR="00D10ADF">
        <w:t>We will engage</w:t>
      </w:r>
      <w:r w:rsidR="00712C84">
        <w:t xml:space="preserve"> and prepare the Consortium and larger contractor project team regarding BenefitsCal innovation presentations and Innovation Day planning.</w:t>
      </w:r>
      <w:r>
        <w:t xml:space="preserve"> </w:t>
      </w:r>
    </w:p>
    <w:p w14:paraId="4BF2588B" w14:textId="70E2DED9" w:rsidR="00EE458E" w:rsidRDefault="004130DF" w:rsidP="00F07452">
      <w:pPr>
        <w:pStyle w:val="BodyText"/>
      </w:pPr>
      <w:r>
        <w:lastRenderedPageBreak/>
        <w:t xml:space="preserve">The Gainwell Product Manager will </w:t>
      </w:r>
      <w:r w:rsidR="00712C84">
        <w:t xml:space="preserve">also </w:t>
      </w:r>
      <w:r>
        <w:t xml:space="preserve">provide information based on the variety of </w:t>
      </w:r>
      <w:r w:rsidR="00BE259C">
        <w:t xml:space="preserve">user centered design techniques that allow us to gather user experiences and our </w:t>
      </w:r>
      <w:r w:rsidR="00873DD4">
        <w:t>data analytics related to BenefitsCal adoption, usage patterns and user dropout</w:t>
      </w:r>
      <w:r w:rsidR="00A85C06">
        <w:t xml:space="preserve">. </w:t>
      </w:r>
      <w:r w:rsidR="00526E9E">
        <w:rPr>
          <w:rFonts w:cstheme="minorHAnsi"/>
          <w:szCs w:val="22"/>
        </w:rPr>
        <w:t>The</w:t>
      </w:r>
      <w:r w:rsidR="00A92B26">
        <w:rPr>
          <w:rFonts w:cstheme="minorHAnsi"/>
          <w:szCs w:val="22"/>
        </w:rPr>
        <w:t xml:space="preserve"> </w:t>
      </w:r>
      <w:r w:rsidR="00526E9E">
        <w:rPr>
          <w:rFonts w:cstheme="minorHAnsi"/>
          <w:szCs w:val="22"/>
        </w:rPr>
        <w:t>reporting metrics will includ</w:t>
      </w:r>
      <w:r w:rsidR="00C14227">
        <w:rPr>
          <w:rFonts w:cstheme="minorHAnsi"/>
          <w:szCs w:val="22"/>
        </w:rPr>
        <w:t>e</w:t>
      </w:r>
      <w:r w:rsidR="00526E9E">
        <w:rPr>
          <w:rFonts w:cstheme="minorHAnsi"/>
          <w:szCs w:val="22"/>
        </w:rPr>
        <w:t xml:space="preserve"> chatbot usage metrics,</w:t>
      </w:r>
      <w:r w:rsidR="00A92B26">
        <w:rPr>
          <w:rFonts w:cstheme="minorHAnsi"/>
          <w:szCs w:val="22"/>
        </w:rPr>
        <w:t xml:space="preserve"> </w:t>
      </w:r>
      <w:r w:rsidR="00526E9E">
        <w:rPr>
          <w:rFonts w:cstheme="minorHAnsi"/>
          <w:szCs w:val="22"/>
        </w:rPr>
        <w:t>percentage of response matches, user feedback data, most frequently asked questions and other factors that provide BenefitsCal user and usability information.</w:t>
      </w:r>
    </w:p>
    <w:p w14:paraId="0F11BB96" w14:textId="763E476C" w:rsidR="001523E9" w:rsidRDefault="003A44B0" w:rsidP="00F07452">
      <w:pPr>
        <w:pStyle w:val="BodyText"/>
      </w:pPr>
      <w:r>
        <w:t xml:space="preserve">We will conduct research into </w:t>
      </w:r>
      <w:r w:rsidR="00935D63">
        <w:t>outcome questions and provide this information to the CalSAWS Innovation Team as well</w:t>
      </w:r>
      <w:r w:rsidR="00A85C06">
        <w:t xml:space="preserve">. </w:t>
      </w:r>
      <w:r w:rsidR="00935D63">
        <w:t xml:space="preserve">For example, </w:t>
      </w:r>
      <w:r w:rsidR="00787252">
        <w:t>recipient churn (situations in which a</w:t>
      </w:r>
      <w:r w:rsidR="00C9671E">
        <w:t>n</w:t>
      </w:r>
      <w:r w:rsidR="00787252">
        <w:t xml:space="preserve"> eligible </w:t>
      </w:r>
      <w:r w:rsidR="00C9671E">
        <w:t>recipient</w:t>
      </w:r>
      <w:r w:rsidR="00787252">
        <w:t xml:space="preserve"> </w:t>
      </w:r>
      <w:r w:rsidR="009D4BFE">
        <w:t xml:space="preserve">is terminated </w:t>
      </w:r>
      <w:r w:rsidR="00E97903">
        <w:t xml:space="preserve">who then re-establishes eligibility) creates an unnecessary workload on County staff and </w:t>
      </w:r>
      <w:r w:rsidR="00EE458E">
        <w:t>negatively impacts the customer’s experience</w:t>
      </w:r>
      <w:r w:rsidR="00A85C06">
        <w:t xml:space="preserve">. </w:t>
      </w:r>
      <w:r w:rsidR="002F2E90">
        <w:t>Creating a data analytics study to answer questions like the following can lead to identification of</w:t>
      </w:r>
      <w:r w:rsidR="00C9671E">
        <w:t xml:space="preserve"> innovation</w:t>
      </w:r>
      <w:r w:rsidR="002F2E90">
        <w:t xml:space="preserve"> </w:t>
      </w:r>
      <w:r w:rsidR="00C9671E">
        <w:t>ideas</w:t>
      </w:r>
      <w:r w:rsidR="002F2E90">
        <w:t xml:space="preserve"> to reduce churn.</w:t>
      </w:r>
    </w:p>
    <w:tbl>
      <w:tblPr>
        <w:tblStyle w:val="TableGridLight"/>
        <w:tblW w:w="94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0"/>
        <w:gridCol w:w="8855"/>
      </w:tblGrid>
      <w:tr w:rsidR="003F3452" w14:paraId="57EAEA5C" w14:textId="77777777" w:rsidTr="001634E7">
        <w:tc>
          <w:tcPr>
            <w:tcW w:w="590" w:type="dxa"/>
          </w:tcPr>
          <w:p w14:paraId="3DE55F4B" w14:textId="27749185" w:rsidR="003F3452" w:rsidRDefault="001523E9" w:rsidP="00CF52F9">
            <w:pPr>
              <w:pStyle w:val="BodyText"/>
              <w:keepNext/>
              <w:spacing w:after="0"/>
              <w:jc w:val="center"/>
            </w:pPr>
            <w:r>
              <w:rPr>
                <w:noProof/>
              </w:rPr>
              <w:drawing>
                <wp:inline distT="0" distB="0" distL="0" distR="0" wp14:anchorId="3DFF57A2" wp14:editId="07D1C429">
                  <wp:extent cx="216000" cy="251265"/>
                  <wp:effectExtent l="0" t="0" r="0" b="0"/>
                  <wp:docPr id="102084230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1194" cy="257307"/>
                          </a:xfrm>
                          <a:prstGeom prst="rect">
                            <a:avLst/>
                          </a:prstGeom>
                          <a:noFill/>
                        </pic:spPr>
                      </pic:pic>
                    </a:graphicData>
                  </a:graphic>
                </wp:inline>
              </w:drawing>
            </w:r>
          </w:p>
        </w:tc>
        <w:tc>
          <w:tcPr>
            <w:tcW w:w="8855" w:type="dxa"/>
          </w:tcPr>
          <w:p w14:paraId="23859D29" w14:textId="0EE569F3" w:rsidR="003F3452" w:rsidRDefault="00D5529A" w:rsidP="00CF52F9">
            <w:pPr>
              <w:pStyle w:val="BodyText"/>
              <w:keepNext/>
            </w:pPr>
            <w:r>
              <w:t xml:space="preserve">What is the churn rate for </w:t>
            </w:r>
            <w:r w:rsidRPr="009D3BAB">
              <w:rPr>
                <w:b/>
                <w:bCs/>
              </w:rPr>
              <w:t>active</w:t>
            </w:r>
            <w:r>
              <w:t xml:space="preserve"> users of BenefitsCal?</w:t>
            </w:r>
          </w:p>
        </w:tc>
      </w:tr>
      <w:tr w:rsidR="003F3452" w14:paraId="4EE872C9" w14:textId="77777777" w:rsidTr="001634E7">
        <w:tc>
          <w:tcPr>
            <w:tcW w:w="590" w:type="dxa"/>
          </w:tcPr>
          <w:p w14:paraId="6A2DBBAA" w14:textId="540698A6" w:rsidR="003F3452" w:rsidRDefault="009D3BAB" w:rsidP="009D3BAB">
            <w:pPr>
              <w:pStyle w:val="BodyText"/>
              <w:spacing w:after="0"/>
              <w:jc w:val="center"/>
            </w:pPr>
            <w:r>
              <w:rPr>
                <w:noProof/>
              </w:rPr>
              <w:drawing>
                <wp:inline distT="0" distB="0" distL="0" distR="0" wp14:anchorId="1C1B0853" wp14:editId="733E0BF6">
                  <wp:extent cx="216000" cy="251266"/>
                  <wp:effectExtent l="0" t="0" r="0" b="0"/>
                  <wp:docPr id="9840628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7453" cy="252956"/>
                          </a:xfrm>
                          <a:prstGeom prst="rect">
                            <a:avLst/>
                          </a:prstGeom>
                          <a:noFill/>
                        </pic:spPr>
                      </pic:pic>
                    </a:graphicData>
                  </a:graphic>
                </wp:inline>
              </w:drawing>
            </w:r>
          </w:p>
        </w:tc>
        <w:tc>
          <w:tcPr>
            <w:tcW w:w="8855" w:type="dxa"/>
          </w:tcPr>
          <w:p w14:paraId="77854657" w14:textId="7BDE42BF" w:rsidR="003F3452" w:rsidRDefault="009D3BAB" w:rsidP="00F07452">
            <w:pPr>
              <w:pStyle w:val="BodyText"/>
            </w:pPr>
            <w:r>
              <w:t xml:space="preserve">What is the churn rate for </w:t>
            </w:r>
            <w:r w:rsidRPr="009D3BAB">
              <w:rPr>
                <w:b/>
                <w:bCs/>
              </w:rPr>
              <w:t>inactive</w:t>
            </w:r>
            <w:r>
              <w:t xml:space="preserve"> users of BenefitsCal?</w:t>
            </w:r>
          </w:p>
        </w:tc>
      </w:tr>
      <w:tr w:rsidR="003F3452" w14:paraId="14F54D10" w14:textId="77777777" w:rsidTr="001634E7">
        <w:tc>
          <w:tcPr>
            <w:tcW w:w="590" w:type="dxa"/>
          </w:tcPr>
          <w:p w14:paraId="46887A89" w14:textId="0F853AD8" w:rsidR="003F3452" w:rsidRDefault="00EF0949" w:rsidP="00EF0949">
            <w:pPr>
              <w:pStyle w:val="BodyText"/>
              <w:spacing w:after="0"/>
              <w:jc w:val="center"/>
            </w:pPr>
            <w:r>
              <w:rPr>
                <w:noProof/>
              </w:rPr>
              <w:drawing>
                <wp:inline distT="0" distB="0" distL="0" distR="0" wp14:anchorId="052F2A9E" wp14:editId="7027D20A">
                  <wp:extent cx="210442" cy="244800"/>
                  <wp:effectExtent l="0" t="0" r="0" b="3175"/>
                  <wp:docPr id="61131290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7467" cy="252972"/>
                          </a:xfrm>
                          <a:prstGeom prst="rect">
                            <a:avLst/>
                          </a:prstGeom>
                          <a:noFill/>
                        </pic:spPr>
                      </pic:pic>
                    </a:graphicData>
                  </a:graphic>
                </wp:inline>
              </w:drawing>
            </w:r>
          </w:p>
        </w:tc>
        <w:tc>
          <w:tcPr>
            <w:tcW w:w="8855" w:type="dxa"/>
          </w:tcPr>
          <w:p w14:paraId="7CD1BAB9" w14:textId="1D8D4698" w:rsidR="003F3452" w:rsidRDefault="00EF0949" w:rsidP="00F07452">
            <w:pPr>
              <w:pStyle w:val="BodyText"/>
            </w:pPr>
            <w:r>
              <w:t xml:space="preserve">How do these churn rates compare to the </w:t>
            </w:r>
            <w:r w:rsidRPr="00EF0949">
              <w:rPr>
                <w:b/>
                <w:bCs/>
              </w:rPr>
              <w:t>overall</w:t>
            </w:r>
            <w:r>
              <w:t xml:space="preserve"> churn rate?</w:t>
            </w:r>
          </w:p>
        </w:tc>
      </w:tr>
      <w:tr w:rsidR="00F70A3B" w14:paraId="0658E843" w14:textId="77777777" w:rsidTr="001634E7">
        <w:tc>
          <w:tcPr>
            <w:tcW w:w="590" w:type="dxa"/>
          </w:tcPr>
          <w:p w14:paraId="257A82ED" w14:textId="20C274BD" w:rsidR="00F70A3B" w:rsidRDefault="00F70A3B" w:rsidP="00F70A3B">
            <w:pPr>
              <w:pStyle w:val="BodyText"/>
              <w:spacing w:after="0"/>
              <w:jc w:val="center"/>
            </w:pPr>
            <w:r>
              <w:rPr>
                <w:noProof/>
              </w:rPr>
              <w:drawing>
                <wp:inline distT="0" distB="0" distL="0" distR="0" wp14:anchorId="5F054B37" wp14:editId="6923694A">
                  <wp:extent cx="216632" cy="252000"/>
                  <wp:effectExtent l="0" t="0" r="0" b="0"/>
                  <wp:docPr id="110717434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0745" cy="256784"/>
                          </a:xfrm>
                          <a:prstGeom prst="rect">
                            <a:avLst/>
                          </a:prstGeom>
                          <a:noFill/>
                        </pic:spPr>
                      </pic:pic>
                    </a:graphicData>
                  </a:graphic>
                </wp:inline>
              </w:drawing>
            </w:r>
          </w:p>
        </w:tc>
        <w:tc>
          <w:tcPr>
            <w:tcW w:w="8855" w:type="dxa"/>
          </w:tcPr>
          <w:p w14:paraId="67FD9563" w14:textId="35F8596F" w:rsidR="00F70A3B" w:rsidRDefault="00F70A3B" w:rsidP="00F07452">
            <w:pPr>
              <w:pStyle w:val="BodyText"/>
            </w:pPr>
            <w:r>
              <w:t xml:space="preserve">How do these churn rates compare to </w:t>
            </w:r>
            <w:r w:rsidRPr="00EF0949">
              <w:rPr>
                <w:b/>
                <w:bCs/>
              </w:rPr>
              <w:t>non-BenefitsCal</w:t>
            </w:r>
            <w:r>
              <w:t xml:space="preserve"> users?</w:t>
            </w:r>
          </w:p>
        </w:tc>
      </w:tr>
      <w:tr w:rsidR="003F3452" w14:paraId="2C420B01" w14:textId="77777777" w:rsidTr="001634E7">
        <w:tc>
          <w:tcPr>
            <w:tcW w:w="590" w:type="dxa"/>
          </w:tcPr>
          <w:p w14:paraId="219A0A0C" w14:textId="2AA4DE42" w:rsidR="003F3452" w:rsidRDefault="006B4898" w:rsidP="006B4898">
            <w:pPr>
              <w:pStyle w:val="BodyText"/>
              <w:jc w:val="center"/>
            </w:pPr>
            <w:r>
              <w:rPr>
                <w:noProof/>
              </w:rPr>
              <w:drawing>
                <wp:inline distT="0" distB="0" distL="0" distR="0" wp14:anchorId="11EF5E46" wp14:editId="2700642B">
                  <wp:extent cx="223200" cy="259641"/>
                  <wp:effectExtent l="0" t="0" r="5715" b="7620"/>
                  <wp:docPr id="114139545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6183" cy="263110"/>
                          </a:xfrm>
                          <a:prstGeom prst="rect">
                            <a:avLst/>
                          </a:prstGeom>
                          <a:noFill/>
                        </pic:spPr>
                      </pic:pic>
                    </a:graphicData>
                  </a:graphic>
                </wp:inline>
              </w:drawing>
            </w:r>
          </w:p>
        </w:tc>
        <w:tc>
          <w:tcPr>
            <w:tcW w:w="8855" w:type="dxa"/>
          </w:tcPr>
          <w:p w14:paraId="2D8040C8" w14:textId="6358C3D9" w:rsidR="003F3452" w:rsidRDefault="00EF0949" w:rsidP="00F07452">
            <w:pPr>
              <w:pStyle w:val="BodyText"/>
            </w:pPr>
            <w:r>
              <w:t xml:space="preserve">What are the main reasons </w:t>
            </w:r>
            <w:r w:rsidRPr="00EF0949">
              <w:rPr>
                <w:b/>
                <w:bCs/>
              </w:rPr>
              <w:t>BenefitsCal users</w:t>
            </w:r>
            <w:r>
              <w:t xml:space="preserve"> who re-establish eligibility were terminated?</w:t>
            </w:r>
          </w:p>
        </w:tc>
      </w:tr>
      <w:tr w:rsidR="003F3452" w14:paraId="3AC87BE1" w14:textId="77777777" w:rsidTr="001634E7">
        <w:tc>
          <w:tcPr>
            <w:tcW w:w="590" w:type="dxa"/>
          </w:tcPr>
          <w:p w14:paraId="7CACF0BD" w14:textId="570C9389" w:rsidR="003F3452" w:rsidRDefault="00F15D9B" w:rsidP="00F15D9B">
            <w:pPr>
              <w:pStyle w:val="BodyText"/>
              <w:spacing w:after="0"/>
              <w:jc w:val="center"/>
            </w:pPr>
            <w:r>
              <w:rPr>
                <w:noProof/>
              </w:rPr>
              <w:drawing>
                <wp:inline distT="0" distB="0" distL="0" distR="0" wp14:anchorId="1884DF3D" wp14:editId="3C74F34A">
                  <wp:extent cx="237600" cy="276392"/>
                  <wp:effectExtent l="0" t="0" r="0" b="9525"/>
                  <wp:docPr id="37787859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0799" cy="280113"/>
                          </a:xfrm>
                          <a:prstGeom prst="rect">
                            <a:avLst/>
                          </a:prstGeom>
                          <a:noFill/>
                        </pic:spPr>
                      </pic:pic>
                    </a:graphicData>
                  </a:graphic>
                </wp:inline>
              </w:drawing>
            </w:r>
          </w:p>
        </w:tc>
        <w:tc>
          <w:tcPr>
            <w:tcW w:w="8855" w:type="dxa"/>
          </w:tcPr>
          <w:p w14:paraId="119C7887" w14:textId="0BAAD326" w:rsidR="003F3452" w:rsidRDefault="00EF0949" w:rsidP="00F07452">
            <w:pPr>
              <w:pStyle w:val="BodyText"/>
            </w:pPr>
            <w:r>
              <w:t xml:space="preserve">What are the main reasons </w:t>
            </w:r>
            <w:r w:rsidRPr="00EF0949">
              <w:rPr>
                <w:b/>
                <w:bCs/>
              </w:rPr>
              <w:t>non-BenefitsCal users</w:t>
            </w:r>
            <w:r>
              <w:t xml:space="preserve"> who re-establish eligibility were terminated?</w:t>
            </w:r>
          </w:p>
        </w:tc>
      </w:tr>
    </w:tbl>
    <w:p w14:paraId="4C5334C0" w14:textId="47A30BD6" w:rsidR="00F07452" w:rsidRDefault="00F07452" w:rsidP="00F07452">
      <w:pPr>
        <w:pStyle w:val="BodyText"/>
      </w:pPr>
      <w:r>
        <w:t xml:space="preserve">In a multi-contractor environment, it is also important to not “repeat” innovations, but rather to coordinate projects across the larger organization. The CalSAWS Innovation Team has a key role in making sure innovation efforts are leveraged in other areas of the CalSAWS project as applicable. </w:t>
      </w:r>
      <w:r w:rsidR="00D65A52">
        <w:t xml:space="preserve">The </w:t>
      </w:r>
      <w:r>
        <w:t xml:space="preserve">Gainwell </w:t>
      </w:r>
      <w:r w:rsidR="00D65A52">
        <w:t>Product Manager</w:t>
      </w:r>
      <w:r>
        <w:t xml:space="preserve"> coordinates with both the CalSAWS Innovation Team and the Delivery Integration Team to raise awareness of innovation projects among all contractors and to explore if particular innovation projects may be applicable to other areas.</w:t>
      </w:r>
    </w:p>
    <w:p w14:paraId="65FBFD89" w14:textId="2D30D6A0" w:rsidR="001237A7" w:rsidRDefault="00EF0A57" w:rsidP="001237A7">
      <w:pPr>
        <w:pStyle w:val="BodyText"/>
      </w:pPr>
      <w:r>
        <w:t>Our participation and support of the CalSAWS Innovation Team, including recommendations for evolving the team are listed</w:t>
      </w:r>
      <w:r w:rsidR="0042257E">
        <w:t xml:space="preserve"> on the figure</w:t>
      </w:r>
      <w:r>
        <w:t xml:space="preserve"> below.</w:t>
      </w:r>
    </w:p>
    <w:p w14:paraId="2065A0C5" w14:textId="1842493F" w:rsidR="008F5484" w:rsidRDefault="008F5484" w:rsidP="004339C5">
      <w:pPr>
        <w:pStyle w:val="FigureCaptionAuto"/>
      </w:pPr>
      <w:bookmarkStart w:id="109" w:name="_Toc173187538"/>
      <w:r>
        <w:lastRenderedPageBreak/>
        <w:t>CalSAWS Innovation Team Support and Recommendations</w:t>
      </w:r>
      <w:bookmarkEnd w:id="109"/>
    </w:p>
    <w:p w14:paraId="46FE8457" w14:textId="6DE5A1A8" w:rsidR="00EF0A57" w:rsidRPr="00A5562B" w:rsidRDefault="009716F8" w:rsidP="001237A7">
      <w:pPr>
        <w:pStyle w:val="BodyText"/>
      </w:pPr>
      <w:r w:rsidRPr="00A5562B">
        <w:rPr>
          <w:noProof/>
          <w:szCs w:val="22"/>
          <w14:ligatures w14:val="standardContextual"/>
        </w:rPr>
        <w:drawing>
          <wp:inline distT="0" distB="0" distL="0" distR="0" wp14:anchorId="1D779AF3" wp14:editId="178C0C3B">
            <wp:extent cx="5486400" cy="4294618"/>
            <wp:effectExtent l="19050" t="0" r="38100" b="10795"/>
            <wp:docPr id="55338373"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6" r:lo="rId117" r:qs="rId118" r:cs="rId119"/>
              </a:graphicData>
            </a:graphic>
          </wp:inline>
        </w:drawing>
      </w:r>
    </w:p>
    <w:p w14:paraId="36ED5BF5" w14:textId="77777777" w:rsidR="001237A7" w:rsidRDefault="001237A7" w:rsidP="001237A7">
      <w:pPr>
        <w:pStyle w:val="BodyText"/>
      </w:pPr>
    </w:p>
    <w:p w14:paraId="5DA58480" w14:textId="77777777" w:rsidR="00F527A0" w:rsidRDefault="00F527A0">
      <w:pPr>
        <w:spacing w:after="160" w:line="259" w:lineRule="auto"/>
        <w:rPr>
          <w:b/>
          <w:bCs/>
          <w:color w:val="2B3A44"/>
          <w:sz w:val="32"/>
          <w:szCs w:val="32"/>
        </w:rPr>
      </w:pPr>
      <w:bookmarkStart w:id="110" w:name="_Toc172704165"/>
      <w:r>
        <w:br w:type="page"/>
      </w:r>
    </w:p>
    <w:p w14:paraId="59D6FDB2" w14:textId="447E8CA6" w:rsidR="001237A7" w:rsidRDefault="001E24C3" w:rsidP="000B5EB6">
      <w:pPr>
        <w:pStyle w:val="HeadingManual2"/>
      </w:pPr>
      <w:bookmarkStart w:id="111" w:name="_Toc173187498"/>
      <w:r>
        <w:lastRenderedPageBreak/>
        <w:t>4.4</w:t>
      </w:r>
      <w:r w:rsidR="000B5EB6">
        <w:tab/>
      </w:r>
      <w:r w:rsidR="001237A7">
        <w:t>User Experience, Marketing, and Public Communications</w:t>
      </w:r>
      <w:bookmarkEnd w:id="110"/>
      <w:r w:rsidR="00347A14">
        <w:t xml:space="preserve"> (5.2.3.4)</w:t>
      </w:r>
      <w:bookmarkEnd w:id="111"/>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1237A7" w14:paraId="07DEAB19" w14:textId="77777777" w:rsidTr="001237A7">
        <w:tc>
          <w:tcPr>
            <w:tcW w:w="9350" w:type="dxa"/>
            <w:shd w:val="clear" w:color="auto" w:fill="EBEDF5"/>
          </w:tcPr>
          <w:tbl>
            <w:tblPr>
              <w:tblW w:w="9072" w:type="dxa"/>
              <w:tblLook w:val="04A0" w:firstRow="1" w:lastRow="0" w:firstColumn="1" w:lastColumn="0" w:noHBand="0" w:noVBand="1"/>
            </w:tblPr>
            <w:tblGrid>
              <w:gridCol w:w="990"/>
              <w:gridCol w:w="8082"/>
            </w:tblGrid>
            <w:tr w:rsidR="001237A7" w:rsidRPr="00A7028F" w14:paraId="0CDFCD96" w14:textId="77777777" w:rsidTr="00345D08">
              <w:trPr>
                <w:trHeight w:val="300"/>
              </w:trPr>
              <w:tc>
                <w:tcPr>
                  <w:tcW w:w="990" w:type="dxa"/>
                  <w:shd w:val="clear" w:color="auto" w:fill="auto"/>
                  <w:noWrap/>
                </w:tcPr>
                <w:p w14:paraId="1D6892DF" w14:textId="77777777" w:rsidR="001237A7" w:rsidRPr="00A7028F" w:rsidRDefault="001237A7" w:rsidP="00345D08">
                  <w:pPr>
                    <w:pStyle w:val="ReqNo"/>
                    <w:framePr w:wrap="around"/>
                  </w:pPr>
                </w:p>
              </w:tc>
              <w:tc>
                <w:tcPr>
                  <w:tcW w:w="8082" w:type="dxa"/>
                  <w:shd w:val="clear" w:color="auto" w:fill="auto"/>
                </w:tcPr>
                <w:p w14:paraId="4FD72CD5" w14:textId="77777777" w:rsidR="001237A7" w:rsidRPr="00A7028F" w:rsidRDefault="001237A7" w:rsidP="00345D08">
                  <w:pPr>
                    <w:pStyle w:val="BodyText0"/>
                    <w:framePr w:wrap="around"/>
                  </w:pPr>
                  <w:r w:rsidRPr="00FC3BDF">
                    <w:t>Describe your approach to engaging the counties</w:t>
                  </w:r>
                  <w:r>
                    <w:t xml:space="preserve">, CBOs, State Partners and Stakeholders, as appropriate, </w:t>
                  </w:r>
                  <w:r w:rsidRPr="00FC3BDF">
                    <w:t>to enhance the integration of the BenefitsCal application with the</w:t>
                  </w:r>
                  <w:r>
                    <w:t xml:space="preserve"> C</w:t>
                  </w:r>
                  <w:r w:rsidRPr="00FC3BDF">
                    <w:t>ounty processes.</w:t>
                  </w:r>
                </w:p>
              </w:tc>
            </w:tr>
          </w:tbl>
          <w:p w14:paraId="327D3172" w14:textId="77777777" w:rsidR="001237A7" w:rsidRDefault="001237A7" w:rsidP="001237A7">
            <w:pPr>
              <w:pStyle w:val="BodyText0"/>
              <w:framePr w:hSpace="0" w:wrap="auto" w:vAnchor="margin" w:yAlign="inline"/>
              <w:suppressOverlap w:val="0"/>
            </w:pPr>
          </w:p>
        </w:tc>
      </w:tr>
    </w:tbl>
    <w:p w14:paraId="17275836" w14:textId="58321F6D" w:rsidR="00332C18" w:rsidRDefault="008658FB" w:rsidP="001237A7">
      <w:pPr>
        <w:pStyle w:val="BodyText"/>
      </w:pPr>
      <w:r>
        <w:t xml:space="preserve">Improving communication with the public and with the </w:t>
      </w:r>
      <w:r w:rsidR="005754CF">
        <w:t>BenefitsCal</w:t>
      </w:r>
      <w:r>
        <w:t xml:space="preserve"> stakeholders is a cornerstone to </w:t>
      </w:r>
      <w:r w:rsidR="007843B2">
        <w:t xml:space="preserve">increasing </w:t>
      </w:r>
      <w:r>
        <w:t>public awareness of BenefitsCal and increas</w:t>
      </w:r>
      <w:r w:rsidR="007843B2">
        <w:t>ing</w:t>
      </w:r>
      <w:r>
        <w:t xml:space="preserve"> adoption and engagement</w:t>
      </w:r>
      <w:r w:rsidR="005942F8">
        <w:t xml:space="preserve">. </w:t>
      </w:r>
    </w:p>
    <w:p w14:paraId="23ED5557" w14:textId="732933DC" w:rsidR="008658FB" w:rsidRDefault="00871442" w:rsidP="001237A7">
      <w:pPr>
        <w:pStyle w:val="BodyText"/>
      </w:pPr>
      <w:r>
        <w:t>By enhancing the integration of BenefitsCal with County processes, the County’s activities can have the secondary effect of increasing public awareness</w:t>
      </w:r>
      <w:r w:rsidR="005942F8">
        <w:t xml:space="preserve">. </w:t>
      </w:r>
      <w:r w:rsidR="004C3EA2">
        <w:t>For example, by increasing County staff exposure to</w:t>
      </w:r>
      <w:r w:rsidR="00C872F5">
        <w:t>,</w:t>
      </w:r>
      <w:r w:rsidR="004C3EA2">
        <w:t xml:space="preserve"> and understanding of</w:t>
      </w:r>
      <w:r w:rsidR="00C872F5">
        <w:t>,</w:t>
      </w:r>
      <w:r w:rsidR="004C3EA2">
        <w:t xml:space="preserve"> the BenefitsCal application, </w:t>
      </w:r>
      <w:r w:rsidR="00C872F5">
        <w:t>County staff can advocate for BenefitsCal usage with customers.</w:t>
      </w:r>
    </w:p>
    <w:p w14:paraId="44665C6E" w14:textId="5B59890F" w:rsidR="008B2E9F" w:rsidRDefault="008B2E9F" w:rsidP="001237A7">
      <w:pPr>
        <w:pStyle w:val="BodyText"/>
      </w:pPr>
      <w:r>
        <w:t xml:space="preserve">The Collaboration Model </w:t>
      </w:r>
      <w:r w:rsidR="00D25540">
        <w:t xml:space="preserve">engages </w:t>
      </w:r>
      <w:r w:rsidR="001C57B3">
        <w:t xml:space="preserve">customers, </w:t>
      </w:r>
      <w:r w:rsidR="00D25540">
        <w:t xml:space="preserve">the Counties, CBOs, State </w:t>
      </w:r>
      <w:r w:rsidR="005942F8">
        <w:t>Partners,</w:t>
      </w:r>
      <w:r w:rsidR="00D25540">
        <w:t xml:space="preserve"> and other Stakeholders </w:t>
      </w:r>
      <w:r w:rsidR="001C57B3">
        <w:t xml:space="preserve">to further the functionality of BenefitsCal through the introduction of system changes. The </w:t>
      </w:r>
      <w:r w:rsidR="006F67B6">
        <w:t>Collaboration Model supports customer engagement and prioritization</w:t>
      </w:r>
      <w:r w:rsidR="00260ADF">
        <w:t xml:space="preserve"> of </w:t>
      </w:r>
      <w:r w:rsidR="005754CF">
        <w:t xml:space="preserve">system </w:t>
      </w:r>
      <w:r w:rsidR="00260ADF">
        <w:t>changes. However, the Collaboration Model is not focused on integrating BenefitsCal with County processes which is a different goal</w:t>
      </w:r>
      <w:r w:rsidR="006D5D34">
        <w:t xml:space="preserve"> than enhancing system functionality.</w:t>
      </w:r>
    </w:p>
    <w:p w14:paraId="2CEE89F7" w14:textId="0A405943" w:rsidR="00B90BE1" w:rsidRPr="00712930" w:rsidRDefault="005103B3" w:rsidP="001237A7">
      <w:pPr>
        <w:pStyle w:val="BodyText"/>
        <w:rPr>
          <w:szCs w:val="22"/>
        </w:rPr>
      </w:pPr>
      <w:r>
        <w:rPr>
          <w:noProof/>
        </w:rPr>
        <w:drawing>
          <wp:anchor distT="0" distB="0" distL="114300" distR="114300" simplePos="0" relativeHeight="251658275" behindDoc="0" locked="0" layoutInCell="1" allowOverlap="1" wp14:anchorId="0E21B410" wp14:editId="44D2524D">
            <wp:simplePos x="0" y="0"/>
            <wp:positionH relativeFrom="margin">
              <wp:align>right</wp:align>
            </wp:positionH>
            <wp:positionV relativeFrom="paragraph">
              <wp:posOffset>530860</wp:posOffset>
            </wp:positionV>
            <wp:extent cx="1958975" cy="668655"/>
            <wp:effectExtent l="0" t="0" r="3175" b="0"/>
            <wp:wrapSquare wrapText="bothSides"/>
            <wp:docPr id="15103748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58975" cy="668655"/>
                    </a:xfrm>
                    <a:prstGeom prst="rect">
                      <a:avLst/>
                    </a:prstGeom>
                    <a:noFill/>
                  </pic:spPr>
                </pic:pic>
              </a:graphicData>
            </a:graphic>
            <wp14:sizeRelH relativeFrom="page">
              <wp14:pctWidth>0</wp14:pctWidth>
            </wp14:sizeRelH>
            <wp14:sizeRelV relativeFrom="page">
              <wp14:pctHeight>0</wp14:pctHeight>
            </wp14:sizeRelV>
          </wp:anchor>
        </w:drawing>
      </w:r>
      <w:r w:rsidR="00B90BE1">
        <w:t xml:space="preserve">The goal of the approach described in this subsection is to enhance </w:t>
      </w:r>
      <w:r w:rsidR="00B90BE1" w:rsidRPr="006D5ED9">
        <w:rPr>
          <w:b/>
          <w:bCs/>
        </w:rPr>
        <w:t>the integration of the BenefitsCal application with the County processes</w:t>
      </w:r>
      <w:r w:rsidR="00B90BE1">
        <w:t xml:space="preserve">. This goal is dependent on </w:t>
      </w:r>
      <w:r w:rsidR="00C6249B">
        <w:rPr>
          <w:szCs w:val="22"/>
        </w:rPr>
        <w:t>increasing</w:t>
      </w:r>
      <w:r w:rsidR="00B90BE1" w:rsidRPr="00E53EE1">
        <w:rPr>
          <w:szCs w:val="22"/>
        </w:rPr>
        <w:t xml:space="preserve"> communication between the CalSAWS BenefitsCal project and the Counties.</w:t>
      </w:r>
      <w:r w:rsidR="00E53EE1" w:rsidRPr="00E53EE1">
        <w:rPr>
          <w:szCs w:val="22"/>
        </w:rPr>
        <w:t xml:space="preserve"> </w:t>
      </w:r>
      <w:r w:rsidR="00E53EE1" w:rsidRPr="005103B3">
        <w:rPr>
          <w:szCs w:val="22"/>
        </w:rPr>
        <w:t xml:space="preserve">County staff who experience the </w:t>
      </w:r>
      <w:r w:rsidR="00C6249B">
        <w:rPr>
          <w:szCs w:val="22"/>
        </w:rPr>
        <w:t>benefits</w:t>
      </w:r>
      <w:r w:rsidR="00E53EE1" w:rsidRPr="005103B3">
        <w:rPr>
          <w:szCs w:val="22"/>
        </w:rPr>
        <w:t xml:space="preserve"> of successfully integrating BenefitsCal into County processes become </w:t>
      </w:r>
      <w:r w:rsidR="00E53EE1" w:rsidRPr="005103B3">
        <w:rPr>
          <w:b/>
          <w:bCs/>
          <w:szCs w:val="22"/>
        </w:rPr>
        <w:t>champions of BenefitsCal customer adoption naturally</w:t>
      </w:r>
      <w:r w:rsidR="00E53EE1" w:rsidRPr="005103B3">
        <w:rPr>
          <w:szCs w:val="22"/>
        </w:rPr>
        <w:t>.</w:t>
      </w:r>
    </w:p>
    <w:p w14:paraId="09162952" w14:textId="3B7023E1" w:rsidR="00B90BE1" w:rsidRPr="00C21EC4" w:rsidRDefault="006D5D34" w:rsidP="001237A7">
      <w:pPr>
        <w:pStyle w:val="BodyText"/>
      </w:pPr>
      <w:r>
        <w:t xml:space="preserve">Increasing BenefitsCal integration with County processes </w:t>
      </w:r>
      <w:r w:rsidR="00AE4C81">
        <w:t xml:space="preserve">requires a clear understanding of the pain points typically experienced by County staff when </w:t>
      </w:r>
      <w:r w:rsidR="001C76F0">
        <w:t>receiving applications or other information through the BenefitsCal channel</w:t>
      </w:r>
      <w:r w:rsidR="00522208">
        <w:t xml:space="preserve">. </w:t>
      </w:r>
      <w:r w:rsidR="00665CC2">
        <w:t xml:space="preserve">This understanding must also be broad enough to </w:t>
      </w:r>
      <w:r w:rsidR="00E22FFB">
        <w:t>incorporate</w:t>
      </w:r>
      <w:r w:rsidR="00665CC2">
        <w:t xml:space="preserve"> concerns </w:t>
      </w:r>
      <w:r w:rsidR="00E22FFB">
        <w:t>of CBOs, State partners</w:t>
      </w:r>
      <w:r w:rsidR="00D05D44">
        <w:t>,</w:t>
      </w:r>
      <w:r w:rsidR="00E22FFB">
        <w:t xml:space="preserve"> and other stakeholders</w:t>
      </w:r>
      <w:r w:rsidR="005942F8">
        <w:t xml:space="preserve">. </w:t>
      </w:r>
      <w:r w:rsidR="00522208">
        <w:t xml:space="preserve">These </w:t>
      </w:r>
      <w:r w:rsidR="00525C0F">
        <w:t>pain points provide avenues of research to enhance BenefitsCal, reduce County workload or suggest modifications to County processes to provide the maximum value to customers</w:t>
      </w:r>
      <w:r w:rsidR="00B36170">
        <w:t>.</w:t>
      </w:r>
      <w:r w:rsidR="00C21EC4">
        <w:t xml:space="preserve"> </w:t>
      </w:r>
    </w:p>
    <w:p w14:paraId="28088D52" w14:textId="73CFC5F5" w:rsidR="00A6319B" w:rsidRDefault="00D05D44" w:rsidP="001237A7">
      <w:pPr>
        <w:pStyle w:val="BodyText"/>
      </w:pPr>
      <w:r>
        <w:t xml:space="preserve">We begin the process of understanding </w:t>
      </w:r>
      <w:r w:rsidR="007563A7">
        <w:t xml:space="preserve">County process integration with BenefitsCal </w:t>
      </w:r>
      <w:r w:rsidR="00F56952">
        <w:t>through discussion with the Regional Managers. Regional Managers often have insigh</w:t>
      </w:r>
      <w:r w:rsidR="00605536">
        <w:t>t into areas of concern that will help to target our research</w:t>
      </w:r>
      <w:r w:rsidR="005942F8">
        <w:t xml:space="preserve">. </w:t>
      </w:r>
      <w:r w:rsidR="00605536">
        <w:t>We will also access any documentation including County Enhancement Requests (CERs) which may be related to underlying</w:t>
      </w:r>
      <w:r w:rsidR="00A6319B">
        <w:t xml:space="preserve"> process integration friction. </w:t>
      </w:r>
    </w:p>
    <w:p w14:paraId="662E7C40" w14:textId="06F2097B" w:rsidR="00CF6FC5" w:rsidRDefault="00652F26" w:rsidP="001237A7">
      <w:pPr>
        <w:pStyle w:val="BodyText"/>
      </w:pPr>
      <w:r>
        <w:lastRenderedPageBreak/>
        <w:t xml:space="preserve">To understand </w:t>
      </w:r>
      <w:r w:rsidR="009F2198">
        <w:t xml:space="preserve">the pain points experienced by Counties related to integration of BenefitsCal into their processes, Gainwell will </w:t>
      </w:r>
      <w:r w:rsidR="009F2198" w:rsidRPr="00A8143D">
        <w:rPr>
          <w:b/>
          <w:bCs/>
        </w:rPr>
        <w:t>conduct a process discovery session</w:t>
      </w:r>
      <w:r w:rsidR="00C25475">
        <w:t xml:space="preserve">. </w:t>
      </w:r>
      <w:r w:rsidR="0002488D">
        <w:t xml:space="preserve">We </w:t>
      </w:r>
      <w:r w:rsidR="009F2198">
        <w:t>will work with the Consortium to identify County</w:t>
      </w:r>
      <w:r w:rsidR="00CF6FC5">
        <w:t xml:space="preserve"> participants</w:t>
      </w:r>
      <w:r w:rsidR="005942F8">
        <w:t xml:space="preserve">. </w:t>
      </w:r>
      <w:r w:rsidR="00CF6FC5">
        <w:t xml:space="preserve">We will also collaborate with the Consortium and selected Counties to identify CBO, State partner and other </w:t>
      </w:r>
      <w:r w:rsidR="009F2198">
        <w:t>Stakeholder participants</w:t>
      </w:r>
      <w:r w:rsidR="00CF6FC5">
        <w:t>, appropriate</w:t>
      </w:r>
      <w:r w:rsidR="009F2198">
        <w:t xml:space="preserve">. </w:t>
      </w:r>
    </w:p>
    <w:p w14:paraId="4F23BFBA" w14:textId="4A4F7B00" w:rsidR="00B36170" w:rsidRDefault="009F2198" w:rsidP="001237A7">
      <w:pPr>
        <w:pStyle w:val="BodyText"/>
      </w:pPr>
      <w:r>
        <w:t xml:space="preserve">Gainwell will facilitate the process discovery sessions </w:t>
      </w:r>
      <w:r w:rsidR="00BD421C">
        <w:t>to document current County process integration, identify pain points and capture suggestions to either enhance BenefitsCal</w:t>
      </w:r>
      <w:r w:rsidR="006445EB">
        <w:t xml:space="preserve">, </w:t>
      </w:r>
      <w:r w:rsidR="00BD421C">
        <w:t>improve processes to reduce County workload</w:t>
      </w:r>
      <w:r w:rsidR="006445EB">
        <w:t>,</w:t>
      </w:r>
      <w:r w:rsidR="00BD421C">
        <w:t xml:space="preserve"> and</w:t>
      </w:r>
      <w:r w:rsidR="006445EB">
        <w:t>/or</w:t>
      </w:r>
      <w:r w:rsidR="00BD421C">
        <w:t xml:space="preserve"> improve the BenefitsCal customer’s experience.</w:t>
      </w:r>
    </w:p>
    <w:p w14:paraId="13A7D15C" w14:textId="2450400C" w:rsidR="00BD421C" w:rsidRDefault="00221182" w:rsidP="001237A7">
      <w:pPr>
        <w:pStyle w:val="BodyText"/>
      </w:pPr>
      <w:r>
        <w:rPr>
          <w:noProof/>
        </w:rPr>
        <w:drawing>
          <wp:anchor distT="0" distB="0" distL="114300" distR="114300" simplePos="0" relativeHeight="251658272" behindDoc="0" locked="0" layoutInCell="1" allowOverlap="1" wp14:anchorId="62AFD37A" wp14:editId="3E68915C">
            <wp:simplePos x="0" y="0"/>
            <wp:positionH relativeFrom="column">
              <wp:posOffset>3457575</wp:posOffset>
            </wp:positionH>
            <wp:positionV relativeFrom="paragraph">
              <wp:posOffset>3810</wp:posOffset>
            </wp:positionV>
            <wp:extent cx="2248535" cy="815975"/>
            <wp:effectExtent l="0" t="0" r="0" b="3175"/>
            <wp:wrapSquare wrapText="bothSides"/>
            <wp:docPr id="202303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8535" cy="815975"/>
                    </a:xfrm>
                    <a:prstGeom prst="rect">
                      <a:avLst/>
                    </a:prstGeom>
                    <a:noFill/>
                  </pic:spPr>
                </pic:pic>
              </a:graphicData>
            </a:graphic>
            <wp14:sizeRelH relativeFrom="page">
              <wp14:pctWidth>0</wp14:pctWidth>
            </wp14:sizeRelH>
            <wp14:sizeRelV relativeFrom="page">
              <wp14:pctHeight>0</wp14:pctHeight>
            </wp14:sizeRelV>
          </wp:anchor>
        </w:drawing>
      </w:r>
      <w:r w:rsidR="007C631D">
        <w:t xml:space="preserve">Additionally, best practices will be identified for communication to all Counties along with a suggested workflow that may be used by each County to consider potential changes </w:t>
      </w:r>
      <w:r w:rsidR="00565FD7">
        <w:t>based on their</w:t>
      </w:r>
      <w:r w:rsidR="007C631D">
        <w:t xml:space="preserve"> unique workflows.</w:t>
      </w:r>
    </w:p>
    <w:p w14:paraId="40179EA4" w14:textId="762F1E02" w:rsidR="003A5E70" w:rsidRDefault="00D73B3C" w:rsidP="003A5E70">
      <w:pPr>
        <w:pStyle w:val="BodyText"/>
      </w:pPr>
      <w:r>
        <w:t>Gainwell has significant experience in coordinating with Counties and other Stakeholders to enhance County processes</w:t>
      </w:r>
      <w:r w:rsidR="005942F8">
        <w:t xml:space="preserve">. </w:t>
      </w:r>
    </w:p>
    <w:p w14:paraId="0F6467F1" w14:textId="5474FA39" w:rsidR="00FF2C11" w:rsidRDefault="00E612A6" w:rsidP="00FF2C11">
      <w:pPr>
        <w:pStyle w:val="BodyText"/>
      </w:pPr>
      <w:r w:rsidRPr="00FF2C11">
        <w:t>Gainwell’s experience</w:t>
      </w:r>
      <w:r w:rsidR="007F55E0" w:rsidRPr="00FF2C11">
        <w:t xml:space="preserve"> also</w:t>
      </w:r>
      <w:r w:rsidRPr="00FF2C11">
        <w:t xml:space="preserve"> includes providing a California human services portal for customers in 18 California Counties through the MyBenefitsCalWIN (MyBCW) portal</w:t>
      </w:r>
      <w:r w:rsidR="005942F8" w:rsidRPr="00FF2C11">
        <w:t xml:space="preserve">. </w:t>
      </w:r>
      <w:r w:rsidRPr="00FF2C11">
        <w:t>Though this portal has been retired with the consolidation of the SAWS into CalSAWS, MyBCW was an award-winning portal that provided similar functionality as BenefitsCal to many of the same customers</w:t>
      </w:r>
      <w:r w:rsidR="005942F8" w:rsidRPr="00FF2C11">
        <w:t xml:space="preserve">. </w:t>
      </w:r>
    </w:p>
    <w:p w14:paraId="7E03265E" w14:textId="1C414799" w:rsidR="00E612A6" w:rsidRPr="00FF2C11" w:rsidRDefault="00E612A6" w:rsidP="00FF2C11">
      <w:pPr>
        <w:pStyle w:val="BodyText"/>
      </w:pPr>
      <w:r w:rsidRPr="00FF2C11">
        <w:t>This experience with the same customer base, CBOs, advocates, and State partners means we understand the environment in which BenefitsCal operates and have the vision to anticipate potential roadblocks or the need for increased collaboration.</w:t>
      </w:r>
    </w:p>
    <w:p w14:paraId="1A6D0EBD" w14:textId="287D1295" w:rsidR="00955357" w:rsidRDefault="007F55E0" w:rsidP="00EE488E">
      <w:pPr>
        <w:pStyle w:val="BodyText"/>
      </w:pPr>
      <w:r>
        <w:rPr>
          <w:noProof/>
          <w14:ligatures w14:val="standardContextual"/>
        </w:rPr>
        <mc:AlternateContent>
          <mc:Choice Requires="wps">
            <w:drawing>
              <wp:anchor distT="0" distB="0" distL="114300" distR="114300" simplePos="0" relativeHeight="251658270" behindDoc="0" locked="0" layoutInCell="1" allowOverlap="1" wp14:anchorId="5A2C1EFA" wp14:editId="7C0DEB23">
                <wp:simplePos x="0" y="0"/>
                <wp:positionH relativeFrom="margin">
                  <wp:align>left</wp:align>
                </wp:positionH>
                <wp:positionV relativeFrom="paragraph">
                  <wp:posOffset>109074</wp:posOffset>
                </wp:positionV>
                <wp:extent cx="5899785" cy="28575"/>
                <wp:effectExtent l="0" t="0" r="24765" b="28575"/>
                <wp:wrapNone/>
                <wp:docPr id="101618578" name="Straight Connector 23"/>
                <wp:cNvGraphicFramePr/>
                <a:graphic xmlns:a="http://schemas.openxmlformats.org/drawingml/2006/main">
                  <a:graphicData uri="http://schemas.microsoft.com/office/word/2010/wordprocessingShape">
                    <wps:wsp>
                      <wps:cNvCnPr/>
                      <wps:spPr>
                        <a:xfrm flipV="1">
                          <a:off x="0" y="0"/>
                          <a:ext cx="5899785" cy="28575"/>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anchor>
            </w:drawing>
          </mc:Choice>
          <mc:Fallback xmlns:dgm="http://schemas.openxmlformats.org/drawingml/2006/diagram" xmlns:asvg="http://schemas.microsoft.com/office/drawing/2016/SVG/main" xmlns:a14="http://schemas.microsoft.com/office/drawing/2010/main" xmlns:pic="http://schemas.openxmlformats.org/drawingml/2006/picture" xmlns:a16="http://schemas.microsoft.com/office/drawing/2014/main" xmlns:a="http://schemas.openxmlformats.org/drawingml/2006/main">
            <w:pict w14:anchorId="74674C24">
              <v:line id="Straight Connector 23" style="position:absolute;flip:y;z-index:251658270;visibility:visible;mso-wrap-style:square;mso-wrap-distance-left:9pt;mso-wrap-distance-top:0;mso-wrap-distance-right:9pt;mso-wrap-distance-bottom:0;mso-position-horizontal:left;mso-position-horizontal-relative:margin;mso-position-vertical:absolute;mso-position-vertical-relative:text" o:spid="_x0000_s1026" strokecolor="#0f9ed5 [3207]" strokeweight="1pt" from="0,8.6pt" to="464.55pt,10.85pt" w14:anchorId="472BA3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">
                <v:stroke joinstyle="miter"/>
                <w10:wrap anchorx="margin"/>
              </v:line>
            </w:pict>
          </mc:Fallback>
        </mc:AlternateContent>
      </w:r>
    </w:p>
    <w:p w14:paraId="21838D4F" w14:textId="4C4E2772" w:rsidR="00E81F3D" w:rsidRDefault="00955357" w:rsidP="00EE488E">
      <w:pPr>
        <w:pStyle w:val="BodyText"/>
      </w:pPr>
      <w:r w:rsidRPr="000F09BE">
        <w:rPr>
          <w:b/>
          <w:bCs/>
        </w:rPr>
        <w:t>Enhancing County Processes.</w:t>
      </w:r>
      <w:r>
        <w:t xml:space="preserve"> </w:t>
      </w:r>
      <w:r w:rsidR="00D73B3C">
        <w:t xml:space="preserve">For the County of </w:t>
      </w:r>
      <w:r w:rsidR="00D73B3C" w:rsidRPr="00D73B3C">
        <w:t>Sacramento Human Services Agency</w:t>
      </w:r>
      <w:r w:rsidR="004D02B9">
        <w:t xml:space="preserve"> (HS</w:t>
      </w:r>
      <w:r w:rsidR="0002488D">
        <w:t>A</w:t>
      </w:r>
      <w:r w:rsidR="004D02B9">
        <w:t>)</w:t>
      </w:r>
      <w:r w:rsidR="00EF740C">
        <w:t>, Gainwell led sessions</w:t>
      </w:r>
      <w:r w:rsidR="00D73B3C" w:rsidRPr="00D73B3C">
        <w:t xml:space="preserve"> to reengineer their service delivery related to customer experience, intake, application processing, and employment services</w:t>
      </w:r>
      <w:r w:rsidR="00EF740C">
        <w:t xml:space="preserve">. </w:t>
      </w:r>
      <w:r w:rsidR="004D02B9">
        <w:t>At the time of the process discovery sessions for HSA, MyBCW was the portal available to customers</w:t>
      </w:r>
      <w:r w:rsidR="00ED1C4C">
        <w:t xml:space="preserve"> to submit applications, </w:t>
      </w:r>
      <w:r w:rsidR="00E81F3D">
        <w:t>obtain case information and upload documents.</w:t>
      </w:r>
      <w:r w:rsidR="007F563D">
        <w:t xml:space="preserve"> </w:t>
      </w:r>
    </w:p>
    <w:p w14:paraId="151F5957" w14:textId="508591E7" w:rsidR="004A46C3" w:rsidRDefault="004A46C3" w:rsidP="00EE488E">
      <w:pPr>
        <w:pStyle w:val="BodyText"/>
      </w:pPr>
      <w:r>
        <w:t>Gainwell conducted a series of sessions to reveal the problem areas in the current process</w:t>
      </w:r>
      <w:r w:rsidR="00A6319B">
        <w:t>es</w:t>
      </w:r>
      <w:r w:rsidR="005942F8">
        <w:t xml:space="preserve">. </w:t>
      </w:r>
      <w:r>
        <w:t xml:space="preserve">HSA and Gainwell staff also visited Counties </w:t>
      </w:r>
      <w:r w:rsidR="000F09BE">
        <w:t xml:space="preserve">whose results appeared to be better when analyzing the data or </w:t>
      </w:r>
      <w:r>
        <w:t xml:space="preserve">who </w:t>
      </w:r>
      <w:r w:rsidR="000F09BE">
        <w:t>indicated in the CalWIN OPAC meeting that they enhanced their processes.</w:t>
      </w:r>
    </w:p>
    <w:p w14:paraId="2C52CD04" w14:textId="0BA1D0C8" w:rsidR="004D02B9" w:rsidRDefault="007F563D" w:rsidP="00EE488E">
      <w:pPr>
        <w:pStyle w:val="BodyText"/>
      </w:pPr>
      <w:r>
        <w:t>Results of the</w:t>
      </w:r>
      <w:r w:rsidR="000F09BE">
        <w:t xml:space="preserve"> process</w:t>
      </w:r>
      <w:r>
        <w:t xml:space="preserve"> reengineering efforts included modifications to the County processes to better incorporate MyBCW </w:t>
      </w:r>
      <w:r w:rsidR="00E72F2A">
        <w:t>functionality into the workflow</w:t>
      </w:r>
      <w:r w:rsidR="005942F8">
        <w:t xml:space="preserve">. </w:t>
      </w:r>
      <w:r w:rsidR="00EE488E">
        <w:t>Benefits of the reengineered processes included:</w:t>
      </w:r>
    </w:p>
    <w:p w14:paraId="7F8FD1C4" w14:textId="3D7F4AE4" w:rsidR="004D02B9" w:rsidRDefault="004D02B9" w:rsidP="00EE642B">
      <w:pPr>
        <w:pStyle w:val="CvrLtrBullet1Double"/>
      </w:pPr>
      <w:r>
        <w:t xml:space="preserve">Accurate data entry provided by the customer </w:t>
      </w:r>
      <w:r w:rsidR="00ED1C4C">
        <w:t>through the MyBCW portal</w:t>
      </w:r>
    </w:p>
    <w:p w14:paraId="4B6F38B3" w14:textId="77777777" w:rsidR="004D02B9" w:rsidRDefault="004D02B9" w:rsidP="00EE642B">
      <w:pPr>
        <w:pStyle w:val="CvrLtrBullet1Double"/>
      </w:pPr>
      <w:r>
        <w:lastRenderedPageBreak/>
        <w:t xml:space="preserve">Convenience for the customer </w:t>
      </w:r>
    </w:p>
    <w:p w14:paraId="04DF0578" w14:textId="3C0BEECE" w:rsidR="004D02B9" w:rsidRDefault="004D02B9" w:rsidP="00EE642B">
      <w:pPr>
        <w:pStyle w:val="CvrLtrBullet1Double"/>
      </w:pPr>
      <w:r>
        <w:t xml:space="preserve">The ability </w:t>
      </w:r>
      <w:r w:rsidR="00575EF2">
        <w:t>to upload</w:t>
      </w:r>
      <w:r>
        <w:t xml:space="preserve"> documents quickly and conveniently</w:t>
      </w:r>
    </w:p>
    <w:p w14:paraId="12FCFC0E" w14:textId="7B2B6EBE" w:rsidR="00A93EAB" w:rsidRDefault="000F09BE" w:rsidP="00EE642B">
      <w:pPr>
        <w:pStyle w:val="CvrLtrBullet1Double"/>
      </w:pPr>
      <w:r>
        <w:t>For those customers who</w:t>
      </w:r>
      <w:r w:rsidR="00575EF2">
        <w:t xml:space="preserve"> arrive</w:t>
      </w:r>
      <w:r>
        <w:t>d</w:t>
      </w:r>
      <w:r w:rsidR="00575EF2">
        <w:t xml:space="preserve"> in person at a County of Sacramento HSA Bureau</w:t>
      </w:r>
      <w:r w:rsidR="009401FC">
        <w:t>, the modified County process resulted in a</w:t>
      </w:r>
      <w:r w:rsidR="00575EF2">
        <w:t xml:space="preserve"> </w:t>
      </w:r>
      <w:r w:rsidR="009401FC">
        <w:t>f</w:t>
      </w:r>
      <w:r w:rsidR="004D02B9">
        <w:t xml:space="preserve">aster visit </w:t>
      </w:r>
      <w:r w:rsidR="009401FC">
        <w:t xml:space="preserve">with less County staff </w:t>
      </w:r>
      <w:r w:rsidR="00AF605F">
        <w:t xml:space="preserve">time </w:t>
      </w:r>
      <w:r w:rsidR="009401FC">
        <w:t>required</w:t>
      </w:r>
      <w:r w:rsidR="00A92B26">
        <w:t xml:space="preserve"> </w:t>
      </w:r>
    </w:p>
    <w:p w14:paraId="46384C8F" w14:textId="78DDF0AC" w:rsidR="000F09BE" w:rsidRDefault="000F09BE" w:rsidP="001237A7">
      <w:pPr>
        <w:pStyle w:val="BodyText"/>
      </w:pPr>
      <w:r>
        <w:rPr>
          <w:noProof/>
          <w14:ligatures w14:val="standardContextual"/>
        </w:rPr>
        <mc:AlternateContent>
          <mc:Choice Requires="wps">
            <w:drawing>
              <wp:anchor distT="0" distB="0" distL="114300" distR="114300" simplePos="0" relativeHeight="251658271" behindDoc="0" locked="0" layoutInCell="1" allowOverlap="1" wp14:anchorId="7566F7CF" wp14:editId="3F67924A">
                <wp:simplePos x="0" y="0"/>
                <wp:positionH relativeFrom="margin">
                  <wp:posOffset>0</wp:posOffset>
                </wp:positionH>
                <wp:positionV relativeFrom="paragraph">
                  <wp:posOffset>75133</wp:posOffset>
                </wp:positionV>
                <wp:extent cx="5899785" cy="28575"/>
                <wp:effectExtent l="0" t="0" r="24765" b="28575"/>
                <wp:wrapNone/>
                <wp:docPr id="1917183874" name="Straight Connector 23"/>
                <wp:cNvGraphicFramePr/>
                <a:graphic xmlns:a="http://schemas.openxmlformats.org/drawingml/2006/main">
                  <a:graphicData uri="http://schemas.microsoft.com/office/word/2010/wordprocessingShape">
                    <wps:wsp>
                      <wps:cNvCnPr/>
                      <wps:spPr>
                        <a:xfrm flipV="1">
                          <a:off x="0" y="0"/>
                          <a:ext cx="5899785" cy="28575"/>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anchor>
            </w:drawing>
          </mc:Choice>
          <mc:Fallback xmlns:arto="http://schemas.microsoft.com/office/word/2006/arto" xmlns:dgm="http://schemas.openxmlformats.org/drawingml/2006/diagram" xmlns:asvg="http://schemas.microsoft.com/office/drawing/2016/SVG/main" xmlns:a14="http://schemas.microsoft.com/office/drawing/2010/main" xmlns:pic="http://schemas.openxmlformats.org/drawingml/2006/picture" xmlns:a16="http://schemas.microsoft.com/office/drawing/2014/main" xmlns:a="http://schemas.openxmlformats.org/drawingml/2006/main">
            <w:pict w14:anchorId="198B0EB0">
              <v:line id="Straight Connector 23" style="position:absolute;flip:y;z-index:251658274;visibility:visible;mso-wrap-style:square;mso-wrap-distance-left:9pt;mso-wrap-distance-top:0;mso-wrap-distance-right:9pt;mso-wrap-distance-bottom:0;mso-position-horizontal:absolute;mso-position-horizontal-relative:margin;mso-position-vertical:absolute;mso-position-vertical-relative:text" o:spid="_x0000_s1026" strokecolor="#0f9ed5 [3207]" strokeweight="1pt" from="0,5.9pt" to="464.55pt,8.15pt" w14:anchorId="7FD72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">
                <v:stroke joinstyle="miter"/>
                <w10:wrap anchorx="margin"/>
              </v:line>
            </w:pict>
          </mc:Fallback>
        </mc:AlternateContent>
      </w:r>
    </w:p>
    <w:p w14:paraId="225BBF2A" w14:textId="291EF637" w:rsidR="00E61546" w:rsidRDefault="002C787C" w:rsidP="001237A7">
      <w:pPr>
        <w:pStyle w:val="BodyText"/>
      </w:pPr>
      <w:r>
        <w:t xml:space="preserve">Gainwell also included </w:t>
      </w:r>
      <w:r w:rsidRPr="00F73D56">
        <w:rPr>
          <w:b/>
          <w:bCs/>
        </w:rPr>
        <w:t>County process integration when implementing the</w:t>
      </w:r>
      <w:r w:rsidR="007F1A23" w:rsidRPr="00F73D56">
        <w:rPr>
          <w:b/>
          <w:bCs/>
        </w:rPr>
        <w:t xml:space="preserve"> BenefitsCal Technical Service Desk</w:t>
      </w:r>
      <w:r w:rsidR="007F1A23">
        <w:t xml:space="preserve"> to support Counties with </w:t>
      </w:r>
      <w:r w:rsidR="004E1769">
        <w:t>customers</w:t>
      </w:r>
      <w:r w:rsidR="007F1A23">
        <w:t xml:space="preserve"> or CBOs who are having technical difficulties with the BenefitsCal portal. </w:t>
      </w:r>
      <w:r>
        <w:t xml:space="preserve">During the implementation of the BenefitsCal Technical Service Desk, we met with each of the 58 Counties individually </w:t>
      </w:r>
      <w:r w:rsidR="004366A9">
        <w:t xml:space="preserve">to provide and discuss a sample County process workflow. </w:t>
      </w:r>
    </w:p>
    <w:p w14:paraId="6D2ED2FD" w14:textId="520EF1B6" w:rsidR="004366A9" w:rsidRDefault="004366A9" w:rsidP="001237A7">
      <w:pPr>
        <w:pStyle w:val="BodyText"/>
      </w:pPr>
      <w:r>
        <w:t xml:space="preserve">The sample County workflow developed by Gainwell was </w:t>
      </w:r>
      <w:r w:rsidR="006C5165">
        <w:t xml:space="preserve">discussed and </w:t>
      </w:r>
      <w:r>
        <w:t>distributed to each County during the implementation meeting</w:t>
      </w:r>
      <w:r w:rsidR="006C5165">
        <w:t>. Counties used the collateral materials provided by Gainwell to customize the sample workflow</w:t>
      </w:r>
      <w:r w:rsidR="00DD637A">
        <w:t xml:space="preserve"> as needed for their unique business process flow.</w:t>
      </w:r>
      <w:r w:rsidR="00AF605F">
        <w:t xml:space="preserve"> The following figure provides a</w:t>
      </w:r>
      <w:r w:rsidR="00B41A5F">
        <w:t xml:space="preserve"> sample of the type of documentation provided to the Counties to assist with integrating the BenefitsCal Technical Service Desk into the Counties’ process.</w:t>
      </w:r>
    </w:p>
    <w:p w14:paraId="4FE71BFE" w14:textId="30C4CE4C" w:rsidR="00736423" w:rsidRDefault="00736423" w:rsidP="004339C5">
      <w:pPr>
        <w:pStyle w:val="FigureCaptionAuto"/>
      </w:pPr>
      <w:bookmarkStart w:id="112" w:name="_Toc172704185"/>
      <w:bookmarkStart w:id="113" w:name="_Toc173187539"/>
      <w:r w:rsidRPr="00345A7D">
        <w:lastRenderedPageBreak/>
        <w:t>Sample County Process</w:t>
      </w:r>
      <w:bookmarkEnd w:id="112"/>
      <w:r>
        <w:t xml:space="preserve"> Integration with</w:t>
      </w:r>
      <w:r w:rsidR="00EB2E3C">
        <w:t xml:space="preserve"> </w:t>
      </w:r>
      <w:r>
        <w:t>BenefitsCal</w:t>
      </w:r>
      <w:r w:rsidR="00EB2E3C">
        <w:t xml:space="preserve"> </w:t>
      </w:r>
      <w:r>
        <w:t>Technical</w:t>
      </w:r>
      <w:r w:rsidR="00EB2E3C">
        <w:t xml:space="preserve"> </w:t>
      </w:r>
      <w:r>
        <w:t>Service</w:t>
      </w:r>
      <w:r w:rsidR="00EB2E3C">
        <w:t xml:space="preserve"> </w:t>
      </w:r>
      <w:r>
        <w:t>Desk</w:t>
      </w:r>
      <w:bookmarkEnd w:id="113"/>
    </w:p>
    <w:p w14:paraId="449C7772" w14:textId="712D6E4B" w:rsidR="004F1530" w:rsidRDefault="00A64C63" w:rsidP="00A64C63">
      <w:pPr>
        <w:pStyle w:val="BodyText"/>
        <w:jc w:val="center"/>
      </w:pPr>
      <w:r w:rsidRPr="00A64C63">
        <w:rPr>
          <w:noProof/>
        </w:rPr>
        <w:drawing>
          <wp:inline distT="0" distB="0" distL="0" distR="0" wp14:anchorId="76ED3684" wp14:editId="73BCB9F9">
            <wp:extent cx="5943600" cy="7068187"/>
            <wp:effectExtent l="0" t="0" r="0" b="0"/>
            <wp:docPr id="663455023" name="Picture 1" descr="A diagram of a service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455023" name="Picture 1" descr="A diagram of a service desk&#10;&#10;Description automatically generated"/>
                    <pic:cNvPicPr/>
                  </pic:nvPicPr>
                  <pic:blipFill>
                    <a:blip r:embed="rId122"/>
                    <a:stretch>
                      <a:fillRect/>
                    </a:stretch>
                  </pic:blipFill>
                  <pic:spPr>
                    <a:xfrm>
                      <a:off x="0" y="0"/>
                      <a:ext cx="5943600" cy="7068187"/>
                    </a:xfrm>
                    <a:prstGeom prst="rect">
                      <a:avLst/>
                    </a:prstGeom>
                  </pic:spPr>
                </pic:pic>
              </a:graphicData>
            </a:graphic>
          </wp:inline>
        </w:drawing>
      </w:r>
    </w:p>
    <w:p w14:paraId="5A855987" w14:textId="5C4AA3E4" w:rsidR="002520B7" w:rsidRDefault="0057413A" w:rsidP="00046ED9">
      <w:pPr>
        <w:pStyle w:val="BodyText"/>
        <w:keepNext/>
      </w:pPr>
      <w:r>
        <w:lastRenderedPageBreak/>
        <w:t>Our approach to integrat</w:t>
      </w:r>
      <w:r w:rsidR="000705FF">
        <w:t xml:space="preserve">ing </w:t>
      </w:r>
      <w:r>
        <w:t xml:space="preserve">BenefitsCal with County processes </w:t>
      </w:r>
      <w:r w:rsidR="007E1020">
        <w:t>results in:</w:t>
      </w:r>
      <w:r w:rsidR="000705FF" w:rsidRPr="00CC68F1">
        <w:rPr>
          <w:noProof/>
        </w:rPr>
        <w:drawing>
          <wp:anchor distT="0" distB="0" distL="114300" distR="114300" simplePos="0" relativeHeight="251658304" behindDoc="0" locked="0" layoutInCell="1" allowOverlap="1" wp14:anchorId="193E95D9" wp14:editId="481205F0">
            <wp:simplePos x="0" y="0"/>
            <wp:positionH relativeFrom="margin">
              <wp:posOffset>4542817</wp:posOffset>
            </wp:positionH>
            <wp:positionV relativeFrom="paragraph">
              <wp:posOffset>9093</wp:posOffset>
            </wp:positionV>
            <wp:extent cx="1387475" cy="1518920"/>
            <wp:effectExtent l="0" t="0" r="3175" b="5080"/>
            <wp:wrapSquare wrapText="bothSides"/>
            <wp:docPr id="468317612" name="Graphic 9">
              <a:extLst xmlns:a="http://schemas.openxmlformats.org/drawingml/2006/main">
                <a:ext uri="{FF2B5EF4-FFF2-40B4-BE49-F238E27FC236}">
                  <a16:creationId xmlns:a16="http://schemas.microsoft.com/office/drawing/2014/main" id="{B5A36752-4DC0-C7B7-5F95-64DBA2356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B5A36752-4DC0-C7B7-5F95-64DBA2356C5A}"/>
                        </a:ext>
                      </a:extLst>
                    </pic:cNvPr>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1387475" cy="1518920"/>
                    </a:xfrm>
                    <a:prstGeom prst="rect">
                      <a:avLst/>
                    </a:prstGeom>
                  </pic:spPr>
                </pic:pic>
              </a:graphicData>
            </a:graphic>
            <wp14:sizeRelH relativeFrom="margin">
              <wp14:pctWidth>0</wp14:pctWidth>
            </wp14:sizeRelH>
            <wp14:sizeRelV relativeFrom="margin">
              <wp14:pctHeight>0</wp14:pctHeight>
            </wp14:sizeRelV>
          </wp:anchor>
        </w:drawing>
      </w:r>
    </w:p>
    <w:p w14:paraId="62A63DB2" w14:textId="4FF596E5" w:rsidR="007E1020" w:rsidRDefault="007E1020" w:rsidP="00EE642B">
      <w:pPr>
        <w:pStyle w:val="CvrLtrBullet1Double"/>
      </w:pPr>
      <w:r>
        <w:t>Identif</w:t>
      </w:r>
      <w:r w:rsidR="002520B7">
        <w:t>ying</w:t>
      </w:r>
      <w:r>
        <w:t xml:space="preserve"> pain points</w:t>
      </w:r>
      <w:r w:rsidR="002520B7">
        <w:t xml:space="preserve"> with the existing BenefitsCal/County process integration</w:t>
      </w:r>
    </w:p>
    <w:p w14:paraId="7E84F9AB" w14:textId="3F2D7E46" w:rsidR="002520B7" w:rsidRDefault="002520B7" w:rsidP="00EE642B">
      <w:pPr>
        <w:pStyle w:val="CvrLtrBullet1Double"/>
      </w:pPr>
      <w:r>
        <w:t>Capturing suggestions to enhance BenefitsCal to improve the BenefitsCal customer’s experience and/or reduce County workload</w:t>
      </w:r>
    </w:p>
    <w:p w14:paraId="114463B9" w14:textId="18944A22" w:rsidR="002520B7" w:rsidRDefault="002520B7" w:rsidP="00EE642B">
      <w:pPr>
        <w:pStyle w:val="CvrLtrBullet1Double"/>
      </w:pPr>
      <w:r>
        <w:t>Capturing suggestions to modify County processes to improve the BenefitsCal customer’s experience and/or reduce County workload</w:t>
      </w:r>
    </w:p>
    <w:p w14:paraId="15EEA07D" w14:textId="77D4D12D" w:rsidR="002520B7" w:rsidRDefault="002520B7" w:rsidP="00EE642B">
      <w:pPr>
        <w:pStyle w:val="CvrLtrBullet1Double"/>
      </w:pPr>
      <w:r>
        <w:t>Identification of County best practices</w:t>
      </w:r>
    </w:p>
    <w:p w14:paraId="03430DD6" w14:textId="5DD81343" w:rsidR="002520B7" w:rsidRDefault="002520B7" w:rsidP="00EE642B">
      <w:pPr>
        <w:pStyle w:val="CvrLtrBullet1Double"/>
      </w:pPr>
      <w:r>
        <w:t>Development of a sample County workflow incorporating best practices for distribution to the Counties to use and/or modify to their unique business processes</w:t>
      </w:r>
    </w:p>
    <w:p w14:paraId="43CF00BD" w14:textId="206A35BA" w:rsidR="008B2A30" w:rsidRDefault="008B2A30" w:rsidP="00EE642B">
      <w:pPr>
        <w:pStyle w:val="CvrLtrBullet1Double"/>
      </w:pPr>
      <w:r>
        <w:t>Presentation of the findings and sample workflow to Counties and other Stakeholders as determined in consultation with the Consortium</w:t>
      </w:r>
    </w:p>
    <w:p w14:paraId="0570A78C" w14:textId="06B660B9" w:rsidR="002520B7" w:rsidRDefault="00ED61E0" w:rsidP="00EE642B">
      <w:pPr>
        <w:pStyle w:val="CvrLtrBullet1Double"/>
      </w:pPr>
      <w:r>
        <w:t>Familiariz</w:t>
      </w:r>
      <w:r w:rsidR="00F73D56">
        <w:t>ing</w:t>
      </w:r>
      <w:r>
        <w:t xml:space="preserve"> Regional Managers with the findings and sample workflow to </w:t>
      </w:r>
      <w:r w:rsidR="00923F9D">
        <w:t>emphasize</w:t>
      </w:r>
      <w:r w:rsidR="00457482">
        <w:t xml:space="preserve"> best practices in their conversations with County staff</w:t>
      </w:r>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1237A7" w14:paraId="329CCF74" w14:textId="77777777" w:rsidTr="001237A7">
        <w:tc>
          <w:tcPr>
            <w:tcW w:w="9350" w:type="dxa"/>
            <w:shd w:val="clear" w:color="auto" w:fill="EBEDF5"/>
          </w:tcPr>
          <w:tbl>
            <w:tblPr>
              <w:tblW w:w="9072" w:type="dxa"/>
              <w:tblLook w:val="04A0" w:firstRow="1" w:lastRow="0" w:firstColumn="1" w:lastColumn="0" w:noHBand="0" w:noVBand="1"/>
            </w:tblPr>
            <w:tblGrid>
              <w:gridCol w:w="990"/>
              <w:gridCol w:w="8082"/>
            </w:tblGrid>
            <w:tr w:rsidR="00D13CD8" w:rsidRPr="00A7028F" w14:paraId="0A2F0FCB" w14:textId="77777777" w:rsidTr="00533742">
              <w:trPr>
                <w:trHeight w:val="300"/>
              </w:trPr>
              <w:tc>
                <w:tcPr>
                  <w:tcW w:w="990" w:type="dxa"/>
                  <w:shd w:val="clear" w:color="auto" w:fill="auto"/>
                  <w:noWrap/>
                </w:tcPr>
                <w:p w14:paraId="7BF4DC2A" w14:textId="77777777" w:rsidR="00D13CD8" w:rsidRPr="00A7028F" w:rsidRDefault="00D13CD8" w:rsidP="00533742">
                  <w:pPr>
                    <w:pStyle w:val="ReqNo"/>
                    <w:framePr w:wrap="around"/>
                  </w:pPr>
                </w:p>
              </w:tc>
              <w:tc>
                <w:tcPr>
                  <w:tcW w:w="8082" w:type="dxa"/>
                  <w:shd w:val="clear" w:color="auto" w:fill="auto"/>
                </w:tcPr>
                <w:p w14:paraId="7BAF2BC5" w14:textId="77777777" w:rsidR="00D13CD8" w:rsidRPr="00A7028F" w:rsidRDefault="00D13CD8" w:rsidP="00533742">
                  <w:pPr>
                    <w:pStyle w:val="BodyText0"/>
                    <w:framePr w:wrap="around"/>
                  </w:pPr>
                  <w:r w:rsidRPr="00FC3BDF">
                    <w:t xml:space="preserve">Describe your approach to </w:t>
                  </w:r>
                  <w:r>
                    <w:t>p</w:t>
                  </w:r>
                  <w:r w:rsidRPr="00FC3BDF">
                    <w:t xml:space="preserve">ublic </w:t>
                  </w:r>
                  <w:r>
                    <w:t>c</w:t>
                  </w:r>
                  <w:r w:rsidRPr="00FC3BDF">
                    <w:t xml:space="preserve">ommunications and </w:t>
                  </w:r>
                  <w:r>
                    <w:t>m</w:t>
                  </w:r>
                  <w:r w:rsidRPr="00FC3BDF">
                    <w:t>arketing to enhance the awareness, adoption, and public opinion of the BenefitsCal application.</w:t>
                  </w:r>
                </w:p>
              </w:tc>
            </w:tr>
          </w:tbl>
          <w:p w14:paraId="76A1A751" w14:textId="77777777" w:rsidR="001237A7" w:rsidRDefault="001237A7" w:rsidP="001237A7">
            <w:pPr>
              <w:pStyle w:val="BodyText0"/>
              <w:framePr w:hSpace="0" w:wrap="auto" w:vAnchor="margin" w:yAlign="inline"/>
              <w:suppressOverlap w:val="0"/>
            </w:pPr>
          </w:p>
        </w:tc>
      </w:tr>
    </w:tbl>
    <w:p w14:paraId="0F9E2C00" w14:textId="320453B2" w:rsidR="009B6759" w:rsidRDefault="00B25F49" w:rsidP="00C2221A">
      <w:pPr>
        <w:pStyle w:val="BodyText"/>
      </w:pPr>
      <w:r w:rsidRPr="00C2221A">
        <w:t xml:space="preserve">Gainwell will manage and execute public communication and marketing activities, in cooperation and coordination with the Consortium and other Contractors including enhancing the </w:t>
      </w:r>
      <w:r w:rsidRPr="00377995">
        <w:rPr>
          <w:b/>
          <w:bCs/>
        </w:rPr>
        <w:t>BenefitsCal Marketing and Public Communications Plan</w:t>
      </w:r>
      <w:r w:rsidRPr="00C2221A">
        <w:t>.</w:t>
      </w:r>
    </w:p>
    <w:p w14:paraId="3072E8E9" w14:textId="778E5192" w:rsidR="009B5C17" w:rsidRDefault="00D51F46" w:rsidP="00C2221A">
      <w:pPr>
        <w:pStyle w:val="BodyText"/>
      </w:pPr>
      <w:r>
        <w:t>Gainwell will review all existing public communications and marketing material</w:t>
      </w:r>
      <w:r w:rsidR="00114C7A">
        <w:t>s for understanding of the efforts to date and</w:t>
      </w:r>
      <w:r w:rsidR="009B5C17">
        <w:t xml:space="preserve"> for making</w:t>
      </w:r>
      <w:r w:rsidR="00114C7A">
        <w:t xml:space="preserve"> improvement recommendations</w:t>
      </w:r>
      <w:r w:rsidR="0036223E">
        <w:t xml:space="preserve"> with the goal of increasing</w:t>
      </w:r>
      <w:r w:rsidR="00FB4734">
        <w:t xml:space="preserve"> visibility of</w:t>
      </w:r>
      <w:r w:rsidR="0036223E">
        <w:t xml:space="preserve"> BenefitsCal services and customer outreach</w:t>
      </w:r>
      <w:r w:rsidR="002B2A24">
        <w:t xml:space="preserve">. </w:t>
      </w:r>
    </w:p>
    <w:p w14:paraId="4AF20BB5" w14:textId="0B7F5F2D" w:rsidR="00D51F46" w:rsidRPr="00C2221A" w:rsidRDefault="002B2A24" w:rsidP="00C2221A">
      <w:pPr>
        <w:pStyle w:val="BodyText"/>
      </w:pPr>
      <w:r>
        <w:t xml:space="preserve">To increase user adoption, Gainwell will </w:t>
      </w:r>
      <w:r>
        <w:rPr>
          <w:rFonts w:cstheme="minorHAnsi"/>
          <w:szCs w:val="22"/>
        </w:rPr>
        <w:t xml:space="preserve">lead the development and implementation of </w:t>
      </w:r>
      <w:r w:rsidRPr="00377995">
        <w:rPr>
          <w:rFonts w:cstheme="minorHAnsi"/>
          <w:b/>
          <w:bCs/>
          <w:szCs w:val="22"/>
        </w:rPr>
        <w:t>a comprehensive marketing and communications program</w:t>
      </w:r>
      <w:r>
        <w:rPr>
          <w:rFonts w:cstheme="minorHAnsi"/>
          <w:szCs w:val="22"/>
        </w:rPr>
        <w:t xml:space="preserve"> designed to communicate BenefitsCal services and programs, promote the services of BenefitsCal, and foster community relationships through BenefitsCal initiatives.</w:t>
      </w:r>
    </w:p>
    <w:p w14:paraId="6A8423E0" w14:textId="6EE007FE" w:rsidR="00252FF6" w:rsidRPr="00252FF6" w:rsidRDefault="008B152B" w:rsidP="00252FF6">
      <w:pPr>
        <w:pStyle w:val="BodyText"/>
      </w:pPr>
      <w:r>
        <w:t>Our BenefitsCal Public Communications Lead</w:t>
      </w:r>
      <w:r w:rsidR="00DF7C2E">
        <w:t>, Karen Shields,</w:t>
      </w:r>
      <w:r>
        <w:t xml:space="preserve"> </w:t>
      </w:r>
      <w:r w:rsidR="008358FC">
        <w:t>served as a Deputy Director for the Centers for Medicare and Medicaid Services (CMS)</w:t>
      </w:r>
      <w:r w:rsidR="005942F8">
        <w:t xml:space="preserve">. </w:t>
      </w:r>
      <w:r w:rsidR="00EB726A">
        <w:t>She was the d</w:t>
      </w:r>
      <w:r w:rsidR="00EB726A" w:rsidRPr="00EB726A">
        <w:t xml:space="preserve">irector in charge of public media and media responses, Medicaid </w:t>
      </w:r>
      <w:r w:rsidR="00EB726A">
        <w:t>webs</w:t>
      </w:r>
      <w:r w:rsidR="00EB726A" w:rsidRPr="00EB726A">
        <w:t xml:space="preserve">ite development, </w:t>
      </w:r>
      <w:r w:rsidR="00EB726A">
        <w:t xml:space="preserve">and </w:t>
      </w:r>
      <w:r w:rsidR="00EB726A" w:rsidRPr="00EB726A">
        <w:t xml:space="preserve">state relationships with Medicaid Directors. </w:t>
      </w:r>
      <w:r w:rsidR="00DF7C2E">
        <w:t>Karen was the e</w:t>
      </w:r>
      <w:r w:rsidR="00EB726A" w:rsidRPr="00EB726A">
        <w:t xml:space="preserve">xecutive responsible for all operational services and communications provided to Medicaid agencies in </w:t>
      </w:r>
      <w:r w:rsidR="005942F8" w:rsidRPr="00EB726A">
        <w:t>fifty</w:t>
      </w:r>
      <w:r w:rsidR="00EB726A" w:rsidRPr="00EB726A">
        <w:t xml:space="preserve"> states and ten territories.</w:t>
      </w:r>
      <w:r w:rsidR="00DF7C2E">
        <w:t xml:space="preserve"> </w:t>
      </w:r>
    </w:p>
    <w:p w14:paraId="655C3BDF" w14:textId="215B0F1B" w:rsidR="00252FF6" w:rsidRDefault="00252FF6" w:rsidP="00252FF6">
      <w:pPr>
        <w:pStyle w:val="BodyText"/>
      </w:pPr>
      <w:r>
        <w:t xml:space="preserve">She was the lead executive responsible for operations including internal, external communications, participating in drafting, and design of all status communications related to the operations and launch of the Federal portal, healthcare.gov. Karen </w:t>
      </w:r>
      <w:r>
        <w:lastRenderedPageBreak/>
        <w:t>partnered with</w:t>
      </w:r>
      <w:r w:rsidR="00A6319B">
        <w:t xml:space="preserve"> a</w:t>
      </w:r>
      <w:r>
        <w:t xml:space="preserve"> marketing team to incorporate user feedback, Consumer Advocate priorities, and policy needs into systems design and priority releases. As part of her duties related to healthcare.gov, Karen:</w:t>
      </w:r>
    </w:p>
    <w:p w14:paraId="58CBC541" w14:textId="1D1B4928" w:rsidR="00252FF6" w:rsidRPr="0084068C" w:rsidRDefault="00252FF6" w:rsidP="00EE642B">
      <w:pPr>
        <w:pStyle w:val="CvrLtrBullet1Double"/>
      </w:pPr>
      <w:r w:rsidRPr="0084068C">
        <w:t>Was in charge of all communications to healthcare plans and advocates.</w:t>
      </w:r>
    </w:p>
    <w:p w14:paraId="76ED4323" w14:textId="408CD833" w:rsidR="00252FF6" w:rsidRPr="0084068C" w:rsidRDefault="00241F6A" w:rsidP="00EE642B">
      <w:pPr>
        <w:pStyle w:val="CvrLtrBullet1Double"/>
      </w:pPr>
      <w:r>
        <w:t>Personally</w:t>
      </w:r>
      <w:r w:rsidR="00252FF6" w:rsidRPr="0084068C">
        <w:t xml:space="preserve"> reviewed all media responses related to site operations and availability. </w:t>
      </w:r>
    </w:p>
    <w:p w14:paraId="337BBE63" w14:textId="77777777" w:rsidR="009A15B3" w:rsidRPr="0084068C" w:rsidRDefault="00252FF6" w:rsidP="00EE642B">
      <w:pPr>
        <w:pStyle w:val="CvrLtrBullet1Double"/>
      </w:pPr>
      <w:r w:rsidRPr="0084068C">
        <w:t xml:space="preserve">Worked with legislative liaisons on responses from Capitol hill related to healthcare.gov operations and availability. </w:t>
      </w:r>
    </w:p>
    <w:p w14:paraId="0FDFEF11" w14:textId="6B89C780" w:rsidR="009A15B3" w:rsidRPr="0084068C" w:rsidRDefault="00252FF6" w:rsidP="00EE642B">
      <w:pPr>
        <w:pStyle w:val="CvrLtrBullet1Double"/>
      </w:pPr>
      <w:r w:rsidRPr="0084068C">
        <w:t xml:space="preserve">Led </w:t>
      </w:r>
      <w:r w:rsidR="009A15B3" w:rsidRPr="0084068C">
        <w:t xml:space="preserve">the </w:t>
      </w:r>
      <w:r w:rsidRPr="0084068C">
        <w:t xml:space="preserve">Consumer Support and Engagement Group and </w:t>
      </w:r>
      <w:r w:rsidR="00D17918" w:rsidRPr="0084068C">
        <w:t>e</w:t>
      </w:r>
      <w:r w:rsidRPr="0084068C">
        <w:t>xternal relations team responsible for Faith Based engagement, Depart</w:t>
      </w:r>
      <w:r w:rsidR="009A15B3" w:rsidRPr="0084068C">
        <w:t>ment</w:t>
      </w:r>
      <w:r w:rsidRPr="0084068C">
        <w:t xml:space="preserve"> of Insurance Relationships, Health Plan engagement and issue remediation and </w:t>
      </w:r>
      <w:r w:rsidR="00D17918" w:rsidRPr="0084068C">
        <w:t>communications</w:t>
      </w:r>
      <w:r w:rsidRPr="0084068C">
        <w:t xml:space="preserve">, town halls and </w:t>
      </w:r>
      <w:r w:rsidR="00352A9D" w:rsidRPr="0084068C">
        <w:t>relationship</w:t>
      </w:r>
      <w:r w:rsidRPr="0084068C">
        <w:t xml:space="preserve"> management with the National Association of Medicaid Directors. </w:t>
      </w:r>
    </w:p>
    <w:p w14:paraId="5541C115" w14:textId="2F6BACD5" w:rsidR="008B152B" w:rsidRPr="0084068C" w:rsidRDefault="009A15B3" w:rsidP="00EE642B">
      <w:pPr>
        <w:pStyle w:val="CvrLtrBullet1Double"/>
      </w:pPr>
      <w:r w:rsidRPr="0084068C">
        <w:t xml:space="preserve">Engaged with the </w:t>
      </w:r>
      <w:r w:rsidR="00252FF6" w:rsidRPr="0084068C">
        <w:t>White House Deputy Chief of Staff and Director for Domestic Policy.</w:t>
      </w:r>
    </w:p>
    <w:p w14:paraId="4E997698" w14:textId="7F641B2A" w:rsidR="00377995" w:rsidRPr="00050022" w:rsidRDefault="00352A9D" w:rsidP="00C2221A">
      <w:pPr>
        <w:pStyle w:val="BodyText"/>
        <w:rPr>
          <w:rFonts w:cstheme="minorHAnsi"/>
          <w:szCs w:val="22"/>
        </w:rPr>
      </w:pPr>
      <w:r>
        <w:rPr>
          <w:rFonts w:cstheme="minorHAnsi"/>
          <w:szCs w:val="22"/>
        </w:rPr>
        <w:t xml:space="preserve">Karen’s experience with public communications, advocate engagement and legislative communication is directly applicable to BenefitsCal </w:t>
      </w:r>
      <w:r w:rsidR="00050022">
        <w:rPr>
          <w:rFonts w:cstheme="minorHAnsi"/>
          <w:szCs w:val="22"/>
        </w:rPr>
        <w:t>communication and adoption. She also</w:t>
      </w:r>
      <w:r w:rsidR="004D41F5">
        <w:rPr>
          <w:rFonts w:cstheme="minorHAnsi"/>
          <w:szCs w:val="22"/>
        </w:rPr>
        <w:t xml:space="preserve"> has access to </w:t>
      </w:r>
      <w:r w:rsidR="00C73DD2">
        <w:rPr>
          <w:rFonts w:cstheme="minorHAnsi"/>
          <w:szCs w:val="22"/>
        </w:rPr>
        <w:t xml:space="preserve">the expertise of </w:t>
      </w:r>
      <w:r w:rsidR="004D41F5">
        <w:rPr>
          <w:rFonts w:cstheme="minorHAnsi"/>
          <w:szCs w:val="22"/>
        </w:rPr>
        <w:t xml:space="preserve">our Gainwell corporate </w:t>
      </w:r>
      <w:r w:rsidR="00E74B49">
        <w:rPr>
          <w:rFonts w:cstheme="minorHAnsi"/>
          <w:szCs w:val="22"/>
        </w:rPr>
        <w:t>M</w:t>
      </w:r>
      <w:r w:rsidR="004D41F5">
        <w:rPr>
          <w:rFonts w:cstheme="minorHAnsi"/>
          <w:szCs w:val="22"/>
        </w:rPr>
        <w:t xml:space="preserve">arketing and </w:t>
      </w:r>
      <w:r w:rsidR="00E74B49">
        <w:rPr>
          <w:rFonts w:cstheme="minorHAnsi"/>
          <w:szCs w:val="22"/>
        </w:rPr>
        <w:t>C</w:t>
      </w:r>
      <w:r w:rsidR="004D41F5">
        <w:rPr>
          <w:rFonts w:cstheme="minorHAnsi"/>
          <w:szCs w:val="22"/>
        </w:rPr>
        <w:t>ommunications group.</w:t>
      </w:r>
    </w:p>
    <w:p w14:paraId="10FD18B0" w14:textId="17B5A5CE" w:rsidR="004D41F5" w:rsidRPr="007A4FB1" w:rsidRDefault="004D41F5" w:rsidP="000B4595">
      <w:pPr>
        <w:pStyle w:val="BodyText"/>
        <w:rPr>
          <w:sz w:val="27"/>
          <w:szCs w:val="27"/>
          <w:lang w:bidi="ar-SA"/>
        </w:rPr>
      </w:pPr>
      <w:r w:rsidRPr="007A4FB1">
        <w:rPr>
          <w:lang w:bidi="ar-SA"/>
        </w:rPr>
        <w:t xml:space="preserve">The Gainwell Marketing </w:t>
      </w:r>
      <w:r w:rsidR="00E74B49">
        <w:rPr>
          <w:lang w:bidi="ar-SA"/>
        </w:rPr>
        <w:t>and</w:t>
      </w:r>
      <w:r w:rsidRPr="007A4FB1">
        <w:rPr>
          <w:lang w:bidi="ar-SA"/>
        </w:rPr>
        <w:t xml:space="preserve"> Communications team is responsible for upholding, </w:t>
      </w:r>
      <w:r w:rsidR="00840BC9" w:rsidRPr="007A4FB1">
        <w:rPr>
          <w:lang w:bidi="ar-SA"/>
        </w:rPr>
        <w:t>strengthening,</w:t>
      </w:r>
      <w:r w:rsidRPr="007A4FB1">
        <w:rPr>
          <w:lang w:bidi="ar-SA"/>
        </w:rPr>
        <w:t xml:space="preserve"> and evolving the Gainwell</w:t>
      </w:r>
      <w:r w:rsidR="00670E5A">
        <w:rPr>
          <w:lang w:bidi="ar-SA"/>
        </w:rPr>
        <w:t xml:space="preserve"> corporate</w:t>
      </w:r>
      <w:r w:rsidRPr="007A4FB1">
        <w:rPr>
          <w:lang w:bidi="ar-SA"/>
        </w:rPr>
        <w:t xml:space="preserve"> brand</w:t>
      </w:r>
      <w:r w:rsidR="00782E02">
        <w:rPr>
          <w:lang w:bidi="ar-SA"/>
        </w:rPr>
        <w:t xml:space="preserve"> and </w:t>
      </w:r>
      <w:r w:rsidR="00670E5A">
        <w:rPr>
          <w:lang w:bidi="ar-SA"/>
        </w:rPr>
        <w:t>Gainwell</w:t>
      </w:r>
      <w:r w:rsidR="00105592">
        <w:rPr>
          <w:lang w:bidi="ar-SA"/>
        </w:rPr>
        <w:t>-provided client solution</w:t>
      </w:r>
      <w:r w:rsidR="00241F6A">
        <w:rPr>
          <w:lang w:bidi="ar-SA"/>
        </w:rPr>
        <w:t>s</w:t>
      </w:r>
      <w:r w:rsidRPr="007A4FB1">
        <w:rPr>
          <w:lang w:bidi="ar-SA"/>
        </w:rPr>
        <w:t xml:space="preserve">. The team manages external marketing channels, </w:t>
      </w:r>
      <w:r w:rsidR="00F2643F">
        <w:rPr>
          <w:lang w:bidi="ar-SA"/>
        </w:rPr>
        <w:t>confirming</w:t>
      </w:r>
      <w:r w:rsidRPr="007A4FB1">
        <w:rPr>
          <w:lang w:bidi="ar-SA"/>
        </w:rPr>
        <w:t xml:space="preserve"> we’re communicating with a distinct and unified voice aligned to our clients’ values.</w:t>
      </w:r>
    </w:p>
    <w:p w14:paraId="2F2109FE" w14:textId="0F67CEC6" w:rsidR="003748D7" w:rsidRPr="003748D7" w:rsidRDefault="003748D7" w:rsidP="000B4595">
      <w:pPr>
        <w:pStyle w:val="BodyText"/>
        <w:rPr>
          <w:b/>
          <w:bCs/>
          <w:lang w:bidi="ar-SA"/>
        </w:rPr>
      </w:pPr>
      <w:r>
        <w:rPr>
          <w:b/>
          <w:bCs/>
          <w:lang w:bidi="ar-SA"/>
        </w:rPr>
        <w:t xml:space="preserve">Gainwell </w:t>
      </w:r>
      <w:r w:rsidR="004273D1" w:rsidRPr="003748D7">
        <w:rPr>
          <w:b/>
          <w:bCs/>
          <w:lang w:bidi="ar-SA"/>
        </w:rPr>
        <w:t xml:space="preserve">Marketing </w:t>
      </w:r>
      <w:r w:rsidRPr="003748D7">
        <w:rPr>
          <w:b/>
          <w:bCs/>
          <w:lang w:bidi="ar-SA"/>
        </w:rPr>
        <w:t>and Communications Team</w:t>
      </w:r>
    </w:p>
    <w:p w14:paraId="58A8E02B" w14:textId="77EBE0EE" w:rsidR="004D41F5" w:rsidRPr="007A4FB1" w:rsidRDefault="00F2643F" w:rsidP="000B4595">
      <w:pPr>
        <w:pStyle w:val="BodyText"/>
        <w:rPr>
          <w:sz w:val="27"/>
          <w:szCs w:val="27"/>
          <w:lang w:bidi="ar-SA"/>
        </w:rPr>
      </w:pPr>
      <w:r>
        <w:rPr>
          <w:lang w:bidi="ar-SA"/>
        </w:rPr>
        <w:t xml:space="preserve">Our </w:t>
      </w:r>
      <w:r w:rsidR="004D41F5" w:rsidRPr="007A4FB1">
        <w:rPr>
          <w:lang w:bidi="ar-SA"/>
        </w:rPr>
        <w:t xml:space="preserve">Marketing </w:t>
      </w:r>
      <w:r w:rsidR="00105592">
        <w:rPr>
          <w:lang w:bidi="ar-SA"/>
        </w:rPr>
        <w:t>and</w:t>
      </w:r>
      <w:r w:rsidR="004D41F5" w:rsidRPr="007A4FB1">
        <w:rPr>
          <w:lang w:bidi="ar-SA"/>
        </w:rPr>
        <w:t xml:space="preserve"> Communications </w:t>
      </w:r>
      <w:r>
        <w:rPr>
          <w:lang w:bidi="ar-SA"/>
        </w:rPr>
        <w:t xml:space="preserve">team </w:t>
      </w:r>
      <w:r w:rsidR="004D41F5" w:rsidRPr="007A4FB1">
        <w:rPr>
          <w:lang w:bidi="ar-SA"/>
        </w:rPr>
        <w:t xml:space="preserve">partners with </w:t>
      </w:r>
      <w:r w:rsidR="00105592">
        <w:rPr>
          <w:lang w:bidi="ar-SA"/>
        </w:rPr>
        <w:t xml:space="preserve">client </w:t>
      </w:r>
      <w:r w:rsidR="004D41F5" w:rsidRPr="007A4FB1">
        <w:rPr>
          <w:lang w:bidi="ar-SA"/>
        </w:rPr>
        <w:t>teams across Gainwell to bring innovation to the forefront, executing creative and strategic campaigns and initiatives.</w:t>
      </w:r>
    </w:p>
    <w:p w14:paraId="61ACAF5B" w14:textId="65EE0A16" w:rsidR="004D41F5" w:rsidRPr="007A4FB1" w:rsidRDefault="004D41F5" w:rsidP="000B4595">
      <w:pPr>
        <w:pStyle w:val="BodyText"/>
        <w:rPr>
          <w:sz w:val="27"/>
          <w:szCs w:val="27"/>
          <w:lang w:bidi="ar-SA"/>
        </w:rPr>
      </w:pPr>
      <w:r w:rsidRPr="007A4FB1">
        <w:rPr>
          <w:lang w:bidi="ar-SA"/>
        </w:rPr>
        <w:t xml:space="preserve">The Marketing </w:t>
      </w:r>
      <w:r w:rsidR="009C5FDB">
        <w:rPr>
          <w:lang w:bidi="ar-SA"/>
        </w:rPr>
        <w:t>and</w:t>
      </w:r>
      <w:r w:rsidRPr="007A4FB1">
        <w:rPr>
          <w:lang w:bidi="ar-SA"/>
        </w:rPr>
        <w:t xml:space="preserve"> Communications team is structured to amplify visibility</w:t>
      </w:r>
      <w:r w:rsidR="009C5FDB">
        <w:rPr>
          <w:lang w:bidi="ar-SA"/>
        </w:rPr>
        <w:t xml:space="preserve"> and</w:t>
      </w:r>
      <w:r w:rsidRPr="007A4FB1">
        <w:rPr>
          <w:lang w:bidi="ar-SA"/>
        </w:rPr>
        <w:t xml:space="preserve"> engagement </w:t>
      </w:r>
      <w:r w:rsidR="002D4D99">
        <w:rPr>
          <w:lang w:bidi="ar-SA"/>
        </w:rPr>
        <w:t xml:space="preserve">with products such as the </w:t>
      </w:r>
      <w:r w:rsidR="000B4595">
        <w:rPr>
          <w:lang w:bidi="ar-SA"/>
        </w:rPr>
        <w:t>BenefitsCal portal</w:t>
      </w:r>
      <w:r w:rsidR="00840BC9" w:rsidRPr="007A4FB1">
        <w:rPr>
          <w:lang w:bidi="ar-SA"/>
        </w:rPr>
        <w:t>.</w:t>
      </w:r>
      <w:r w:rsidR="00840BC9">
        <w:rPr>
          <w:lang w:bidi="ar-SA"/>
        </w:rPr>
        <w:t xml:space="preserve"> </w:t>
      </w:r>
      <w:r w:rsidR="000B4595">
        <w:rPr>
          <w:lang w:bidi="ar-SA"/>
        </w:rPr>
        <w:t>Our Marketing and Communications team is organized around the following functional areas:</w:t>
      </w:r>
    </w:p>
    <w:p w14:paraId="38D018D1" w14:textId="1692DB45" w:rsidR="004D41F5" w:rsidRPr="007A4FB1" w:rsidRDefault="004D41F5" w:rsidP="00EE642B">
      <w:pPr>
        <w:pStyle w:val="CvrLtrBullet1Double"/>
        <w:rPr>
          <w:sz w:val="27"/>
          <w:szCs w:val="27"/>
          <w:lang w:bidi="ar-SA"/>
        </w:rPr>
      </w:pPr>
      <w:r w:rsidRPr="007A4FB1">
        <w:rPr>
          <w:b/>
          <w:lang w:bidi="ar-SA"/>
        </w:rPr>
        <w:t xml:space="preserve">Creative </w:t>
      </w:r>
      <w:r w:rsidR="00F44C7B">
        <w:rPr>
          <w:b/>
          <w:lang w:bidi="ar-SA"/>
        </w:rPr>
        <w:t>and</w:t>
      </w:r>
      <w:r w:rsidRPr="007A4FB1">
        <w:rPr>
          <w:b/>
          <w:lang w:bidi="ar-SA"/>
        </w:rPr>
        <w:t xml:space="preserve"> Brand.</w:t>
      </w:r>
      <w:r w:rsidRPr="007A4FB1">
        <w:rPr>
          <w:lang w:bidi="ar-SA"/>
        </w:rPr>
        <w:t> A visionary team of creatives leading digital, multimedia, print and experiential marketing efforts.</w:t>
      </w:r>
    </w:p>
    <w:p w14:paraId="2254CCD7" w14:textId="2E1267D2" w:rsidR="004D41F5" w:rsidRPr="007A4FB1" w:rsidRDefault="004D41F5" w:rsidP="00EE642B">
      <w:pPr>
        <w:pStyle w:val="CvrLtrBullet1Double"/>
        <w:rPr>
          <w:sz w:val="27"/>
          <w:szCs w:val="27"/>
          <w:lang w:bidi="ar-SA"/>
        </w:rPr>
      </w:pPr>
      <w:r w:rsidRPr="007A4FB1">
        <w:rPr>
          <w:b/>
          <w:lang w:bidi="ar-SA"/>
        </w:rPr>
        <w:t>Campaign Marketing.</w:t>
      </w:r>
      <w:r w:rsidRPr="007A4FB1">
        <w:rPr>
          <w:lang w:bidi="ar-SA"/>
        </w:rPr>
        <w:t xml:space="preserve"> The strategic minds behind social media and highly targeted digital campaigns that measurably reach and influence our </w:t>
      </w:r>
      <w:r w:rsidR="00F44C7B">
        <w:rPr>
          <w:lang w:bidi="ar-SA"/>
        </w:rPr>
        <w:t xml:space="preserve">target </w:t>
      </w:r>
      <w:r w:rsidRPr="007A4FB1">
        <w:rPr>
          <w:lang w:bidi="ar-SA"/>
        </w:rPr>
        <w:t>audience.</w:t>
      </w:r>
    </w:p>
    <w:p w14:paraId="2A430F73" w14:textId="76918B3A" w:rsidR="004D41F5" w:rsidRPr="007A4FB1" w:rsidRDefault="004D41F5" w:rsidP="00EE642B">
      <w:pPr>
        <w:pStyle w:val="CvrLtrBullet1Double"/>
        <w:rPr>
          <w:sz w:val="27"/>
          <w:szCs w:val="27"/>
          <w:lang w:bidi="ar-SA"/>
        </w:rPr>
      </w:pPr>
      <w:r w:rsidRPr="007A4FB1">
        <w:rPr>
          <w:b/>
          <w:lang w:bidi="ar-SA"/>
        </w:rPr>
        <w:t>Client Experience Marketing.</w:t>
      </w:r>
      <w:r w:rsidRPr="007A4FB1">
        <w:rPr>
          <w:lang w:bidi="ar-SA"/>
        </w:rPr>
        <w:t xml:space="preserve"> A cross-functional, client-focused team of marketers bringing services and solutions to </w:t>
      </w:r>
      <w:r w:rsidR="005B0929">
        <w:rPr>
          <w:lang w:bidi="ar-SA"/>
        </w:rPr>
        <w:t>a target</w:t>
      </w:r>
      <w:r w:rsidRPr="007A4FB1">
        <w:rPr>
          <w:lang w:bidi="ar-SA"/>
        </w:rPr>
        <w:t xml:space="preserve"> audience at </w:t>
      </w:r>
      <w:r w:rsidR="005B0929">
        <w:rPr>
          <w:lang w:bidi="ar-SA"/>
        </w:rPr>
        <w:t>the state or</w:t>
      </w:r>
      <w:r w:rsidRPr="007A4FB1">
        <w:rPr>
          <w:lang w:bidi="ar-SA"/>
        </w:rPr>
        <w:t xml:space="preserve"> national level</w:t>
      </w:r>
      <w:r w:rsidR="00626FCE" w:rsidRPr="007A4FB1">
        <w:rPr>
          <w:lang w:bidi="ar-SA"/>
        </w:rPr>
        <w:t>.</w:t>
      </w:r>
      <w:r w:rsidR="00A92B26">
        <w:rPr>
          <w:lang w:bidi="ar-SA"/>
        </w:rPr>
        <w:t xml:space="preserve"> </w:t>
      </w:r>
    </w:p>
    <w:p w14:paraId="69B48338" w14:textId="3B8CBA1A" w:rsidR="004D41F5" w:rsidRPr="007A4FB1" w:rsidRDefault="004D41F5" w:rsidP="00EE642B">
      <w:pPr>
        <w:pStyle w:val="CvrLtrBullet1Double"/>
        <w:rPr>
          <w:sz w:val="27"/>
          <w:szCs w:val="27"/>
          <w:lang w:bidi="ar-SA"/>
        </w:rPr>
      </w:pPr>
      <w:r w:rsidRPr="007A4FB1">
        <w:rPr>
          <w:b/>
          <w:lang w:bidi="ar-SA"/>
        </w:rPr>
        <w:t>Integrated Marketing.</w:t>
      </w:r>
      <w:r w:rsidRPr="007A4FB1">
        <w:rPr>
          <w:lang w:bidi="ar-SA"/>
        </w:rPr>
        <w:t xml:space="preserve"> Content marketing, communications, conferences, </w:t>
      </w:r>
      <w:r w:rsidR="00840BC9" w:rsidRPr="007A4FB1">
        <w:rPr>
          <w:lang w:bidi="ar-SA"/>
        </w:rPr>
        <w:t>operations,</w:t>
      </w:r>
      <w:r w:rsidRPr="007A4FB1">
        <w:rPr>
          <w:lang w:bidi="ar-SA"/>
        </w:rPr>
        <w:t xml:space="preserve"> and public relations pros working collaboratively to unify marketing efforts across channels. </w:t>
      </w:r>
    </w:p>
    <w:p w14:paraId="1D84AECE" w14:textId="0986A79D" w:rsidR="004D41F5" w:rsidRDefault="0047123A" w:rsidP="00B74BD5">
      <w:pPr>
        <w:pStyle w:val="BodyText"/>
      </w:pPr>
      <w:r>
        <w:lastRenderedPageBreak/>
        <w:t xml:space="preserve">The following </w:t>
      </w:r>
      <w:r w:rsidR="00191964">
        <w:t>figure provides examples of some of the methods and mediums in use by our Marketing and Communications</w:t>
      </w:r>
      <w:r w:rsidR="004273D1">
        <w:t xml:space="preserve"> team</w:t>
      </w:r>
      <w:r w:rsidR="00B74BD5">
        <w:t xml:space="preserve"> in each of the</w:t>
      </w:r>
      <w:r w:rsidR="00191964">
        <w:t xml:space="preserve"> functional areas.</w:t>
      </w:r>
    </w:p>
    <w:p w14:paraId="30835C6D" w14:textId="24E788FA" w:rsidR="006C7B58" w:rsidRPr="00021DC5" w:rsidRDefault="006C7B58" w:rsidP="004339C5">
      <w:pPr>
        <w:pStyle w:val="FigureCaptionAuto"/>
      </w:pPr>
      <w:bookmarkStart w:id="114" w:name="_Toc173187540"/>
      <w:r>
        <w:rPr>
          <w:noProof/>
        </w:rPr>
        <w:t>Marketing and Communications Functional Areas</w:t>
      </w:r>
      <w:bookmarkEnd w:id="114"/>
    </w:p>
    <w:p w14:paraId="75C3CBB1" w14:textId="23825CD9" w:rsidR="00B74BD5" w:rsidRPr="00B74BD5" w:rsidRDefault="00B74BD5" w:rsidP="00B74BD5">
      <w:pPr>
        <w:pStyle w:val="BodyText"/>
      </w:pPr>
      <w:r>
        <w:rPr>
          <w:noProof/>
          <w14:ligatures w14:val="standardContextual"/>
        </w:rPr>
        <w:drawing>
          <wp:inline distT="0" distB="0" distL="0" distR="0" wp14:anchorId="5B30B6D0" wp14:editId="2CB857DB">
            <wp:extent cx="5486400" cy="3586264"/>
            <wp:effectExtent l="0" t="0" r="0" b="0"/>
            <wp:docPr id="25217556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3" r:lo="rId124" r:qs="rId125" r:cs="rId126"/>
              </a:graphicData>
            </a:graphic>
          </wp:inline>
        </w:drawing>
      </w:r>
    </w:p>
    <w:p w14:paraId="7E89648F" w14:textId="2B8483FB" w:rsidR="00C30FB0" w:rsidRDefault="00C30FB0" w:rsidP="004D41F5">
      <w:pPr>
        <w:pStyle w:val="BodyText"/>
      </w:pPr>
      <w:r>
        <w:t xml:space="preserve">With the assistance of our </w:t>
      </w:r>
      <w:r w:rsidR="004273D1">
        <w:t xml:space="preserve">corporate </w:t>
      </w:r>
      <w:r>
        <w:t xml:space="preserve">Marketing and Communications </w:t>
      </w:r>
      <w:r w:rsidR="004273D1">
        <w:t>team</w:t>
      </w:r>
      <w:r>
        <w:t>, our BenefitsCal Public Communications Lead will</w:t>
      </w:r>
      <w:r w:rsidR="00DE7CBE">
        <w:t>:</w:t>
      </w:r>
    </w:p>
    <w:p w14:paraId="7DF7210C" w14:textId="63591B7B" w:rsidR="00C30FB0" w:rsidRDefault="00DE7CBE" w:rsidP="00EE642B">
      <w:pPr>
        <w:pStyle w:val="CvrLtrBullet1Double"/>
      </w:pPr>
      <w:r>
        <w:t>L</w:t>
      </w:r>
      <w:r w:rsidR="00C30FB0">
        <w:t xml:space="preserve">ead the development of materials in support of BenefitsCal marketing strategies including publications, electronic </w:t>
      </w:r>
      <w:r w:rsidR="00840BC9">
        <w:t>communications,</w:t>
      </w:r>
      <w:r w:rsidR="00C30FB0">
        <w:t xml:space="preserve"> and multimedia presentations</w:t>
      </w:r>
    </w:p>
    <w:p w14:paraId="1F9D2E7C" w14:textId="542368A6" w:rsidR="00C30FB0" w:rsidRDefault="00DE7CBE" w:rsidP="00EE642B">
      <w:pPr>
        <w:pStyle w:val="CvrLtrBullet1Double"/>
      </w:pPr>
      <w:r>
        <w:t>L</w:t>
      </w:r>
      <w:r w:rsidR="00C30FB0">
        <w:t>ead and supervise graphic arts initiatives and establish quality content and design of informational and promotional materials for public consumption</w:t>
      </w:r>
    </w:p>
    <w:p w14:paraId="1367D29A" w14:textId="04DE9AB1" w:rsidR="00583E08" w:rsidRDefault="00583E08" w:rsidP="00EE642B">
      <w:pPr>
        <w:pStyle w:val="CvrLtrBullet1Double"/>
      </w:pPr>
      <w:r>
        <w:t xml:space="preserve">Take creative lead of production of BenefitsCal print, </w:t>
      </w:r>
      <w:r w:rsidR="00840BC9">
        <w:t>web,</w:t>
      </w:r>
      <w:r>
        <w:t xml:space="preserve"> and other marketing materials</w:t>
      </w:r>
    </w:p>
    <w:p w14:paraId="6E3B2024" w14:textId="77B50161" w:rsidR="00583E08" w:rsidRDefault="00583E08" w:rsidP="00EE642B">
      <w:pPr>
        <w:pStyle w:val="CvrLtrBullet1Double"/>
      </w:pPr>
      <w:r>
        <w:t>Create and maintain standards and quality control of BenefitsCal internal and external communications</w:t>
      </w:r>
    </w:p>
    <w:p w14:paraId="601DDA7F" w14:textId="779376D4" w:rsidR="00583E08" w:rsidRDefault="0060710B" w:rsidP="004D41F5">
      <w:pPr>
        <w:pStyle w:val="BodyText"/>
      </w:pPr>
      <w:r>
        <w:t xml:space="preserve">Each of these activities directly relates to one of the functional areas supported by our Marketing and Communications </w:t>
      </w:r>
      <w:r w:rsidR="004273D1">
        <w:t>team</w:t>
      </w:r>
      <w:r>
        <w:t>.</w:t>
      </w:r>
    </w:p>
    <w:p w14:paraId="7CF51768" w14:textId="2D06ED95" w:rsidR="00986412" w:rsidRDefault="00986412" w:rsidP="00986412">
      <w:pPr>
        <w:pStyle w:val="HeadingManual3"/>
      </w:pPr>
      <w:bookmarkStart w:id="115" w:name="_Toc173187499"/>
      <w:r w:rsidRPr="00AE600A">
        <w:t>4.</w:t>
      </w:r>
      <w:r>
        <w:t>4</w:t>
      </w:r>
      <w:r w:rsidRPr="00AE600A">
        <w:t>.</w:t>
      </w:r>
      <w:r>
        <w:t>1</w:t>
      </w:r>
      <w:r w:rsidRPr="00AE600A">
        <w:tab/>
      </w:r>
      <w:r>
        <w:t>Increase Brand Exposure</w:t>
      </w:r>
      <w:r w:rsidR="00B02ECE">
        <w:t xml:space="preserve"> and Image</w:t>
      </w:r>
      <w:bookmarkEnd w:id="115"/>
    </w:p>
    <w:p w14:paraId="5117B7C2" w14:textId="5626859C" w:rsidR="001E2966" w:rsidRDefault="001E2966" w:rsidP="001E2966">
      <w:pPr>
        <w:pStyle w:val="BodyText"/>
      </w:pPr>
      <w:r>
        <w:t>Digital marketing, the use of digital platforms to promote an idea or product to targeted audiences, requires the formation of a plan designed to meet specific goals</w:t>
      </w:r>
      <w:r w:rsidR="00CD08BF">
        <w:t xml:space="preserve">. </w:t>
      </w:r>
      <w:r>
        <w:t>Digital marketing includes activities such as:</w:t>
      </w:r>
    </w:p>
    <w:p w14:paraId="15F17F85" w14:textId="77777777" w:rsidR="001E2966" w:rsidRDefault="001E2966" w:rsidP="003A48F7">
      <w:pPr>
        <w:pStyle w:val="Bullet1Single0"/>
      </w:pPr>
      <w:r>
        <w:lastRenderedPageBreak/>
        <w:t>Social media marketing</w:t>
      </w:r>
    </w:p>
    <w:p w14:paraId="6CB5D653" w14:textId="77777777" w:rsidR="001E2966" w:rsidRDefault="001E2966" w:rsidP="003A48F7">
      <w:pPr>
        <w:pStyle w:val="Bullet1Single0"/>
      </w:pPr>
      <w:r>
        <w:t>Email and/or text marketing</w:t>
      </w:r>
    </w:p>
    <w:p w14:paraId="16EC1329" w14:textId="77777777" w:rsidR="001E2966" w:rsidRDefault="001E2966" w:rsidP="003A48F7">
      <w:pPr>
        <w:pStyle w:val="Bullet1Single0"/>
      </w:pPr>
      <w:r>
        <w:t>Content marketing</w:t>
      </w:r>
    </w:p>
    <w:p w14:paraId="79A7B9AC" w14:textId="77777777" w:rsidR="001E2966" w:rsidRDefault="001E2966" w:rsidP="003A48F7">
      <w:pPr>
        <w:pStyle w:val="Bullet1Single0"/>
      </w:pPr>
      <w:r>
        <w:t>Search engine optimization</w:t>
      </w:r>
    </w:p>
    <w:p w14:paraId="328AFB03" w14:textId="77777777" w:rsidR="001E2966" w:rsidRDefault="001E2966" w:rsidP="003A48F7">
      <w:pPr>
        <w:pStyle w:val="Bullet1Double"/>
      </w:pPr>
      <w:r>
        <w:t xml:space="preserve">Advertising </w:t>
      </w:r>
    </w:p>
    <w:p w14:paraId="18CC81ED" w14:textId="27F226DE" w:rsidR="001E2966" w:rsidRDefault="001E2966" w:rsidP="001E2966">
      <w:pPr>
        <w:pStyle w:val="BodyText"/>
      </w:pPr>
      <w:r>
        <w:t xml:space="preserve">Our Public Communications </w:t>
      </w:r>
      <w:r w:rsidR="00C63A5F">
        <w:t>L</w:t>
      </w:r>
      <w:r>
        <w:t>ead will consider the appropriate use of the various digital marketing channels for each identified campaign</w:t>
      </w:r>
      <w:r w:rsidR="00CD08BF">
        <w:t xml:space="preserve">. </w:t>
      </w:r>
      <w:r w:rsidR="006936EF">
        <w:t>The following figures present the results of an actual digital marketing campaign</w:t>
      </w:r>
      <w:r w:rsidR="00CD08BF">
        <w:t xml:space="preserve">. </w:t>
      </w:r>
      <w:r w:rsidR="00EE20DB">
        <w:t>To prevent exposing any client information</w:t>
      </w:r>
      <w:r w:rsidR="005553D7">
        <w:t>, the figures include the results of a campaign</w:t>
      </w:r>
      <w:r w:rsidR="006936EF">
        <w:t xml:space="preserve"> conducted by Gainwell</w:t>
      </w:r>
      <w:r w:rsidR="005553D7">
        <w:t xml:space="preserve"> which included a social media</w:t>
      </w:r>
      <w:r w:rsidR="00F45FF1">
        <w:t xml:space="preserve"> component and digital advertising</w:t>
      </w:r>
      <w:r w:rsidR="00CD08BF">
        <w:t xml:space="preserve">. </w:t>
      </w:r>
      <w:r w:rsidR="00F45FF1">
        <w:t xml:space="preserve">The following figure includes the </w:t>
      </w:r>
      <w:r w:rsidR="0026261B" w:rsidRPr="00332EBF">
        <w:rPr>
          <w:b/>
          <w:bCs/>
        </w:rPr>
        <w:t>social media copy</w:t>
      </w:r>
      <w:r w:rsidR="00F45FF1">
        <w:t xml:space="preserve"> from a longer and shorter </w:t>
      </w:r>
      <w:r w:rsidR="007240A9">
        <w:t>post related to the announcement of a blog.</w:t>
      </w:r>
    </w:p>
    <w:p w14:paraId="2D4BD42E" w14:textId="3B1F0801" w:rsidR="001E2966" w:rsidRDefault="007240A9" w:rsidP="001E2966">
      <w:pPr>
        <w:pStyle w:val="FigureCaptionAuto"/>
        <w:rPr>
          <w:noProof/>
        </w:rPr>
      </w:pPr>
      <w:bookmarkStart w:id="116" w:name="_Toc173187541"/>
      <w:r>
        <w:rPr>
          <w:noProof/>
        </w:rPr>
        <w:t>Sample Social Media Copy from a Gainwell Digital Marketing Campaign</w:t>
      </w:r>
      <w:bookmarkEnd w:id="116"/>
    </w:p>
    <w:p w14:paraId="67D87EC7" w14:textId="77849040" w:rsidR="007240A9" w:rsidRDefault="007240A9" w:rsidP="007240A9">
      <w:pPr>
        <w:pStyle w:val="BodyText"/>
      </w:pPr>
      <w:r>
        <w:rPr>
          <w:noProof/>
          <w14:ligatures w14:val="standardContextual"/>
        </w:rPr>
        <w:drawing>
          <wp:inline distT="0" distB="0" distL="0" distR="0" wp14:anchorId="339EE009" wp14:editId="37798DB1">
            <wp:extent cx="5943600" cy="2157730"/>
            <wp:effectExtent l="0" t="0" r="0" b="0"/>
            <wp:docPr id="9459583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958321" name="Picture 1" descr="A screenshot of a computer&#10;&#10;Description automatically generated"/>
                    <pic:cNvPicPr/>
                  </pic:nvPicPr>
                  <pic:blipFill>
                    <a:blip r:embed="rId128"/>
                    <a:stretch>
                      <a:fillRect/>
                    </a:stretch>
                  </pic:blipFill>
                  <pic:spPr>
                    <a:xfrm>
                      <a:off x="0" y="0"/>
                      <a:ext cx="5943600" cy="2157730"/>
                    </a:xfrm>
                    <a:prstGeom prst="rect">
                      <a:avLst/>
                    </a:prstGeom>
                  </pic:spPr>
                </pic:pic>
              </a:graphicData>
            </a:graphic>
          </wp:inline>
        </w:drawing>
      </w:r>
    </w:p>
    <w:p w14:paraId="0409243C" w14:textId="1EA504D9" w:rsidR="00E61C58" w:rsidRDefault="007240A9" w:rsidP="004D41F5">
      <w:pPr>
        <w:pStyle w:val="BodyText"/>
      </w:pPr>
      <w:r>
        <w:t xml:space="preserve">The following figure illustrates the planning for </w:t>
      </w:r>
      <w:r w:rsidR="00956300" w:rsidRPr="00332EBF">
        <w:rPr>
          <w:b/>
          <w:bCs/>
        </w:rPr>
        <w:t>digital advertising</w:t>
      </w:r>
      <w:r w:rsidR="00956300">
        <w:t xml:space="preserve"> related to a Gainwell marketing campaign</w:t>
      </w:r>
      <w:r w:rsidR="0097720E">
        <w:t>.</w:t>
      </w:r>
    </w:p>
    <w:p w14:paraId="0D775866" w14:textId="26C15B12" w:rsidR="007240A9" w:rsidRDefault="007240A9" w:rsidP="004D41F5">
      <w:pPr>
        <w:pStyle w:val="FigureCaptionAuto"/>
        <w:rPr>
          <w:noProof/>
        </w:rPr>
      </w:pPr>
      <w:bookmarkStart w:id="117" w:name="_Toc173187542"/>
      <w:r>
        <w:rPr>
          <w:noProof/>
        </w:rPr>
        <w:t xml:space="preserve">Sample </w:t>
      </w:r>
      <w:r w:rsidR="00EC6988">
        <w:rPr>
          <w:noProof/>
        </w:rPr>
        <w:t>Digital Advertising</w:t>
      </w:r>
      <w:r>
        <w:rPr>
          <w:noProof/>
        </w:rPr>
        <w:t xml:space="preserve"> from Gainwell Digital Marketing Campaign</w:t>
      </w:r>
      <w:bookmarkEnd w:id="117"/>
    </w:p>
    <w:p w14:paraId="783D6AA0" w14:textId="4A40927A" w:rsidR="00971018" w:rsidRDefault="00971018" w:rsidP="004D41F5">
      <w:pPr>
        <w:pStyle w:val="BodyText"/>
      </w:pPr>
      <w:r>
        <w:rPr>
          <w:noProof/>
          <w14:ligatures w14:val="standardContextual"/>
        </w:rPr>
        <w:drawing>
          <wp:inline distT="0" distB="0" distL="0" distR="0" wp14:anchorId="2A402079" wp14:editId="1F24A03C">
            <wp:extent cx="5943600" cy="2279650"/>
            <wp:effectExtent l="0" t="0" r="0" b="6350"/>
            <wp:docPr id="1483756131" name="Picture 1" descr="A screenshot of a displ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756131" name="Picture 1" descr="A screenshot of a display&#10;&#10;Description automatically generated"/>
                    <pic:cNvPicPr/>
                  </pic:nvPicPr>
                  <pic:blipFill>
                    <a:blip r:embed="rId129"/>
                    <a:stretch>
                      <a:fillRect/>
                    </a:stretch>
                  </pic:blipFill>
                  <pic:spPr>
                    <a:xfrm>
                      <a:off x="0" y="0"/>
                      <a:ext cx="5943600" cy="2279650"/>
                    </a:xfrm>
                    <a:prstGeom prst="rect">
                      <a:avLst/>
                    </a:prstGeom>
                  </pic:spPr>
                </pic:pic>
              </a:graphicData>
            </a:graphic>
          </wp:inline>
        </w:drawing>
      </w:r>
    </w:p>
    <w:p w14:paraId="6681DC51" w14:textId="1DBE04BF" w:rsidR="00276DD4" w:rsidRDefault="0074773C" w:rsidP="004D41F5">
      <w:pPr>
        <w:pStyle w:val="BodyText"/>
      </w:pPr>
      <w:r>
        <w:lastRenderedPageBreak/>
        <w:t xml:space="preserve">Each campaign also produces engagement metrics. The following figure provides a sample of the type of </w:t>
      </w:r>
      <w:r w:rsidRPr="00332EBF">
        <w:rPr>
          <w:b/>
          <w:bCs/>
        </w:rPr>
        <w:t>engagement metrics</w:t>
      </w:r>
      <w:r>
        <w:t xml:space="preserve"> tracked for each campaign</w:t>
      </w:r>
      <w:r w:rsidR="00CD08BF">
        <w:t xml:space="preserve">. </w:t>
      </w:r>
      <w:r>
        <w:t xml:space="preserve">The example engagement metrics in the following figure are from an actual </w:t>
      </w:r>
      <w:r w:rsidR="00A35410">
        <w:t xml:space="preserve">small </w:t>
      </w:r>
      <w:r>
        <w:t xml:space="preserve">Gainwell </w:t>
      </w:r>
      <w:r w:rsidR="00EC6988">
        <w:t>marketing campaign conducted in May 2024 to a selected target audience</w:t>
      </w:r>
      <w:r w:rsidR="00CD08BF">
        <w:t xml:space="preserve">. </w:t>
      </w:r>
    </w:p>
    <w:p w14:paraId="504B51E6" w14:textId="40910A47" w:rsidR="0074773C" w:rsidRDefault="0074773C" w:rsidP="004D41F5">
      <w:pPr>
        <w:pStyle w:val="FigureCaptionAuto"/>
        <w:rPr>
          <w:noProof/>
        </w:rPr>
      </w:pPr>
      <w:bookmarkStart w:id="118" w:name="_Toc173187543"/>
      <w:r>
        <w:rPr>
          <w:noProof/>
        </w:rPr>
        <w:t xml:space="preserve">Sample </w:t>
      </w:r>
      <w:r w:rsidR="00EC6988">
        <w:rPr>
          <w:noProof/>
        </w:rPr>
        <w:t>Engagement Results Metrics</w:t>
      </w:r>
      <w:bookmarkEnd w:id="118"/>
    </w:p>
    <w:p w14:paraId="2D506B5F" w14:textId="0672037B" w:rsidR="00276DD4" w:rsidRDefault="0074773C" w:rsidP="004D41F5">
      <w:pPr>
        <w:pStyle w:val="BodyText"/>
      </w:pPr>
      <w:r w:rsidRPr="001E2966">
        <w:rPr>
          <w:noProof/>
        </w:rPr>
        <w:drawing>
          <wp:inline distT="0" distB="0" distL="0" distR="0" wp14:anchorId="5EFC45BF" wp14:editId="3170D833">
            <wp:extent cx="5943600" cy="4290695"/>
            <wp:effectExtent l="0" t="0" r="0" b="0"/>
            <wp:docPr id="1870028432" name="Picture 1"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028432" name="Picture 1" descr="A screenshot of a web page&#10;&#10;Description automatically generated"/>
                    <pic:cNvPicPr/>
                  </pic:nvPicPr>
                  <pic:blipFill>
                    <a:blip r:embed="rId130"/>
                    <a:stretch>
                      <a:fillRect/>
                    </a:stretch>
                  </pic:blipFill>
                  <pic:spPr>
                    <a:xfrm>
                      <a:off x="0" y="0"/>
                      <a:ext cx="5943600" cy="4290695"/>
                    </a:xfrm>
                    <a:prstGeom prst="rect">
                      <a:avLst/>
                    </a:prstGeom>
                  </pic:spPr>
                </pic:pic>
              </a:graphicData>
            </a:graphic>
          </wp:inline>
        </w:drawing>
      </w:r>
    </w:p>
    <w:p w14:paraId="2EED1C1D" w14:textId="48A681DC" w:rsidR="00E70F8C" w:rsidRDefault="00E42947" w:rsidP="004D41F5">
      <w:pPr>
        <w:pStyle w:val="BodyText"/>
      </w:pPr>
      <w:r>
        <w:t>The results of campaigns should be looked at in terms of the engagement that was achieved through the campaign</w:t>
      </w:r>
      <w:r w:rsidR="00CD08BF">
        <w:t xml:space="preserve">. </w:t>
      </w:r>
      <w:r w:rsidR="00E70F8C">
        <w:t>Engagement</w:t>
      </w:r>
      <w:r>
        <w:t xml:space="preserve"> is, however, one aspect o</w:t>
      </w:r>
      <w:r w:rsidR="00E26B5F">
        <w:t xml:space="preserve">f the results. </w:t>
      </w:r>
      <w:r w:rsidR="00E26B5F" w:rsidRPr="00F85FA3">
        <w:rPr>
          <w:b/>
          <w:bCs/>
        </w:rPr>
        <w:t>Marketing campaigns can have unintended consequences</w:t>
      </w:r>
      <w:r w:rsidR="00CD08BF">
        <w:t xml:space="preserve">. </w:t>
      </w:r>
    </w:p>
    <w:p w14:paraId="1804B1A2" w14:textId="370D2E13" w:rsidR="00474EB5" w:rsidRDefault="005511CD" w:rsidP="004D41F5">
      <w:pPr>
        <w:pStyle w:val="BodyText"/>
      </w:pPr>
      <w:r>
        <w:t xml:space="preserve">For example, a marketing campaign could </w:t>
      </w:r>
      <w:r w:rsidR="00E70F8C">
        <w:t xml:space="preserve">result in </w:t>
      </w:r>
      <w:r>
        <w:t>high engagement with many individuals opening content or clicking to the next layer</w:t>
      </w:r>
      <w:r w:rsidR="00CD08BF">
        <w:t xml:space="preserve">. </w:t>
      </w:r>
      <w:r>
        <w:t>These results do provide valuable information for analysis and lessons learned prior to the next campaign</w:t>
      </w:r>
      <w:r w:rsidR="00CD08BF">
        <w:t xml:space="preserve">. </w:t>
      </w:r>
      <w:r>
        <w:t>A potential unintended consequence could be increased call volume at the County contact center</w:t>
      </w:r>
      <w:r w:rsidR="00781806">
        <w:t xml:space="preserve"> as individuals try to setup acc</w:t>
      </w:r>
      <w:r w:rsidR="00E70F8C">
        <w:t xml:space="preserve">ounts or encounter difficulties in completing the </w:t>
      </w:r>
      <w:r w:rsidR="00474EB5">
        <w:t xml:space="preserve">marketed </w:t>
      </w:r>
      <w:r w:rsidR="00E70F8C">
        <w:t xml:space="preserve">process in BenefitsCal. </w:t>
      </w:r>
    </w:p>
    <w:p w14:paraId="563E21CF" w14:textId="3F4AABEB" w:rsidR="00E26B5F" w:rsidRDefault="004567B4" w:rsidP="004D41F5">
      <w:pPr>
        <w:pStyle w:val="BodyText"/>
      </w:pPr>
      <w:r>
        <w:rPr>
          <w:noProof/>
        </w:rPr>
        <w:lastRenderedPageBreak/>
        <w:drawing>
          <wp:anchor distT="0" distB="0" distL="114300" distR="114300" simplePos="0" relativeHeight="251658280" behindDoc="0" locked="0" layoutInCell="1" allowOverlap="1" wp14:anchorId="7B756F84" wp14:editId="23D92EBE">
            <wp:simplePos x="0" y="0"/>
            <wp:positionH relativeFrom="column">
              <wp:posOffset>3846927</wp:posOffset>
            </wp:positionH>
            <wp:positionV relativeFrom="paragraph">
              <wp:posOffset>107315</wp:posOffset>
            </wp:positionV>
            <wp:extent cx="1945005" cy="706120"/>
            <wp:effectExtent l="0" t="0" r="0" b="0"/>
            <wp:wrapSquare wrapText="bothSides"/>
            <wp:docPr id="1789714314" name="Picture 2" descr="A logo with a green circl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14314" name="Picture 2" descr="A logo with a green circle and black tex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45005" cy="706120"/>
                    </a:xfrm>
                    <a:prstGeom prst="rect">
                      <a:avLst/>
                    </a:prstGeom>
                    <a:noFill/>
                  </pic:spPr>
                </pic:pic>
              </a:graphicData>
            </a:graphic>
          </wp:anchor>
        </w:drawing>
      </w:r>
      <w:r w:rsidR="00E70F8C">
        <w:t xml:space="preserve">We will </w:t>
      </w:r>
      <w:r w:rsidR="00E70F8C" w:rsidRPr="00474EB5">
        <w:rPr>
          <w:b/>
          <w:bCs/>
        </w:rPr>
        <w:t>include County feedback when evaluating the results of the campaign</w:t>
      </w:r>
      <w:r w:rsidR="00E70F8C">
        <w:t xml:space="preserve"> to identify any unintended consequences</w:t>
      </w:r>
      <w:r w:rsidR="00CD08BF">
        <w:t xml:space="preserve">. </w:t>
      </w:r>
      <w:r w:rsidR="00474EB5">
        <w:t>This information can be used when developing future campaigns to avoid unintended consequences or to work with the Counties to pre-plan for the impact.</w:t>
      </w:r>
    </w:p>
    <w:p w14:paraId="13F9E03D" w14:textId="09E5F6EA" w:rsidR="00FA6051" w:rsidRDefault="00882D48" w:rsidP="004D41F5">
      <w:pPr>
        <w:pStyle w:val="BodyText"/>
      </w:pPr>
      <w:r>
        <w:t xml:space="preserve">While not </w:t>
      </w:r>
      <w:r w:rsidR="00FA6051">
        <w:t>included in our examples, we are also well versed in the other digital marketing mediums such as:</w:t>
      </w:r>
    </w:p>
    <w:p w14:paraId="79B1B855" w14:textId="77777777" w:rsidR="00FA6051" w:rsidRDefault="00FA6051" w:rsidP="003A48F7">
      <w:pPr>
        <w:pStyle w:val="Bullet1Single0"/>
      </w:pPr>
      <w:r>
        <w:t>Email and/or text marketing</w:t>
      </w:r>
    </w:p>
    <w:p w14:paraId="31F989B1" w14:textId="77777777" w:rsidR="00FA6051" w:rsidRDefault="00FA6051" w:rsidP="003A48F7">
      <w:pPr>
        <w:pStyle w:val="Bullet1Single0"/>
      </w:pPr>
      <w:r>
        <w:t>Content marketing</w:t>
      </w:r>
    </w:p>
    <w:p w14:paraId="4D242C08" w14:textId="77777777" w:rsidR="00FA6051" w:rsidRDefault="00FA6051" w:rsidP="00850A2E">
      <w:pPr>
        <w:pStyle w:val="CvrLtrBullet1Double"/>
      </w:pPr>
      <w:r>
        <w:t>Search engine optimization</w:t>
      </w:r>
    </w:p>
    <w:p w14:paraId="7CB3E3D2" w14:textId="2CB9289D" w:rsidR="008E4B31" w:rsidRDefault="005E6FBB" w:rsidP="004D41F5">
      <w:pPr>
        <w:pStyle w:val="BodyText"/>
      </w:pPr>
      <w:r>
        <w:t xml:space="preserve">An initial survey of the </w:t>
      </w:r>
      <w:r w:rsidR="00475B99">
        <w:t xml:space="preserve">online </w:t>
      </w:r>
      <w:r w:rsidR="008E4B31">
        <w:t xml:space="preserve">exposure </w:t>
      </w:r>
      <w:r w:rsidR="00C1103B">
        <w:t xml:space="preserve">and search engine optimization </w:t>
      </w:r>
      <w:r w:rsidR="008E4B31">
        <w:t xml:space="preserve">of the BenefitsCal website revealed </w:t>
      </w:r>
      <w:r w:rsidR="009338D5">
        <w:t>the following</w:t>
      </w:r>
      <w:r w:rsidR="008E4B31">
        <w:t>:</w:t>
      </w:r>
    </w:p>
    <w:p w14:paraId="4731CEEA" w14:textId="445E7A61" w:rsidR="00006622" w:rsidRPr="000960DB" w:rsidRDefault="00006622" w:rsidP="003A48F7">
      <w:pPr>
        <w:pStyle w:val="Bullet1Double"/>
      </w:pPr>
      <w:r w:rsidRPr="000960DB">
        <w:t>Other State partner websites do not highlight</w:t>
      </w:r>
      <w:r w:rsidR="006B1F9B">
        <w:t>,</w:t>
      </w:r>
      <w:r w:rsidRPr="000960DB">
        <w:t xml:space="preserve"> </w:t>
      </w:r>
      <w:r w:rsidR="003624D6">
        <w:t xml:space="preserve">or do not highlight </w:t>
      </w:r>
      <w:r w:rsidR="006B1F9B">
        <w:t xml:space="preserve">noticeably, </w:t>
      </w:r>
      <w:r w:rsidRPr="000960DB">
        <w:t>BenefitsCal as a way to apply for benefits</w:t>
      </w:r>
      <w:r w:rsidR="000960DB">
        <w:t xml:space="preserve"> or include a link to BenefitsCal</w:t>
      </w:r>
    </w:p>
    <w:p w14:paraId="3B49A590" w14:textId="5374A4B0" w:rsidR="005E6FBB" w:rsidRDefault="005E6FBB" w:rsidP="00B236EB">
      <w:pPr>
        <w:pStyle w:val="Bullet1Double"/>
      </w:pPr>
      <w:r w:rsidRPr="000960DB">
        <w:t xml:space="preserve">Google searches did not </w:t>
      </w:r>
      <w:r w:rsidR="00A33F72">
        <w:t xml:space="preserve">consistently </w:t>
      </w:r>
      <w:r w:rsidRPr="000960DB">
        <w:t>bring up BenefitsCal in the first page</w:t>
      </w:r>
      <w:r w:rsidR="00250B05" w:rsidRPr="000960DB">
        <w:t xml:space="preserve"> of the search results</w:t>
      </w:r>
      <w:r w:rsidR="0005612D" w:rsidRPr="000960DB">
        <w:t xml:space="preserve"> depending on the key words used</w:t>
      </w:r>
      <w:r w:rsidRPr="000960DB">
        <w:t xml:space="preserve">. </w:t>
      </w:r>
      <w:r w:rsidR="00BD7DFD">
        <w:t>However, if</w:t>
      </w:r>
      <w:r w:rsidR="00250B05" w:rsidRPr="000960DB">
        <w:t xml:space="preserve"> the word “benefits” was included, BenefitsCal </w:t>
      </w:r>
      <w:r w:rsidR="00A33F72">
        <w:t xml:space="preserve">did </w:t>
      </w:r>
      <w:r w:rsidR="00250B05" w:rsidRPr="000960DB">
        <w:t>typically return on the first page of results.</w:t>
      </w:r>
    </w:p>
    <w:p w14:paraId="4B3C6762" w14:textId="02AE934A" w:rsidR="009338D5" w:rsidRDefault="009338D5" w:rsidP="009338D5">
      <w:pPr>
        <w:pStyle w:val="BodyText"/>
      </w:pPr>
      <w:r>
        <w:t xml:space="preserve">These </w:t>
      </w:r>
      <w:r w:rsidR="00B86EB0">
        <w:t>observations</w:t>
      </w:r>
      <w:r>
        <w:t xml:space="preserve"> were not the result of a comprehensive survey</w:t>
      </w:r>
      <w:r w:rsidR="00316B96">
        <w:t xml:space="preserve"> and are not intended </w:t>
      </w:r>
      <w:r w:rsidR="00B86EB0">
        <w:t xml:space="preserve">to </w:t>
      </w:r>
      <w:r w:rsidR="00BE71E1">
        <w:t>reflect either positively or negatively on BenefitsCal.</w:t>
      </w:r>
      <w:r w:rsidR="008C0E16">
        <w:t xml:space="preserve"> </w:t>
      </w:r>
      <w:r w:rsidR="009D4CAC">
        <w:t>It is an example of the types of data we will seek out</w:t>
      </w:r>
      <w:r>
        <w:t xml:space="preserve"> to </w:t>
      </w:r>
      <w:r w:rsidRPr="008258EE">
        <w:rPr>
          <w:b/>
          <w:bCs/>
        </w:rPr>
        <w:t>understand the current online information environment in which BenefitsCal.com is operating</w:t>
      </w:r>
      <w:r w:rsidR="00CD08BF">
        <w:t xml:space="preserve">. </w:t>
      </w:r>
      <w:r w:rsidR="008A229A">
        <w:t xml:space="preserve">This </w:t>
      </w:r>
      <w:r w:rsidR="004B228D">
        <w:t xml:space="preserve">data </w:t>
      </w:r>
      <w:r w:rsidR="008A229A">
        <w:t>can</w:t>
      </w:r>
      <w:r w:rsidR="004B228D">
        <w:t xml:space="preserve"> inform actions that our Marketing and Communications team may recommend</w:t>
      </w:r>
      <w:r w:rsidR="00F67915">
        <w:t xml:space="preserve"> to increase exposure</w:t>
      </w:r>
      <w:r>
        <w:t>.</w:t>
      </w:r>
    </w:p>
    <w:p w14:paraId="7E57E4D9" w14:textId="77777777" w:rsidR="00C63A5F" w:rsidRDefault="00C63A5F" w:rsidP="00845702">
      <w:pPr>
        <w:pStyle w:val="Subheading"/>
      </w:pPr>
      <w:r>
        <w:t>Influencer Marketing</w:t>
      </w:r>
    </w:p>
    <w:p w14:paraId="6267872F" w14:textId="22E963E7" w:rsidR="00287AE1" w:rsidRDefault="00A320C4" w:rsidP="009338D5">
      <w:pPr>
        <w:pStyle w:val="BodyText"/>
      </w:pPr>
      <w:r>
        <w:rPr>
          <w:noProof/>
        </w:rPr>
        <w:drawing>
          <wp:anchor distT="0" distB="0" distL="114300" distR="114300" simplePos="0" relativeHeight="251658282" behindDoc="1" locked="0" layoutInCell="1" allowOverlap="1" wp14:anchorId="144B0FA6" wp14:editId="6E81F5D9">
            <wp:simplePos x="0" y="0"/>
            <wp:positionH relativeFrom="margin">
              <wp:align>left</wp:align>
            </wp:positionH>
            <wp:positionV relativeFrom="paragraph">
              <wp:posOffset>70485</wp:posOffset>
            </wp:positionV>
            <wp:extent cx="1784350" cy="609600"/>
            <wp:effectExtent l="0" t="0" r="6350" b="0"/>
            <wp:wrapTight wrapText="bothSides">
              <wp:wrapPolygon edited="0">
                <wp:start x="0" y="0"/>
                <wp:lineTo x="0" y="20925"/>
                <wp:lineTo x="21446" y="20925"/>
                <wp:lineTo x="21446" y="0"/>
                <wp:lineTo x="0" y="0"/>
              </wp:wrapPolygon>
            </wp:wrapTight>
            <wp:docPr id="1097959745" name="Picture 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959745" name="Picture 6" descr="A close up of a sign&#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784350" cy="609600"/>
                    </a:xfrm>
                    <a:prstGeom prst="rect">
                      <a:avLst/>
                    </a:prstGeom>
                    <a:noFill/>
                  </pic:spPr>
                </pic:pic>
              </a:graphicData>
            </a:graphic>
            <wp14:sizeRelH relativeFrom="page">
              <wp14:pctWidth>0</wp14:pctWidth>
            </wp14:sizeRelH>
            <wp14:sizeRelV relativeFrom="page">
              <wp14:pctHeight>0</wp14:pctHeight>
            </wp14:sizeRelV>
          </wp:anchor>
        </w:drawing>
      </w:r>
      <w:r w:rsidR="008258EE" w:rsidRPr="00C63A5F">
        <w:t>Influencer</w:t>
      </w:r>
      <w:r w:rsidR="00524B92" w:rsidRPr="00C63A5F">
        <w:t xml:space="preserve"> marketing</w:t>
      </w:r>
      <w:r w:rsidR="00524B92">
        <w:t xml:space="preserve"> can be highly effective in increasing exposure</w:t>
      </w:r>
      <w:r w:rsidR="00AB530A">
        <w:t xml:space="preserve"> and client engagement</w:t>
      </w:r>
      <w:r w:rsidR="00524B92">
        <w:t>.</w:t>
      </w:r>
      <w:r w:rsidR="007037F4">
        <w:t xml:space="preserve"> </w:t>
      </w:r>
      <w:r w:rsidR="0032108A">
        <w:t>There is a multiplier effect with the use</w:t>
      </w:r>
      <w:r w:rsidR="009F0B5E">
        <w:t xml:space="preserve"> of</w:t>
      </w:r>
      <w:r w:rsidR="0032108A">
        <w:t xml:space="preserve"> influencer marketing</w:t>
      </w:r>
      <w:r w:rsidR="00CD08BF">
        <w:t xml:space="preserve">. </w:t>
      </w:r>
      <w:r w:rsidR="0032108A">
        <w:t>If the influencer reaches 1,000 people</w:t>
      </w:r>
      <w:r w:rsidR="009F0B5E">
        <w:t xml:space="preserve">, </w:t>
      </w:r>
      <w:r w:rsidR="00287AE1">
        <w:t>many of these individuals will also influence several individuals in their social circles.</w:t>
      </w:r>
      <w:r w:rsidR="0032108A">
        <w:t xml:space="preserve"> </w:t>
      </w:r>
    </w:p>
    <w:p w14:paraId="651B007C" w14:textId="1A0F4FA4" w:rsidR="007037F4" w:rsidRDefault="00117B8E" w:rsidP="009338D5">
      <w:pPr>
        <w:pStyle w:val="BodyText"/>
      </w:pPr>
      <w:r>
        <w:t>Influencers can be highly effective at meeting the marketing goals of:</w:t>
      </w:r>
    </w:p>
    <w:p w14:paraId="0B394B7C" w14:textId="6EA00A1C" w:rsidR="00117B8E" w:rsidRDefault="00117B8E" w:rsidP="00B236EB">
      <w:pPr>
        <w:pStyle w:val="Bullet1Single0"/>
      </w:pPr>
      <w:r>
        <w:t>Increasing web traffic</w:t>
      </w:r>
    </w:p>
    <w:p w14:paraId="7585A76B" w14:textId="4D2F3921" w:rsidR="00117B8E" w:rsidRDefault="00117B8E" w:rsidP="00B236EB">
      <w:pPr>
        <w:pStyle w:val="Bullet1Single0"/>
      </w:pPr>
      <w:r>
        <w:t>Promoting content</w:t>
      </w:r>
    </w:p>
    <w:p w14:paraId="151E9D79" w14:textId="46AD5461" w:rsidR="00117B8E" w:rsidRDefault="00117B8E" w:rsidP="00B236EB">
      <w:pPr>
        <w:pStyle w:val="Bullet1Single0"/>
      </w:pPr>
      <w:r>
        <w:t>Increasing community engagement</w:t>
      </w:r>
    </w:p>
    <w:p w14:paraId="275C6A18" w14:textId="6723E30A" w:rsidR="00117B8E" w:rsidRDefault="00117B8E" w:rsidP="00B236EB">
      <w:pPr>
        <w:pStyle w:val="Bullet1Single0"/>
      </w:pPr>
      <w:r>
        <w:t>Increasing brand exposure</w:t>
      </w:r>
    </w:p>
    <w:p w14:paraId="2FE69C5F" w14:textId="0AA8BA65" w:rsidR="00CE730C" w:rsidRDefault="00CE730C" w:rsidP="00B236EB">
      <w:pPr>
        <w:pStyle w:val="Bullet1Double"/>
      </w:pPr>
      <w:r>
        <w:t>Reaching a new audience</w:t>
      </w:r>
    </w:p>
    <w:p w14:paraId="4BF0E918" w14:textId="71A4348A" w:rsidR="00CE730C" w:rsidRDefault="00CE730C" w:rsidP="009338D5">
      <w:pPr>
        <w:pStyle w:val="BodyText"/>
      </w:pPr>
      <w:r>
        <w:t xml:space="preserve">The first </w:t>
      </w:r>
      <w:r w:rsidR="00F64556">
        <w:t>step in pursuing influencer marketing is to establish a clear goal for the influencer campaign</w:t>
      </w:r>
      <w:r w:rsidR="00CD08BF">
        <w:t xml:space="preserve">. </w:t>
      </w:r>
      <w:r w:rsidR="002C3133">
        <w:t xml:space="preserve">Once the goal has been determined for the influencer </w:t>
      </w:r>
      <w:r w:rsidR="002C3133">
        <w:lastRenderedPageBreak/>
        <w:t>campaign, the task of locating influencer candidates begins</w:t>
      </w:r>
      <w:r w:rsidR="00CD08BF">
        <w:t xml:space="preserve">. </w:t>
      </w:r>
      <w:r w:rsidR="00AA11D0">
        <w:t xml:space="preserve">This activity is conducted through social media research and/or the use of influencer linking services. </w:t>
      </w:r>
      <w:r w:rsidR="00847025">
        <w:t>One of the biggest challenges to influencer marketing is identifying the influencers most relevant to the brand, in this case BenefitsCal.</w:t>
      </w:r>
    </w:p>
    <w:p w14:paraId="34CAA814" w14:textId="41519B1F" w:rsidR="0005663C" w:rsidRDefault="0005663C" w:rsidP="009338D5">
      <w:pPr>
        <w:pStyle w:val="BodyText"/>
      </w:pPr>
      <w:r>
        <w:t>After identifying candidate influencers, the process of influencer outreach begins.</w:t>
      </w:r>
      <w:r w:rsidR="004362AB">
        <w:t xml:space="preserve"> </w:t>
      </w:r>
      <w:r w:rsidR="003C2FA4">
        <w:t>Details of the influencer campaign are negotiated along with the appropriate agreement documentation to adhere to Consortium privacy and communications policies.</w:t>
      </w:r>
    </w:p>
    <w:p w14:paraId="37CD2159" w14:textId="33A09FD7" w:rsidR="003C2FA4" w:rsidRDefault="003C2FA4" w:rsidP="009338D5">
      <w:pPr>
        <w:pStyle w:val="BodyText"/>
      </w:pPr>
      <w:r>
        <w:t>The metrics which will be used to track</w:t>
      </w:r>
      <w:r w:rsidR="00161A88">
        <w:t xml:space="preserve"> success of the campaign should be developed before the start of the campaign</w:t>
      </w:r>
      <w:r w:rsidR="00CD08BF">
        <w:t xml:space="preserve">. </w:t>
      </w:r>
      <w:r w:rsidR="00161A88">
        <w:t>The results of the influencer campaign</w:t>
      </w:r>
      <w:r w:rsidR="004C747A">
        <w:t>, as measured through the pre-defined metrics, are evaluated for</w:t>
      </w:r>
      <w:r w:rsidR="00986412">
        <w:t xml:space="preserve"> modifications to</w:t>
      </w:r>
      <w:r w:rsidR="004C747A">
        <w:t xml:space="preserve"> future influencer campaigns.</w:t>
      </w:r>
    </w:p>
    <w:p w14:paraId="400F913B" w14:textId="67741DAA" w:rsidR="00B87450" w:rsidRDefault="00B87450" w:rsidP="009338D5">
      <w:pPr>
        <w:pStyle w:val="BodyText"/>
      </w:pPr>
      <w:r>
        <w:t xml:space="preserve">Our marketing plan goes beyond monitoring and observing </w:t>
      </w:r>
      <w:r w:rsidR="00DE7BAD">
        <w:t>social media content related to BenefitsCal</w:t>
      </w:r>
      <w:r w:rsidR="00CD08BF">
        <w:t xml:space="preserve">. </w:t>
      </w:r>
      <w:r w:rsidR="00DE7BAD">
        <w:t>We recommend influencing the BenefitsCal social media content and image</w:t>
      </w:r>
      <w:r w:rsidR="0037602E">
        <w:t xml:space="preserve"> through influencer marketing</w:t>
      </w:r>
      <w:r w:rsidR="00C63A5F">
        <w:t xml:space="preserve"> and effective digital marketing</w:t>
      </w:r>
      <w:r w:rsidR="00DE7BAD">
        <w:t>.</w:t>
      </w:r>
    </w:p>
    <w:p w14:paraId="0EBDB1E2" w14:textId="6588F350" w:rsidR="0097674A" w:rsidRPr="0097674A" w:rsidRDefault="0097674A" w:rsidP="00845702">
      <w:pPr>
        <w:pStyle w:val="Subheading"/>
      </w:pPr>
      <w:r w:rsidRPr="0097674A">
        <w:t>Error Detection</w:t>
      </w:r>
    </w:p>
    <w:p w14:paraId="7A3D1641" w14:textId="328F2DEB" w:rsidR="00034FB1" w:rsidRDefault="00126FBC" w:rsidP="009338D5">
      <w:pPr>
        <w:pStyle w:val="BodyText"/>
      </w:pPr>
      <w:r w:rsidRPr="00034FB1">
        <w:rPr>
          <w:b/>
          <w:bCs/>
        </w:rPr>
        <w:t>When building an image, the little things count</w:t>
      </w:r>
      <w:r w:rsidR="00CD08BF" w:rsidRPr="00034FB1">
        <w:rPr>
          <w:b/>
          <w:bCs/>
        </w:rPr>
        <w:t>.</w:t>
      </w:r>
      <w:r w:rsidR="00CD08BF">
        <w:t xml:space="preserve"> </w:t>
      </w:r>
      <w:r w:rsidR="00291F43">
        <w:t xml:space="preserve">Many BenefitsCal users </w:t>
      </w:r>
      <w:r w:rsidR="009B14B5">
        <w:t>engage with</w:t>
      </w:r>
      <w:r w:rsidR="00291F43">
        <w:t xml:space="preserve"> major company websites</w:t>
      </w:r>
      <w:r w:rsidR="00F451DB">
        <w:t xml:space="preserve"> which have set their expectations</w:t>
      </w:r>
      <w:r w:rsidR="00034FB1">
        <w:t xml:space="preserve"> for an error-free experience</w:t>
      </w:r>
      <w:r w:rsidR="00CD08BF">
        <w:t xml:space="preserve">. </w:t>
      </w:r>
    </w:p>
    <w:p w14:paraId="7B3DCF51" w14:textId="15C8E168" w:rsidR="00345011" w:rsidRDefault="00DE6FBE" w:rsidP="009338D5">
      <w:pPr>
        <w:pStyle w:val="BodyText"/>
      </w:pPr>
      <w:r>
        <w:t xml:space="preserve">We will </w:t>
      </w:r>
      <w:r w:rsidRPr="002D213B">
        <w:rPr>
          <w:b/>
          <w:bCs/>
        </w:rPr>
        <w:t>look at each page presented to users with a “fresh set of eyes</w:t>
      </w:r>
      <w:r w:rsidR="00345011" w:rsidRPr="002D213B">
        <w:rPr>
          <w:b/>
          <w:bCs/>
        </w:rPr>
        <w:t>”</w:t>
      </w:r>
      <w:r w:rsidR="00345011">
        <w:t xml:space="preserve"> to identify text errors or functionality confusing to a user unfamiliar with BenefitsCal</w:t>
      </w:r>
      <w:r w:rsidR="00CD08BF">
        <w:t xml:space="preserve">. </w:t>
      </w:r>
      <w:r w:rsidR="00345011">
        <w:t xml:space="preserve">For example, </w:t>
      </w:r>
      <w:r w:rsidR="00FA3482">
        <w:t xml:space="preserve">on the </w:t>
      </w:r>
      <w:r w:rsidR="0037602E">
        <w:t xml:space="preserve">BenefitsCal </w:t>
      </w:r>
      <w:r w:rsidR="00FA3482">
        <w:t>page to “Request your</w:t>
      </w:r>
      <w:r w:rsidR="00221B77">
        <w:t xml:space="preserve"> Community Based</w:t>
      </w:r>
      <w:r w:rsidR="00FA3482">
        <w:t xml:space="preserve"> Organizations</w:t>
      </w:r>
      <w:r w:rsidR="00221B77">
        <w:t xml:space="preserve"> </w:t>
      </w:r>
      <w:r w:rsidR="00FA3482">
        <w:t>Manager Account</w:t>
      </w:r>
      <w:r w:rsidR="00012823">
        <w:t xml:space="preserve">,” the following items would be </w:t>
      </w:r>
      <w:r w:rsidR="00651186">
        <w:t>reviewed with the Consortium for update</w:t>
      </w:r>
      <w:r w:rsidR="00C81672">
        <w:t>.</w:t>
      </w:r>
    </w:p>
    <w:p w14:paraId="4CF1F051" w14:textId="7116EBFB" w:rsidR="002F0534" w:rsidRDefault="00C04E31" w:rsidP="004345F2">
      <w:pPr>
        <w:pStyle w:val="Bullet1Double"/>
      </w:pPr>
      <w:r>
        <w:t xml:space="preserve">The </w:t>
      </w:r>
      <w:r w:rsidR="002F0534">
        <w:t xml:space="preserve">following </w:t>
      </w:r>
      <w:r>
        <w:t>statement</w:t>
      </w:r>
      <w:r w:rsidR="002F0534">
        <w:t>, with bold added to highlight the error,</w:t>
      </w:r>
      <w:r w:rsidR="00651186">
        <w:t xml:space="preserve"> </w:t>
      </w:r>
      <w:r w:rsidR="002F0534">
        <w:t xml:space="preserve">has a typo. The word client should have an “s” added. </w:t>
      </w:r>
      <w:r w:rsidR="00BB305B">
        <w:t>However</w:t>
      </w:r>
      <w:r w:rsidR="00850CD7">
        <w:t xml:space="preserve"> more importantly</w:t>
      </w:r>
      <w:r w:rsidR="00BB305B">
        <w:t>, this statement could result in general confusion</w:t>
      </w:r>
      <w:r w:rsidR="00CD08BF">
        <w:t xml:space="preserve">. </w:t>
      </w:r>
      <w:r w:rsidR="00BB305B">
        <w:t>The statement implies that there are California Counties that are not using BenefitsCal yet.</w:t>
      </w:r>
    </w:p>
    <w:p w14:paraId="5726E2F6" w14:textId="39693542" w:rsidR="00651186" w:rsidRPr="00A320C4" w:rsidRDefault="00C04E31" w:rsidP="00850A2E">
      <w:pPr>
        <w:pStyle w:val="CvrLtrBullet1Double"/>
        <w:numPr>
          <w:ilvl w:val="0"/>
          <w:numId w:val="0"/>
        </w:numPr>
        <w:ind w:left="720"/>
      </w:pPr>
      <w:r w:rsidRPr="00A320C4">
        <w:t>“</w:t>
      </w:r>
      <w:r w:rsidR="00651186" w:rsidRPr="00A320C4">
        <w:t xml:space="preserve">If the county where your organization serves the most </w:t>
      </w:r>
      <w:r w:rsidR="00651186" w:rsidRPr="00A320C4">
        <w:rPr>
          <w:b/>
        </w:rPr>
        <w:t xml:space="preserve">client </w:t>
      </w:r>
      <w:r w:rsidR="00651186" w:rsidRPr="00A320C4">
        <w:t>has not started using BenefitsCal yet, please select another county where your organization services clients.</w:t>
      </w:r>
      <w:r w:rsidR="002F0534" w:rsidRPr="00A320C4">
        <w:t>”</w:t>
      </w:r>
    </w:p>
    <w:p w14:paraId="5EC96A60" w14:textId="7E1D1763" w:rsidR="008B686C" w:rsidRDefault="00AA4049" w:rsidP="004345F2">
      <w:pPr>
        <w:pStyle w:val="Bullet1Double"/>
      </w:pPr>
      <w:r>
        <w:t>Similarly,</w:t>
      </w:r>
      <w:r w:rsidR="00BF53BF">
        <w:t xml:space="preserve"> the statement at the bottom of the page that </w:t>
      </w:r>
      <w:r w:rsidRPr="00A320C4">
        <w:t>“</w:t>
      </w:r>
      <w:r w:rsidR="00BF53BF" w:rsidRPr="00A320C4">
        <w:t>BenefitsCal ® is a registered</w:t>
      </w:r>
      <w:r w:rsidRPr="00A320C4">
        <w:t xml:space="preserve"> </w:t>
      </w:r>
      <w:r w:rsidR="00BF53BF" w:rsidRPr="00A320C4">
        <w:t>trademark of California Statewide Automated Welfare System (CalSAWS) Consortium IV Joint Powers Authority</w:t>
      </w:r>
      <w:r w:rsidR="00166848" w:rsidRPr="00A320C4">
        <w:t>”</w:t>
      </w:r>
      <w:r w:rsidR="00166848">
        <w:t xml:space="preserve"> appears to reference a Consortium IV that no longer exists.</w:t>
      </w:r>
    </w:p>
    <w:p w14:paraId="3CDEFF63" w14:textId="07704000" w:rsidR="004027A3" w:rsidRDefault="004027A3" w:rsidP="00AA4049">
      <w:pPr>
        <w:pStyle w:val="BodyText"/>
      </w:pPr>
      <w:r>
        <w:t xml:space="preserve">While none of these </w:t>
      </w:r>
      <w:r w:rsidR="00AB530A">
        <w:t xml:space="preserve">example </w:t>
      </w:r>
      <w:r>
        <w:t xml:space="preserve">items affect functionality, they can send </w:t>
      </w:r>
      <w:r w:rsidR="005C2EA7">
        <w:t xml:space="preserve">an incorrect </w:t>
      </w:r>
      <w:r>
        <w:t>message to CBOs that they are an afterthoug</w:t>
      </w:r>
      <w:r w:rsidR="005C2EA7">
        <w:t>ht</w:t>
      </w:r>
      <w:r w:rsidR="00700A97">
        <w:t xml:space="preserve"> or cause unnecessary confusion</w:t>
      </w:r>
      <w:r w:rsidR="00CD08BF">
        <w:t xml:space="preserve">. </w:t>
      </w:r>
    </w:p>
    <w:p w14:paraId="1D952BB8" w14:textId="00F7F98E" w:rsidR="000F57F6" w:rsidRDefault="000F57F6" w:rsidP="000F57F6">
      <w:pPr>
        <w:pStyle w:val="BodyText"/>
      </w:pPr>
      <w:r w:rsidRPr="00AB530A">
        <w:rPr>
          <w:b/>
        </w:rPr>
        <w:t>Language translation</w:t>
      </w:r>
      <w:r>
        <w:t xml:space="preserve"> is an important accessibility aspect</w:t>
      </w:r>
      <w:r w:rsidR="00CD08BF">
        <w:t xml:space="preserve">. </w:t>
      </w:r>
      <w:r>
        <w:t xml:space="preserve">We use Google Translate to rapidly obtain the initial version of </w:t>
      </w:r>
      <w:r w:rsidR="00363BB5">
        <w:t>a</w:t>
      </w:r>
      <w:r>
        <w:t xml:space="preserve"> translation</w:t>
      </w:r>
      <w:r w:rsidR="00CD08BF">
        <w:t xml:space="preserve">. </w:t>
      </w:r>
      <w:r w:rsidR="00363BB5">
        <w:t xml:space="preserve">To prevent errors in translated versions of </w:t>
      </w:r>
      <w:r w:rsidR="00363BB5">
        <w:lastRenderedPageBreak/>
        <w:t>communications, we provide the initial</w:t>
      </w:r>
      <w:r w:rsidR="003B2F82">
        <w:t xml:space="preserve"> Google Translate version</w:t>
      </w:r>
      <w:r w:rsidR="00363BB5">
        <w:t xml:space="preserve"> </w:t>
      </w:r>
      <w:r>
        <w:t>to our translation service to correct any errors and incorporate changes that are needed to adjust for normal patterns within the target language</w:t>
      </w:r>
      <w:r w:rsidR="00CD08BF">
        <w:t xml:space="preserve">. </w:t>
      </w:r>
      <w:r w:rsidR="003B2F82">
        <w:t>We also engage native speakers for spoken communications such as training videos.</w:t>
      </w:r>
    </w:p>
    <w:p w14:paraId="579DBE36" w14:textId="255F32F6" w:rsidR="00FC526C" w:rsidRDefault="00FC526C" w:rsidP="00FC526C">
      <w:pPr>
        <w:pStyle w:val="HeadingManual4"/>
      </w:pPr>
      <w:bookmarkStart w:id="119" w:name="_Toc173187500"/>
      <w:r>
        <w:t>4.4.1.1</w:t>
      </w:r>
      <w:r>
        <w:tab/>
        <w:t>Improving the BenefitsCal Image</w:t>
      </w:r>
      <w:bookmarkEnd w:id="119"/>
    </w:p>
    <w:p w14:paraId="29AA482F" w14:textId="77777777" w:rsidR="006E7AB8" w:rsidRDefault="00E64F5C" w:rsidP="00EC67DE">
      <w:pPr>
        <w:pStyle w:val="BodyText"/>
      </w:pPr>
      <w:r>
        <w:t>In addition to increased marketing and communication as described previously, the</w:t>
      </w:r>
      <w:r w:rsidR="001C2EA2">
        <w:t xml:space="preserve"> BenefitsCal image can be influenced by the </w:t>
      </w:r>
      <w:r w:rsidR="001C2EA2" w:rsidRPr="00940560">
        <w:rPr>
          <w:b/>
        </w:rPr>
        <w:t>inclusion of additional voices in the design process</w:t>
      </w:r>
      <w:r w:rsidR="001C2EA2">
        <w:t xml:space="preserve"> and</w:t>
      </w:r>
      <w:r>
        <w:t xml:space="preserve"> implementation of new functionality that provides value to BenefitsCal users.</w:t>
      </w:r>
    </w:p>
    <w:p w14:paraId="773F7843" w14:textId="6B93DA35" w:rsidR="006E7AB8" w:rsidRDefault="006E7AB8" w:rsidP="00EC67DE">
      <w:pPr>
        <w:pStyle w:val="BodyText"/>
        <w:rPr>
          <w:rFonts w:cstheme="minorHAnsi"/>
          <w:szCs w:val="22"/>
        </w:rPr>
      </w:pPr>
      <w:r>
        <w:rPr>
          <w:rFonts w:cstheme="minorHAnsi"/>
          <w:szCs w:val="22"/>
        </w:rPr>
        <w:t xml:space="preserve">Gainwell will, in collaboration with the Consortium, State </w:t>
      </w:r>
      <w:r w:rsidR="00904025">
        <w:rPr>
          <w:rFonts w:cstheme="minorHAnsi"/>
          <w:szCs w:val="22"/>
        </w:rPr>
        <w:t>p</w:t>
      </w:r>
      <w:r>
        <w:rPr>
          <w:rFonts w:cstheme="minorHAnsi"/>
          <w:szCs w:val="22"/>
        </w:rPr>
        <w:t>artners and Stakeholders</w:t>
      </w:r>
      <w:r w:rsidR="00904025">
        <w:rPr>
          <w:rFonts w:cstheme="minorHAnsi"/>
          <w:szCs w:val="22"/>
        </w:rPr>
        <w:t>,</w:t>
      </w:r>
      <w:r>
        <w:rPr>
          <w:rFonts w:cstheme="minorHAnsi"/>
          <w:szCs w:val="22"/>
        </w:rPr>
        <w:t xml:space="preserve"> </w:t>
      </w:r>
      <w:r w:rsidRPr="00C80C85">
        <w:rPr>
          <w:rFonts w:cstheme="minorHAnsi"/>
          <w:szCs w:val="22"/>
        </w:rPr>
        <w:t>conduct User research to understand the needs and goals of the target users</w:t>
      </w:r>
      <w:r w:rsidR="003F6212">
        <w:rPr>
          <w:rFonts w:cstheme="minorHAnsi"/>
          <w:szCs w:val="22"/>
        </w:rPr>
        <w:t xml:space="preserve"> as part of our UCD process described in Section 4.2.</w:t>
      </w:r>
      <w:r w:rsidR="00A92B26">
        <w:rPr>
          <w:rFonts w:cstheme="minorHAnsi"/>
          <w:szCs w:val="22"/>
        </w:rPr>
        <w:t xml:space="preserve"> </w:t>
      </w:r>
      <w:r w:rsidR="003F6212">
        <w:rPr>
          <w:rFonts w:cstheme="minorHAnsi"/>
          <w:szCs w:val="22"/>
        </w:rPr>
        <w:t>We</w:t>
      </w:r>
      <w:r w:rsidRPr="00C80C85">
        <w:rPr>
          <w:rFonts w:cstheme="minorHAnsi"/>
          <w:szCs w:val="22"/>
        </w:rPr>
        <w:t xml:space="preserve"> analyz</w:t>
      </w:r>
      <w:r w:rsidR="003F6212">
        <w:rPr>
          <w:rFonts w:cstheme="minorHAnsi"/>
          <w:szCs w:val="22"/>
        </w:rPr>
        <w:t>e</w:t>
      </w:r>
      <w:r w:rsidRPr="00C80C85">
        <w:rPr>
          <w:rFonts w:cstheme="minorHAnsi"/>
          <w:szCs w:val="22"/>
        </w:rPr>
        <w:t xml:space="preserve"> and synthesiz</w:t>
      </w:r>
      <w:r w:rsidR="003F6212">
        <w:rPr>
          <w:rFonts w:cstheme="minorHAnsi"/>
          <w:szCs w:val="22"/>
        </w:rPr>
        <w:t>e</w:t>
      </w:r>
      <w:r w:rsidRPr="00C80C85">
        <w:rPr>
          <w:rFonts w:cstheme="minorHAnsi"/>
          <w:szCs w:val="22"/>
        </w:rPr>
        <w:t xml:space="preserve"> the data to create use cases, develop design concepts and prototypes, </w:t>
      </w:r>
      <w:r w:rsidR="002C153E">
        <w:rPr>
          <w:rFonts w:cstheme="minorHAnsi"/>
          <w:szCs w:val="22"/>
        </w:rPr>
        <w:t xml:space="preserve">and </w:t>
      </w:r>
      <w:r w:rsidRPr="00C80C85">
        <w:rPr>
          <w:rFonts w:cstheme="minorHAnsi"/>
          <w:szCs w:val="22"/>
        </w:rPr>
        <w:t>test and evaluat</w:t>
      </w:r>
      <w:r w:rsidR="003F6212">
        <w:rPr>
          <w:rFonts w:cstheme="minorHAnsi"/>
          <w:szCs w:val="22"/>
        </w:rPr>
        <w:t>e</w:t>
      </w:r>
      <w:r w:rsidRPr="00C80C85">
        <w:rPr>
          <w:rFonts w:cstheme="minorHAnsi"/>
          <w:szCs w:val="22"/>
        </w:rPr>
        <w:t xml:space="preserve"> the solutions with Users and Stakeholders</w:t>
      </w:r>
      <w:r w:rsidR="002C153E">
        <w:rPr>
          <w:rFonts w:cstheme="minorHAnsi"/>
          <w:szCs w:val="22"/>
        </w:rPr>
        <w:t>. Each</w:t>
      </w:r>
      <w:r w:rsidRPr="00C80C85">
        <w:rPr>
          <w:rFonts w:cstheme="minorHAnsi"/>
          <w:szCs w:val="22"/>
        </w:rPr>
        <w:t xml:space="preserve"> iterat</w:t>
      </w:r>
      <w:r w:rsidR="002C153E">
        <w:rPr>
          <w:rFonts w:cstheme="minorHAnsi"/>
          <w:szCs w:val="22"/>
        </w:rPr>
        <w:t>ion further</w:t>
      </w:r>
      <w:r w:rsidRPr="00C80C85">
        <w:rPr>
          <w:rFonts w:cstheme="minorHAnsi"/>
          <w:szCs w:val="22"/>
        </w:rPr>
        <w:t xml:space="preserve"> refin</w:t>
      </w:r>
      <w:r w:rsidR="00A41E68">
        <w:rPr>
          <w:rFonts w:cstheme="minorHAnsi"/>
          <w:szCs w:val="22"/>
        </w:rPr>
        <w:t>es the</w:t>
      </w:r>
      <w:r w:rsidRPr="00C80C85">
        <w:rPr>
          <w:rFonts w:cstheme="minorHAnsi"/>
          <w:szCs w:val="22"/>
        </w:rPr>
        <w:t xml:space="preserve"> design solution</w:t>
      </w:r>
      <w:r w:rsidR="00BA7841">
        <w:rPr>
          <w:rFonts w:cstheme="minorHAnsi"/>
          <w:szCs w:val="22"/>
        </w:rPr>
        <w:t xml:space="preserve"> </w:t>
      </w:r>
      <w:r w:rsidRPr="00C80C85">
        <w:rPr>
          <w:rFonts w:cstheme="minorHAnsi"/>
          <w:szCs w:val="22"/>
        </w:rPr>
        <w:t xml:space="preserve">based upon test results and feedback, </w:t>
      </w:r>
      <w:r w:rsidR="002C153E">
        <w:rPr>
          <w:rFonts w:cstheme="minorHAnsi"/>
          <w:szCs w:val="22"/>
        </w:rPr>
        <w:t>including communication</w:t>
      </w:r>
      <w:r w:rsidRPr="00C80C85">
        <w:rPr>
          <w:rFonts w:cstheme="minorHAnsi"/>
          <w:szCs w:val="22"/>
        </w:rPr>
        <w:t xml:space="preserve"> with the Application Manager and the Project team members to ensure </w:t>
      </w:r>
      <w:r w:rsidR="002C153E">
        <w:rPr>
          <w:rFonts w:cstheme="minorHAnsi"/>
          <w:szCs w:val="22"/>
        </w:rPr>
        <w:t xml:space="preserve">continued </w:t>
      </w:r>
      <w:r w:rsidRPr="00C80C85">
        <w:rPr>
          <w:rFonts w:cstheme="minorHAnsi"/>
          <w:szCs w:val="22"/>
        </w:rPr>
        <w:t xml:space="preserve">alignment with objectives. </w:t>
      </w:r>
    </w:p>
    <w:p w14:paraId="27F2222A" w14:textId="458BC132" w:rsidR="007D2DCF" w:rsidRDefault="007D2DCF" w:rsidP="007D2DCF">
      <w:pPr>
        <w:pStyle w:val="BodyText"/>
      </w:pPr>
      <w:r>
        <w:t>Our extensive experience in providing public facing portals for our health and human services clients in multiple states, including California, has required an intense focus on user centered design</w:t>
      </w:r>
      <w:r w:rsidR="00557A94">
        <w:t xml:space="preserve">. </w:t>
      </w:r>
      <w:r w:rsidR="000074DC">
        <w:t xml:space="preserve">As described in Section 4.2, our </w:t>
      </w:r>
      <w:r>
        <w:t xml:space="preserve">UCD process is integrated into our SDLC in four focus areas or phases, Identify, Design, Build and Deploy and Feedback. </w:t>
      </w:r>
    </w:p>
    <w:p w14:paraId="0F1579DB" w14:textId="48FE79A7" w:rsidR="007D2DCF" w:rsidRPr="0059666E" w:rsidRDefault="007D2DCF" w:rsidP="007D2DCF">
      <w:pPr>
        <w:pStyle w:val="BodyText"/>
        <w:keepNext/>
      </w:pPr>
      <w:r>
        <w:t xml:space="preserve">As illustrated in the figure below, the Gainwell team integrates UCD elements into </w:t>
      </w:r>
      <w:r w:rsidR="00C63A5F">
        <w:t xml:space="preserve">our </w:t>
      </w:r>
      <w:r>
        <w:t>SDLC</w:t>
      </w:r>
      <w:r w:rsidR="000074DC">
        <w:t xml:space="preserve"> with a significant emphasis on UCD techniques that incorporate </w:t>
      </w:r>
      <w:r w:rsidR="00737B63">
        <w:t>User research</w:t>
      </w:r>
      <w:r w:rsidR="00F567D1">
        <w:t xml:space="preserve"> and interaction</w:t>
      </w:r>
      <w:r>
        <w:t>.</w:t>
      </w:r>
    </w:p>
    <w:p w14:paraId="45F07CCF" w14:textId="0989F9F8" w:rsidR="007D2DCF" w:rsidRDefault="007D2DCF" w:rsidP="007D2DCF">
      <w:pPr>
        <w:pStyle w:val="FigureCaptionAuto"/>
      </w:pPr>
      <w:bookmarkStart w:id="120" w:name="_Toc173187544"/>
      <w:r>
        <w:t xml:space="preserve">UCD </w:t>
      </w:r>
      <w:r w:rsidR="00B95185">
        <w:t xml:space="preserve">Techniques Integrated </w:t>
      </w:r>
      <w:r w:rsidR="00A2613A">
        <w:t>into</w:t>
      </w:r>
      <w:r w:rsidR="00B95185">
        <w:t xml:space="preserve"> Our Methodology</w:t>
      </w:r>
      <w:bookmarkEnd w:id="120"/>
    </w:p>
    <w:p w14:paraId="7BD9D20C" w14:textId="19E92147" w:rsidR="007D2DCF" w:rsidRDefault="00D41B33" w:rsidP="00EC67DE">
      <w:pPr>
        <w:pStyle w:val="BodyText"/>
        <w:rPr>
          <w:rFonts w:cstheme="minorHAnsi"/>
          <w:szCs w:val="22"/>
        </w:rPr>
      </w:pPr>
      <w:r>
        <w:rPr>
          <w:noProof/>
        </w:rPr>
        <w:drawing>
          <wp:inline distT="0" distB="0" distL="0" distR="0" wp14:anchorId="1FAE66B4" wp14:editId="0A4AAB13">
            <wp:extent cx="5943600" cy="2407028"/>
            <wp:effectExtent l="0" t="0" r="0" b="0"/>
            <wp:docPr id="83358149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581493" name="Picture 1" descr="A screenshot of a computer&#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3600" cy="2407028"/>
                    </a:xfrm>
                    <a:prstGeom prst="rect">
                      <a:avLst/>
                    </a:prstGeom>
                    <a:noFill/>
                  </pic:spPr>
                </pic:pic>
              </a:graphicData>
            </a:graphic>
          </wp:inline>
        </w:drawing>
      </w:r>
    </w:p>
    <w:p w14:paraId="664B2CC9" w14:textId="73F40899" w:rsidR="00EC67DE" w:rsidRDefault="00882AFF" w:rsidP="00EC67DE">
      <w:pPr>
        <w:pStyle w:val="BodyText"/>
      </w:pPr>
      <w:r>
        <w:lastRenderedPageBreak/>
        <w:t xml:space="preserve">Our proposed User research </w:t>
      </w:r>
      <w:r w:rsidR="00CE2150">
        <w:t>expands upon the UCD techniques in place on the BenefitsCal project today</w:t>
      </w:r>
      <w:r w:rsidR="00557A94">
        <w:t xml:space="preserve">. </w:t>
      </w:r>
      <w:r w:rsidR="00CE2150">
        <w:t>For example, p</w:t>
      </w:r>
      <w:r w:rsidR="00EC67DE">
        <w:t>roduct analytics using information from tools such as Amplitude provide insight into things such as where users are abandoning the portal</w:t>
      </w:r>
      <w:r w:rsidR="00CE2150">
        <w:t xml:space="preserve"> and </w:t>
      </w:r>
      <w:r w:rsidR="00EC67DE">
        <w:t>what features they access</w:t>
      </w:r>
      <w:r w:rsidR="00557A94">
        <w:t xml:space="preserve">. </w:t>
      </w:r>
      <w:r w:rsidR="00EC67DE">
        <w:t>What this analysis of data often does not provide is the “why,” leaving product teams theorizing about what steps will address the problem area</w:t>
      </w:r>
      <w:r w:rsidR="00557A94">
        <w:t xml:space="preserve">. </w:t>
      </w:r>
    </w:p>
    <w:p w14:paraId="7051C655" w14:textId="77777777" w:rsidR="00E456C8" w:rsidRPr="00E456C8" w:rsidRDefault="00E456C8" w:rsidP="00845702">
      <w:pPr>
        <w:pStyle w:val="Subheading"/>
      </w:pPr>
      <w:r w:rsidRPr="00E456C8">
        <w:t>Advanced User Research Techniques</w:t>
      </w:r>
    </w:p>
    <w:p w14:paraId="6D02009F" w14:textId="4DB6E8CE" w:rsidR="00EC67DE" w:rsidRDefault="00EC67DE" w:rsidP="00EC67DE">
      <w:pPr>
        <w:pStyle w:val="BodyText"/>
      </w:pPr>
      <w:r w:rsidRPr="00F81570">
        <w:t>We</w:t>
      </w:r>
      <w:r>
        <w:t xml:space="preserve"> are proposing the introduction of advanced </w:t>
      </w:r>
      <w:r w:rsidR="005E6148">
        <w:t>U</w:t>
      </w:r>
      <w:r>
        <w:t>ser research techniques to increase our pool of data and help identify the “why</w:t>
      </w:r>
      <w:r w:rsidR="00557A94">
        <w:t>.”</w:t>
      </w:r>
      <w:r w:rsidR="00A92B26">
        <w:t xml:space="preserve"> </w:t>
      </w:r>
      <w:r>
        <w:t>These techniques</w:t>
      </w:r>
      <w:r w:rsidR="005E6148">
        <w:t>,</w:t>
      </w:r>
      <w:r w:rsidR="00CE2150">
        <w:t xml:space="preserve"> as described in Section 4.2</w:t>
      </w:r>
      <w:r w:rsidR="005E6148">
        <w:t>,</w:t>
      </w:r>
      <w:r>
        <w:t xml:space="preserve"> include:</w:t>
      </w:r>
    </w:p>
    <w:p w14:paraId="00DEB94B" w14:textId="77777777" w:rsidR="00EC67DE" w:rsidRDefault="00EC67DE" w:rsidP="004345F2">
      <w:pPr>
        <w:pStyle w:val="Bullet1Double"/>
      </w:pPr>
      <w:r>
        <w:rPr>
          <w:b/>
        </w:rPr>
        <w:t>Ethnographic Studies</w:t>
      </w:r>
      <w:r>
        <w:t>: Provide rich, contextual insights into user behavior and cultural influences, leading to more user-centric designs.</w:t>
      </w:r>
    </w:p>
    <w:p w14:paraId="7B772A84" w14:textId="77777777" w:rsidR="00EC67DE" w:rsidRDefault="00EC67DE" w:rsidP="004345F2">
      <w:pPr>
        <w:pStyle w:val="Bullet1Double"/>
      </w:pPr>
      <w:r>
        <w:rPr>
          <w:b/>
        </w:rPr>
        <w:t>Longitudinal Studies</w:t>
      </w:r>
      <w:r>
        <w:t>: Offer a comprehensive understanding of how user needs and portal interactions change over time, allowing for continuous improvement.</w:t>
      </w:r>
    </w:p>
    <w:p w14:paraId="25A6F39B" w14:textId="77777777" w:rsidR="00EC67DE" w:rsidRDefault="00EC67DE" w:rsidP="00EC67DE">
      <w:pPr>
        <w:pStyle w:val="BodyText"/>
      </w:pPr>
      <w:r w:rsidRPr="009F0686">
        <w:rPr>
          <w:b/>
          <w:bCs/>
        </w:rPr>
        <w:t>Ethnographic studies</w:t>
      </w:r>
      <w:r>
        <w:t xml:space="preserve"> attempt to uncover the real usage of portal rather than the remembered experience. Often an individual’s recollection of an event or how they used the portal, may not align with the actual usage. This is a normal phenomenon encountered with post usage interviews or surveys. Ethnographic studies are designed to observe usage as it happens to enhance the data obtained through other techniques.</w:t>
      </w:r>
    </w:p>
    <w:p w14:paraId="77CA7D18" w14:textId="35F453B1" w:rsidR="003465CE" w:rsidRDefault="00EC67DE" w:rsidP="00EC67DE">
      <w:pPr>
        <w:pStyle w:val="BodyText"/>
      </w:pPr>
      <w:r>
        <w:t xml:space="preserve">We will work with the Consortium, </w:t>
      </w:r>
      <w:r w:rsidR="00557A94">
        <w:t>Counties,</w:t>
      </w:r>
      <w:r>
        <w:t xml:space="preserve"> and other stakeholders to identify the participants and </w:t>
      </w:r>
      <w:r w:rsidR="003A384B">
        <w:t xml:space="preserve">the </w:t>
      </w:r>
      <w:r>
        <w:t xml:space="preserve">extent of the studies; however, </w:t>
      </w:r>
      <w:r w:rsidR="003465CE">
        <w:t>two potential ways to conduct ethnographic research while simultaneously</w:t>
      </w:r>
      <w:r w:rsidR="0077010C">
        <w:t xml:space="preserve"> assisting </w:t>
      </w:r>
      <w:r w:rsidR="003465CE">
        <w:t>volunteer Counties include:</w:t>
      </w:r>
    </w:p>
    <w:p w14:paraId="33F5E489" w14:textId="69BEC298" w:rsidR="003465CE" w:rsidRPr="003465CE" w:rsidRDefault="00FE1178" w:rsidP="004345F2">
      <w:pPr>
        <w:pStyle w:val="Bullet1Double"/>
      </w:pPr>
      <w:r>
        <w:t xml:space="preserve">Client </w:t>
      </w:r>
      <w:r w:rsidRPr="00E56B97">
        <w:rPr>
          <w:b/>
        </w:rPr>
        <w:t>o</w:t>
      </w:r>
      <w:r w:rsidR="00EC67DE" w:rsidRPr="00E56B97">
        <w:rPr>
          <w:b/>
        </w:rPr>
        <w:t>utreach interactions</w:t>
      </w:r>
      <w:r w:rsidR="00EC67DE" w:rsidRPr="003465CE">
        <w:t xml:space="preserve"> described </w:t>
      </w:r>
      <w:r w:rsidR="003465CE" w:rsidRPr="003465CE">
        <w:t>in a subsequent subsection</w:t>
      </w:r>
    </w:p>
    <w:p w14:paraId="10DC44AC" w14:textId="7FD536AF" w:rsidR="00EC67DE" w:rsidRPr="003465CE" w:rsidRDefault="003465CE" w:rsidP="004345F2">
      <w:pPr>
        <w:pStyle w:val="Bullet1Double"/>
      </w:pPr>
      <w:r w:rsidRPr="003465CE">
        <w:t>P</w:t>
      </w:r>
      <w:r w:rsidR="00EC67DE" w:rsidRPr="003465CE">
        <w:t xml:space="preserve">roviding </w:t>
      </w:r>
      <w:r w:rsidR="00EC67DE" w:rsidRPr="00E56B97">
        <w:rPr>
          <w:b/>
        </w:rPr>
        <w:t>portal assistance in County offices</w:t>
      </w:r>
      <w:r w:rsidR="00EC67DE" w:rsidRPr="003465CE">
        <w:t xml:space="preserve"> that offer the online option in their lobbies</w:t>
      </w:r>
    </w:p>
    <w:p w14:paraId="6D433946" w14:textId="77777777" w:rsidR="00EC67DE" w:rsidRDefault="00EC67DE" w:rsidP="00EC67DE">
      <w:pPr>
        <w:pStyle w:val="BodyText"/>
      </w:pPr>
      <w:r>
        <w:t>Ethnographic studies also lend credibility to research findings and assist with stakeholder buy-in to the real source of problems that users are encountering.</w:t>
      </w:r>
    </w:p>
    <w:p w14:paraId="46F91483" w14:textId="69BE16FF" w:rsidR="00EC67DE" w:rsidRDefault="00EC67DE" w:rsidP="00EC67DE">
      <w:pPr>
        <w:pStyle w:val="BodyText"/>
      </w:pPr>
      <w:r w:rsidRPr="006B50C4">
        <w:rPr>
          <w:b/>
          <w:bCs/>
        </w:rPr>
        <w:t>Longitudinal studies</w:t>
      </w:r>
      <w:r>
        <w:t xml:space="preserve"> are designed to gather observations of the same participants over time. This information is invaluable in determining how usage patterns change as a person moves from applicant to recipient or experiences life changes. These individuals can also provide insight into what features they wish were present in the portal as they experience changes in their situation over time.</w:t>
      </w:r>
      <w:r w:rsidR="00A86893">
        <w:t xml:space="preserve"> </w:t>
      </w:r>
    </w:p>
    <w:p w14:paraId="59215DA0" w14:textId="2422DCCA" w:rsidR="00A86893" w:rsidRDefault="00A86893" w:rsidP="00EC67DE">
      <w:pPr>
        <w:pStyle w:val="BodyText"/>
      </w:pPr>
      <w:r>
        <w:t xml:space="preserve">As with the ethnographic studies, we will work with the Consortium, </w:t>
      </w:r>
      <w:r w:rsidR="00557A94">
        <w:t>Counties,</w:t>
      </w:r>
      <w:r>
        <w:t xml:space="preserve"> and other stakeholders to identify the participants and extent of the studies including identification of </w:t>
      </w:r>
      <w:r w:rsidR="003D6B27">
        <w:t>under-represented</w:t>
      </w:r>
      <w:r>
        <w:t xml:space="preserve"> cohorts such as individuals with disabilities or persons experiencing language barriers.</w:t>
      </w:r>
    </w:p>
    <w:p w14:paraId="1E6EE4BD" w14:textId="5C02BD7B" w:rsidR="003D6B27" w:rsidRDefault="00465CEA" w:rsidP="003D6B27">
      <w:pPr>
        <w:pStyle w:val="BodyText"/>
      </w:pPr>
      <w:r w:rsidRPr="00465CEA">
        <w:rPr>
          <w:noProof/>
        </w:rPr>
        <w:lastRenderedPageBreak/>
        <w:drawing>
          <wp:anchor distT="0" distB="0" distL="114300" distR="114300" simplePos="0" relativeHeight="251658305" behindDoc="0" locked="0" layoutInCell="1" allowOverlap="1" wp14:anchorId="68E30AEA" wp14:editId="4CD10CC6">
            <wp:simplePos x="0" y="0"/>
            <wp:positionH relativeFrom="column">
              <wp:posOffset>4134143</wp:posOffset>
            </wp:positionH>
            <wp:positionV relativeFrom="paragraph">
              <wp:posOffset>265919</wp:posOffset>
            </wp:positionV>
            <wp:extent cx="1680210" cy="712470"/>
            <wp:effectExtent l="0" t="0" r="0" b="0"/>
            <wp:wrapSquare wrapText="bothSides"/>
            <wp:docPr id="1705860025" name="Graphic 11">
              <a:extLst xmlns:a="http://schemas.openxmlformats.org/drawingml/2006/main">
                <a:ext uri="{FF2B5EF4-FFF2-40B4-BE49-F238E27FC236}">
                  <a16:creationId xmlns:a16="http://schemas.microsoft.com/office/drawing/2014/main" id="{C33ADF9B-C1E7-8B84-7702-A861EED7B8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1">
                      <a:extLst>
                        <a:ext uri="{FF2B5EF4-FFF2-40B4-BE49-F238E27FC236}">
                          <a16:creationId xmlns:a16="http://schemas.microsoft.com/office/drawing/2014/main" id="{C33ADF9B-C1E7-8B84-7702-A861EED7B894}"/>
                        </a:ext>
                      </a:extLst>
                    </pic:cNvPr>
                    <pic:cNvPicPr>
                      <a:picLocks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1680210" cy="712470"/>
                    </a:xfrm>
                    <a:prstGeom prst="rect">
                      <a:avLst/>
                    </a:prstGeom>
                  </pic:spPr>
                </pic:pic>
              </a:graphicData>
            </a:graphic>
            <wp14:sizeRelH relativeFrom="margin">
              <wp14:pctWidth>0</wp14:pctWidth>
            </wp14:sizeRelH>
            <wp14:sizeRelV relativeFrom="margin">
              <wp14:pctHeight>0</wp14:pctHeight>
            </wp14:sizeRelV>
          </wp:anchor>
        </w:drawing>
      </w:r>
      <w:r w:rsidR="003D6B27">
        <w:t>While the BenefitsCal project has engaged many users</w:t>
      </w:r>
      <w:r w:rsidR="00A472A2">
        <w:t xml:space="preserve"> to obtain feedback</w:t>
      </w:r>
      <w:r w:rsidR="003D6B27">
        <w:t>, Gainwell will ensure continuous engagement</w:t>
      </w:r>
      <w:r w:rsidR="00A472A2">
        <w:t xml:space="preserve"> through</w:t>
      </w:r>
      <w:r w:rsidR="003D6B27">
        <w:t>:</w:t>
      </w:r>
      <w:r w:rsidRPr="00465CEA">
        <w:rPr>
          <w:noProof/>
          <w:color w:val="000000"/>
          <w14:ligatures w14:val="standardContextual"/>
        </w:rPr>
        <w:t xml:space="preserve"> </w:t>
      </w:r>
    </w:p>
    <w:p w14:paraId="1F49E527" w14:textId="77777777" w:rsidR="003D6B27" w:rsidRDefault="003D6B27" w:rsidP="00850A2E">
      <w:pPr>
        <w:pStyle w:val="CvrLtrBullet1Double"/>
      </w:pPr>
      <w:r>
        <w:rPr>
          <w:b/>
        </w:rPr>
        <w:t>Regular User Feedback Loops</w:t>
      </w:r>
      <w:r>
        <w:t>: Implementing mechanisms for ongoing user feedback collection post-launch to continually refine the product.</w:t>
      </w:r>
    </w:p>
    <w:p w14:paraId="70E8CF60" w14:textId="77777777" w:rsidR="003D6B27" w:rsidRDefault="003D6B27" w:rsidP="00850A2E">
      <w:pPr>
        <w:pStyle w:val="CvrLtrBullet1Double"/>
      </w:pPr>
      <w:r>
        <w:rPr>
          <w:b/>
        </w:rPr>
        <w:t>User Advisory Panels</w:t>
      </w:r>
      <w:r>
        <w:t>: Establishing panels that regularly provide input on upcoming features and changes.</w:t>
      </w:r>
    </w:p>
    <w:p w14:paraId="2E687748" w14:textId="77777777" w:rsidR="003D6B27" w:rsidRDefault="003D6B27" w:rsidP="00850A2E">
      <w:pPr>
        <w:pStyle w:val="CvrLtrBullet1Double"/>
      </w:pPr>
      <w:r>
        <w:rPr>
          <w:b/>
        </w:rPr>
        <w:t>Outreach</w:t>
      </w:r>
      <w:r w:rsidRPr="0006168C">
        <w:t>:</w:t>
      </w:r>
      <w:r>
        <w:t xml:space="preserve"> Client outreach is a rich source of information on how a portal is used, what the barriers are to adoption and where individuals become frustrated with portal usage</w:t>
      </w:r>
    </w:p>
    <w:p w14:paraId="78B4E416" w14:textId="3C31817C" w:rsidR="003D6B27" w:rsidRPr="00524593" w:rsidRDefault="003D6B27" w:rsidP="00845702">
      <w:pPr>
        <w:pStyle w:val="Subheading"/>
        <w:rPr>
          <w:bCs/>
        </w:rPr>
      </w:pPr>
      <w:r w:rsidRPr="004A46D5">
        <w:t>Enhanced Data Analytics</w:t>
      </w:r>
      <w:r w:rsidRPr="00524593">
        <w:t xml:space="preserve"> </w:t>
      </w:r>
    </w:p>
    <w:p w14:paraId="4E9F2584" w14:textId="77777777" w:rsidR="003D6B27" w:rsidRDefault="003D6B27" w:rsidP="003D6B27">
      <w:pPr>
        <w:pStyle w:val="BodyText"/>
      </w:pPr>
      <w:r>
        <w:t>Gainwell will leverage data/product analytics to gain actionable insights from user interactions. By analyzing user data, Gainwell can identify patterns and areas for improvement that may not be evident through traditional UCD methods.</w:t>
      </w:r>
    </w:p>
    <w:p w14:paraId="4A6F06CE" w14:textId="2DD1FB3B" w:rsidR="003D6B27" w:rsidRDefault="003D6B27" w:rsidP="003D6B27">
      <w:pPr>
        <w:pStyle w:val="BodyText"/>
      </w:pPr>
      <w:r>
        <w:t xml:space="preserve">Product analytics provides insights into user behavior. These insights can identify friction points, provide areas for optimization </w:t>
      </w:r>
      <w:r w:rsidR="0013401B">
        <w:t>such as</w:t>
      </w:r>
      <w:r>
        <w:t xml:space="preserve"> client access and onboarding and measure engagement.</w:t>
      </w:r>
    </w:p>
    <w:p w14:paraId="2064DC1D" w14:textId="351C3CE0" w:rsidR="003D6B27" w:rsidRDefault="004A46D5" w:rsidP="003D6B27">
      <w:pPr>
        <w:pStyle w:val="BodyText"/>
      </w:pPr>
      <w:r>
        <w:t>By analyzing</w:t>
      </w:r>
      <w:r w:rsidR="003D6B27" w:rsidRPr="00A6660B">
        <w:t xml:space="preserve"> data provided through Amplitude, </w:t>
      </w:r>
      <w:r w:rsidR="003D6B27">
        <w:t>user drop off can be identified and better understood</w:t>
      </w:r>
      <w:r w:rsidR="00557A94">
        <w:t xml:space="preserve">. </w:t>
      </w:r>
      <w:r w:rsidR="003D6B27">
        <w:t>Using this information, other UCD techniques</w:t>
      </w:r>
      <w:r w:rsidR="0013401B">
        <w:t>,</w:t>
      </w:r>
      <w:r w:rsidR="003D6B27">
        <w:t xml:space="preserve"> such as focus groups, </w:t>
      </w:r>
      <w:r w:rsidR="00557A94">
        <w:t>interviews,</w:t>
      </w:r>
      <w:r w:rsidR="003D6B27">
        <w:t xml:space="preserve"> and observation</w:t>
      </w:r>
      <w:r w:rsidR="0013401B">
        <w:t>,</w:t>
      </w:r>
      <w:r w:rsidR="003D6B27">
        <w:t xml:space="preserve"> can be employed to identify improvements for a better customer experience.</w:t>
      </w:r>
    </w:p>
    <w:p w14:paraId="585CFEC1" w14:textId="3C79A616" w:rsidR="003D6B27" w:rsidRDefault="003D6B27" w:rsidP="003D6B27">
      <w:pPr>
        <w:pStyle w:val="BodyText"/>
      </w:pPr>
      <w:r>
        <w:t>Provided</w:t>
      </w:r>
      <w:r w:rsidR="00BA3700">
        <w:t xml:space="preserve"> that we have</w:t>
      </w:r>
      <w:r>
        <w:t xml:space="preserve"> access to the CalSAWS data, we</w:t>
      </w:r>
      <w:r w:rsidR="004A46D5">
        <w:t xml:space="preserve"> will</w:t>
      </w:r>
      <w:r>
        <w:t xml:space="preserve"> utilize our analytics expertise to conduct business analytics analysis </w:t>
      </w:r>
      <w:r w:rsidR="00BA3700">
        <w:t xml:space="preserve">- </w:t>
      </w:r>
      <w:r>
        <w:t xml:space="preserve">answering not only questions about BenefitsCal usage, but also determining and eventually predicting </w:t>
      </w:r>
      <w:r w:rsidR="008A7150">
        <w:t>BenefitsCal</w:t>
      </w:r>
      <w:r>
        <w:t>’s effect on outcomes visible in CalSAWS.</w:t>
      </w:r>
    </w:p>
    <w:p w14:paraId="0DF104A6" w14:textId="2E1A2CDA" w:rsidR="007D3C6F" w:rsidRDefault="007D3C6F" w:rsidP="007D3C6F">
      <w:pPr>
        <w:pStyle w:val="BodyText"/>
      </w:pPr>
      <w:r>
        <w:t>In Section 4.3, we discuss an example of conducting research into outcome questions, specifically recipient churn</w:t>
      </w:r>
      <w:r w:rsidR="00557A94">
        <w:t xml:space="preserve">. </w:t>
      </w:r>
      <w:r>
        <w:t>Many similar questions on a variety of topics could be posed for analytics research such as:</w:t>
      </w:r>
    </w:p>
    <w:p w14:paraId="724C0AED" w14:textId="77777777" w:rsidR="007D3C6F" w:rsidRPr="00F540D2" w:rsidRDefault="007D3C6F" w:rsidP="00850A2E">
      <w:pPr>
        <w:pStyle w:val="CvrLtrBullet1Double"/>
      </w:pPr>
      <w:r w:rsidRPr="00F540D2">
        <w:t xml:space="preserve">Are </w:t>
      </w:r>
      <w:r w:rsidRPr="006E7368">
        <w:rPr>
          <w:b/>
        </w:rPr>
        <w:t>applications submitted through</w:t>
      </w:r>
      <w:r w:rsidRPr="00850A2E">
        <w:rPr>
          <w:b/>
        </w:rPr>
        <w:t xml:space="preserve"> </w:t>
      </w:r>
      <w:r w:rsidRPr="006E7368">
        <w:rPr>
          <w:b/>
        </w:rPr>
        <w:t>BenefitsCal processed faster</w:t>
      </w:r>
      <w:r w:rsidRPr="00F540D2">
        <w:t xml:space="preserve"> than applications submitted through other channels?</w:t>
      </w:r>
    </w:p>
    <w:p w14:paraId="6A4C0FE5" w14:textId="77777777" w:rsidR="007D3C6F" w:rsidRPr="00F540D2" w:rsidRDefault="007D3C6F" w:rsidP="00850A2E">
      <w:pPr>
        <w:pStyle w:val="CvrLtrBullet1Double"/>
      </w:pPr>
      <w:r w:rsidRPr="00F540D2">
        <w:t xml:space="preserve">Is there a significant difference in the </w:t>
      </w:r>
      <w:r w:rsidRPr="006E7368">
        <w:rPr>
          <w:b/>
        </w:rPr>
        <w:t>percentage of applications submitted through BenefitsCal by County</w:t>
      </w:r>
      <w:r w:rsidRPr="00F540D2">
        <w:t>?</w:t>
      </w:r>
    </w:p>
    <w:p w14:paraId="030AB051" w14:textId="77777777" w:rsidR="007D3C6F" w:rsidRPr="00F540D2" w:rsidRDefault="007D3C6F" w:rsidP="00850A2E">
      <w:pPr>
        <w:pStyle w:val="CvrLtrBullet1Double"/>
      </w:pPr>
      <w:r w:rsidRPr="00F540D2">
        <w:t xml:space="preserve">Is there a significant difference in the </w:t>
      </w:r>
      <w:r w:rsidRPr="006E7368">
        <w:rPr>
          <w:b/>
        </w:rPr>
        <w:t>percentage of applications submitted through BenefitsCal by program</w:t>
      </w:r>
      <w:r w:rsidRPr="00F540D2">
        <w:t>?</w:t>
      </w:r>
    </w:p>
    <w:p w14:paraId="4C1ACB06" w14:textId="77777777" w:rsidR="007D3C6F" w:rsidRPr="00F540D2" w:rsidRDefault="007D3C6F" w:rsidP="00850A2E">
      <w:pPr>
        <w:pStyle w:val="CvrLtrBullet1Double"/>
      </w:pPr>
      <w:r w:rsidRPr="00F540D2">
        <w:t xml:space="preserve">What is the </w:t>
      </w:r>
      <w:r w:rsidRPr="006E7368">
        <w:rPr>
          <w:b/>
        </w:rPr>
        <w:t>effect of a marketing campaign</w:t>
      </w:r>
      <w:r w:rsidRPr="00F540D2">
        <w:t xml:space="preserve"> not only on BenefitsCal adoption, but also on the County workload?</w:t>
      </w:r>
    </w:p>
    <w:p w14:paraId="3AEB767B" w14:textId="144CF43B" w:rsidR="007D3C6F" w:rsidRPr="00F540D2" w:rsidRDefault="007D3C6F" w:rsidP="00850A2E">
      <w:pPr>
        <w:pStyle w:val="CvrLtrBullet1Double"/>
      </w:pPr>
      <w:r w:rsidRPr="00F540D2">
        <w:lastRenderedPageBreak/>
        <w:t xml:space="preserve">Are there </w:t>
      </w:r>
      <w:r w:rsidRPr="006E7368">
        <w:rPr>
          <w:b/>
        </w:rPr>
        <w:t>demographic characteristics that can predict</w:t>
      </w:r>
      <w:r w:rsidRPr="006E7368">
        <w:t xml:space="preserve"> </w:t>
      </w:r>
      <w:r w:rsidRPr="00F540D2">
        <w:t>recipients who are likely to maintain an ongoing relationship (submitting documents, reporting changes, etc.) through BenefitsCal versus other communication channels</w:t>
      </w:r>
      <w:r w:rsidR="00557A94" w:rsidRPr="00F540D2">
        <w:t xml:space="preserve">? </w:t>
      </w:r>
      <w:r w:rsidRPr="00F540D2">
        <w:t xml:space="preserve">Using this information can we </w:t>
      </w:r>
      <w:r w:rsidRPr="006E7368">
        <w:rPr>
          <w:b/>
        </w:rPr>
        <w:t>target campaigns</w:t>
      </w:r>
      <w:r w:rsidRPr="00F540D2">
        <w:t xml:space="preserve"> to inform these potential users of the value of BenefitsCal to offload work from County staff?</w:t>
      </w:r>
    </w:p>
    <w:p w14:paraId="762D1A3B" w14:textId="77777777" w:rsidR="007D3C6F" w:rsidRDefault="007D3C6F" w:rsidP="007D3C6F">
      <w:pPr>
        <w:pStyle w:val="BodyText"/>
      </w:pPr>
      <w:r>
        <w:t xml:space="preserve">The potential questions are endless and as such we propose a focus group comprised of Consortium and Gainwell staff, County management staff, State partners, and other stakeholders to </w:t>
      </w:r>
      <w:r w:rsidRPr="007914BF">
        <w:rPr>
          <w:b/>
        </w:rPr>
        <w:t>identify and vet the analytics research questions</w:t>
      </w:r>
      <w:r>
        <w:t xml:space="preserve"> that will be pursued.</w:t>
      </w:r>
    </w:p>
    <w:p w14:paraId="02A61120" w14:textId="66E18E52" w:rsidR="003D6B27" w:rsidRPr="00C548CD" w:rsidRDefault="003D6B27" w:rsidP="003D6B27">
      <w:pPr>
        <w:pStyle w:val="Subheading"/>
        <w:rPr>
          <w:b w:val="0"/>
          <w:bCs/>
        </w:rPr>
      </w:pPr>
      <w:r w:rsidRPr="00C548CD">
        <w:t>Accessibility and Inclusivity</w:t>
      </w:r>
    </w:p>
    <w:p w14:paraId="3FE2AB96" w14:textId="21C9DEBC" w:rsidR="00D12EDF" w:rsidRDefault="00740CB2" w:rsidP="00D12EDF">
      <w:pPr>
        <w:pStyle w:val="BodyText"/>
        <w:rPr>
          <w:rFonts w:eastAsiaTheme="minorHAnsi"/>
        </w:rPr>
      </w:pPr>
      <w:r>
        <w:rPr>
          <w:noProof/>
          <w14:ligatures w14:val="standardContextual"/>
        </w:rPr>
        <w:drawing>
          <wp:anchor distT="0" distB="0" distL="114300" distR="114300" simplePos="0" relativeHeight="251658276" behindDoc="0" locked="0" layoutInCell="1" allowOverlap="1" wp14:anchorId="192D65BF" wp14:editId="4ED8B2A5">
            <wp:simplePos x="0" y="0"/>
            <wp:positionH relativeFrom="margin">
              <wp:align>left</wp:align>
            </wp:positionH>
            <wp:positionV relativeFrom="paragraph">
              <wp:posOffset>42741</wp:posOffset>
            </wp:positionV>
            <wp:extent cx="2665730" cy="1779270"/>
            <wp:effectExtent l="0" t="0" r="1270" b="0"/>
            <wp:wrapSquare wrapText="bothSides"/>
            <wp:docPr id="1041417949" name="Picture 3" descr="A person helping an old person walk with crutc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17949" name="Picture 3" descr="A person helping an old person walk with crutches&#10;&#10;Description automatically generated"/>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680156" cy="1788935"/>
                    </a:xfrm>
                    <a:prstGeom prst="rect">
                      <a:avLst/>
                    </a:prstGeom>
                  </pic:spPr>
                </pic:pic>
              </a:graphicData>
            </a:graphic>
            <wp14:sizeRelH relativeFrom="margin">
              <wp14:pctWidth>0</wp14:pctWidth>
            </wp14:sizeRelH>
            <wp14:sizeRelV relativeFrom="margin">
              <wp14:pctHeight>0</wp14:pctHeight>
            </wp14:sizeRelV>
          </wp:anchor>
        </w:drawing>
      </w:r>
      <w:r w:rsidR="00734C14">
        <w:t xml:space="preserve">The BenefitsCal image can be enhanced by including best practice techniques for </w:t>
      </w:r>
      <w:r w:rsidR="00D12EDF">
        <w:t>accessibility and inclusivity. Building on the inclusivity of the BenefitsCal approach, Gainwell will prioritize accessibility by adhering to the latest Web Content Accessibility Guidelines (WCAG). This will provide an optimal experience for all users, including those with disabilities.</w:t>
      </w:r>
    </w:p>
    <w:p w14:paraId="39DE2C01" w14:textId="777F59FD" w:rsidR="00734C14" w:rsidRDefault="00D12EDF" w:rsidP="00734C14">
      <w:pPr>
        <w:pStyle w:val="BodyText"/>
      </w:pPr>
      <w:r>
        <w:t>We</w:t>
      </w:r>
      <w:r w:rsidR="00734C14">
        <w:t xml:space="preserve"> will work with the Consortium, </w:t>
      </w:r>
      <w:r w:rsidR="00557A94">
        <w:t>Counties,</w:t>
      </w:r>
      <w:r w:rsidR="00734C14">
        <w:t xml:space="preserve"> and other stakeholders to </w:t>
      </w:r>
      <w:r w:rsidR="00734C14" w:rsidRPr="00773CC0">
        <w:rPr>
          <w:b/>
        </w:rPr>
        <w:t>identify under-represented cohorts</w:t>
      </w:r>
      <w:r w:rsidR="00734C14">
        <w:t xml:space="preserve"> such as individuals with disabilities or persons experiencing language barriers</w:t>
      </w:r>
      <w:r>
        <w:t xml:space="preserve"> for inclusion in focus groups and other User research activities.</w:t>
      </w:r>
    </w:p>
    <w:p w14:paraId="17B53AE0" w14:textId="73CDDE67" w:rsidR="003D6B27" w:rsidRPr="000E7B9B" w:rsidRDefault="00740CB2" w:rsidP="003D6B27">
      <w:pPr>
        <w:pStyle w:val="BodyText"/>
      </w:pPr>
      <w:r w:rsidRPr="00034BB6">
        <w:rPr>
          <w:noProof/>
        </w:rPr>
        <w:drawing>
          <wp:anchor distT="0" distB="0" distL="114300" distR="114300" simplePos="0" relativeHeight="251658306" behindDoc="0" locked="0" layoutInCell="1" allowOverlap="1" wp14:anchorId="3FE46C27" wp14:editId="68A5405D">
            <wp:simplePos x="0" y="0"/>
            <wp:positionH relativeFrom="margin">
              <wp:posOffset>4107180</wp:posOffset>
            </wp:positionH>
            <wp:positionV relativeFrom="paragraph">
              <wp:posOffset>219807</wp:posOffset>
            </wp:positionV>
            <wp:extent cx="1722755" cy="730885"/>
            <wp:effectExtent l="0" t="0" r="0" b="0"/>
            <wp:wrapSquare wrapText="bothSides"/>
            <wp:docPr id="333349955" name="Graphic 11">
              <a:extLst xmlns:a="http://schemas.openxmlformats.org/drawingml/2006/main">
                <a:ext uri="{FF2B5EF4-FFF2-40B4-BE49-F238E27FC236}">
                  <a16:creationId xmlns:a16="http://schemas.microsoft.com/office/drawing/2014/main" id="{C33ADF9B-C1E7-8B84-7702-A861EED7B8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1">
                      <a:extLst>
                        <a:ext uri="{FF2B5EF4-FFF2-40B4-BE49-F238E27FC236}">
                          <a16:creationId xmlns:a16="http://schemas.microsoft.com/office/drawing/2014/main" id="{C33ADF9B-C1E7-8B84-7702-A861EED7B894}"/>
                        </a:ext>
                      </a:extLst>
                    </pic:cNvPr>
                    <pic:cNvPicPr>
                      <a:picLocks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1722755" cy="730885"/>
                    </a:xfrm>
                    <a:prstGeom prst="rect">
                      <a:avLst/>
                    </a:prstGeom>
                  </pic:spPr>
                </pic:pic>
              </a:graphicData>
            </a:graphic>
            <wp14:sizeRelH relativeFrom="margin">
              <wp14:pctWidth>0</wp14:pctWidth>
            </wp14:sizeRelH>
            <wp14:sizeRelV relativeFrom="margin">
              <wp14:pctHeight>0</wp14:pctHeight>
            </wp14:sizeRelV>
          </wp:anchor>
        </w:drawing>
      </w:r>
      <w:r w:rsidR="003D6B27">
        <w:t>Expanding on Benefit</w:t>
      </w:r>
      <w:r w:rsidR="008A7150">
        <w:t>s</w:t>
      </w:r>
      <w:r w:rsidR="003D6B27">
        <w:t xml:space="preserve">Cal’s stakeholder engagement, Gainwell will </w:t>
      </w:r>
      <w:r w:rsidR="003D6B27" w:rsidRPr="00EB6B54">
        <w:rPr>
          <w:b/>
        </w:rPr>
        <w:t>involve a broader range of stakeholders</w:t>
      </w:r>
      <w:r w:rsidR="003D6B27" w:rsidRPr="000E7B9B">
        <w:t xml:space="preserve"> throughout the product lifecycle, including State partners, community leaders which may include CWDA, advocates or union representatives as appropriate, and, of course, end-users. This inclusivity considers all perspectives in the design and development process.</w:t>
      </w:r>
    </w:p>
    <w:p w14:paraId="7DD54098" w14:textId="60DA77C0" w:rsidR="00B02ECE" w:rsidRPr="00AE600A" w:rsidRDefault="00B02ECE" w:rsidP="00B02ECE">
      <w:pPr>
        <w:pStyle w:val="HeadingManual3"/>
        <w:rPr>
          <w:szCs w:val="28"/>
        </w:rPr>
      </w:pPr>
      <w:bookmarkStart w:id="121" w:name="_Toc173187501"/>
      <w:r w:rsidRPr="00AE600A">
        <w:t>4.</w:t>
      </w:r>
      <w:r>
        <w:t>4</w:t>
      </w:r>
      <w:r w:rsidRPr="00AE600A">
        <w:t>.</w:t>
      </w:r>
      <w:r>
        <w:t>2</w:t>
      </w:r>
      <w:r w:rsidRPr="00AE600A">
        <w:tab/>
      </w:r>
      <w:r w:rsidR="00B46D09">
        <w:t>Enhance and Expand Public Education and Coaching</w:t>
      </w:r>
      <w:bookmarkEnd w:id="121"/>
    </w:p>
    <w:p w14:paraId="37330FDA" w14:textId="7CFA86FF" w:rsidR="00D55CCD" w:rsidRDefault="002D78FF" w:rsidP="001237A7">
      <w:pPr>
        <w:pStyle w:val="BodyText"/>
      </w:pPr>
      <w:r>
        <w:t>The Consortium has identified enhancing and expanding education and coaching for the public as a key aspect of the BenefitsCal future vision</w:t>
      </w:r>
      <w:r w:rsidR="00557A94">
        <w:t xml:space="preserve">. </w:t>
      </w:r>
      <w:r w:rsidR="00660483">
        <w:t xml:space="preserve">Gainwell will lead the development and implementation </w:t>
      </w:r>
      <w:r w:rsidR="00A11C2A">
        <w:t xml:space="preserve">of </w:t>
      </w:r>
      <w:r w:rsidR="00660483">
        <w:t xml:space="preserve">a marketing and communications program </w:t>
      </w:r>
      <w:r w:rsidR="00A11C2A">
        <w:t>to communicate BenefitsCal services and programs</w:t>
      </w:r>
      <w:r w:rsidR="00557A94">
        <w:t xml:space="preserve">. </w:t>
      </w:r>
      <w:r w:rsidR="00A11C2A">
        <w:t>The program will also be designed to foster public and CBO relationships.</w:t>
      </w:r>
    </w:p>
    <w:p w14:paraId="0105F347" w14:textId="6A78CC74" w:rsidR="008E7A8C" w:rsidRDefault="00812B04" w:rsidP="001237A7">
      <w:pPr>
        <w:pStyle w:val="BodyText"/>
      </w:pPr>
      <w:r>
        <w:t xml:space="preserve">Aspects of this marketing and communications program, particularly consideration of </w:t>
      </w:r>
      <w:r w:rsidRPr="00737ADA">
        <w:rPr>
          <w:b/>
          <w:bCs/>
        </w:rPr>
        <w:t>influencer marketing</w:t>
      </w:r>
      <w:r>
        <w:t>, were discussed previously</w:t>
      </w:r>
      <w:r w:rsidR="00557A94">
        <w:t xml:space="preserve">. </w:t>
      </w:r>
      <w:r>
        <w:t>Other components of the program are designed to increase the direct contact with the public and CBOs</w:t>
      </w:r>
      <w:r w:rsidR="00834658">
        <w:t xml:space="preserve"> through advanced User research</w:t>
      </w:r>
      <w:r w:rsidR="00557A94">
        <w:t xml:space="preserve">. </w:t>
      </w:r>
      <w:r w:rsidR="00EE0080">
        <w:t xml:space="preserve">We will </w:t>
      </w:r>
      <w:r w:rsidR="00EE0080" w:rsidRPr="00737ADA">
        <w:rPr>
          <w:b/>
          <w:bCs/>
        </w:rPr>
        <w:t>continue to analyze results from Amplitude</w:t>
      </w:r>
      <w:r w:rsidR="00EE0080">
        <w:t xml:space="preserve"> for usage trends and use that information to correlate against information obtained through the use of data </w:t>
      </w:r>
      <w:r w:rsidR="00EE0080">
        <w:lastRenderedPageBreak/>
        <w:t>mining in the CalSAWS data warehouse</w:t>
      </w:r>
      <w:r w:rsidR="00557A94">
        <w:t xml:space="preserve">. </w:t>
      </w:r>
      <w:r w:rsidR="00EF07E2">
        <w:t>Additional elements of our marketing and communications program include:</w:t>
      </w:r>
    </w:p>
    <w:p w14:paraId="55A4CE11" w14:textId="55A49D22" w:rsidR="00812B04" w:rsidRDefault="00812B04" w:rsidP="00850A2E">
      <w:pPr>
        <w:pStyle w:val="CvrLtrBullet1Double"/>
      </w:pPr>
      <w:r w:rsidRPr="002D707B">
        <w:rPr>
          <w:b/>
        </w:rPr>
        <w:t xml:space="preserve">Increased </w:t>
      </w:r>
      <w:r w:rsidR="008E7A8C" w:rsidRPr="002D707B">
        <w:rPr>
          <w:b/>
        </w:rPr>
        <w:t>use of</w:t>
      </w:r>
      <w:r w:rsidRPr="002D707B">
        <w:rPr>
          <w:b/>
        </w:rPr>
        <w:t xml:space="preserve"> </w:t>
      </w:r>
      <w:r w:rsidR="008E7A8C" w:rsidRPr="002D707B">
        <w:rPr>
          <w:b/>
        </w:rPr>
        <w:t xml:space="preserve">targeted </w:t>
      </w:r>
      <w:r w:rsidRPr="002D707B">
        <w:rPr>
          <w:b/>
        </w:rPr>
        <w:t>marketing campaigns informed by</w:t>
      </w:r>
      <w:r w:rsidR="008E7A8C" w:rsidRPr="002D707B">
        <w:rPr>
          <w:b/>
        </w:rPr>
        <w:t xml:space="preserve"> analytics</w:t>
      </w:r>
      <w:r w:rsidR="00557A94" w:rsidRPr="002D707B">
        <w:rPr>
          <w:b/>
        </w:rPr>
        <w:t>.</w:t>
      </w:r>
      <w:r w:rsidR="00557A94">
        <w:t xml:space="preserve"> </w:t>
      </w:r>
      <w:r w:rsidR="00405923">
        <w:t xml:space="preserve">With access to the CalSAWS </w:t>
      </w:r>
      <w:r w:rsidR="00387652">
        <w:t xml:space="preserve">data warehouse, Gainwell will collaborate with the Consortium and other stakeholders as applicable </w:t>
      </w:r>
      <w:r w:rsidR="00E27CC3">
        <w:t>to identify campaigns that have a high potential for success</w:t>
      </w:r>
      <w:r w:rsidR="00557A94">
        <w:t xml:space="preserve">. </w:t>
      </w:r>
      <w:r w:rsidR="00E27CC3">
        <w:t xml:space="preserve">For example, by identifying individuals receiving </w:t>
      </w:r>
      <w:r w:rsidR="00542875">
        <w:t xml:space="preserve">Medi-Cal, but not CalFresh a campaign </w:t>
      </w:r>
      <w:r w:rsidR="002D707B">
        <w:t>can be designed that provides a specific action for the individual to take in BenefitsCal</w:t>
      </w:r>
      <w:r w:rsidR="00557A94">
        <w:t xml:space="preserve">. </w:t>
      </w:r>
      <w:r w:rsidR="002D707B">
        <w:t>Campaigns with specific actions and/or defined and obvious potential benefit are more effective</w:t>
      </w:r>
      <w:r w:rsidR="00557A94">
        <w:t xml:space="preserve">. </w:t>
      </w:r>
      <w:r w:rsidR="002D707B">
        <w:t>Effective use of data analytics combined with program knowledge can identify candidates for a more effective campaign.</w:t>
      </w:r>
    </w:p>
    <w:p w14:paraId="3EF826A1" w14:textId="3F112A63" w:rsidR="002D707B" w:rsidRDefault="002D707B" w:rsidP="00850A2E">
      <w:pPr>
        <w:pStyle w:val="CvrLtrBullet1Double"/>
      </w:pPr>
      <w:r w:rsidRPr="00780DFA">
        <w:rPr>
          <w:b/>
        </w:rPr>
        <w:t>Increased BenefitsCal education webinars for the public.</w:t>
      </w:r>
      <w:r>
        <w:t xml:space="preserve"> </w:t>
      </w:r>
      <w:r w:rsidR="00103FDB">
        <w:t>Gainwell collaborated with Los Angeles County to conduct public webinars on BenefitsCal functionality that users were</w:t>
      </w:r>
      <w:r w:rsidR="00780DFA">
        <w:t xml:space="preserve"> experiencing difficulties with</w:t>
      </w:r>
      <w:r w:rsidR="00557A94">
        <w:t xml:space="preserve">. </w:t>
      </w:r>
      <w:r w:rsidR="000E0355">
        <w:t>Details regarding how the webinars</w:t>
      </w:r>
      <w:r w:rsidR="00AE012F">
        <w:t xml:space="preserve"> were setup and structured is provided </w:t>
      </w:r>
      <w:r w:rsidR="003D39DF">
        <w:t>in a subsequent</w:t>
      </w:r>
      <w:r w:rsidR="00AE012F">
        <w:t xml:space="preserve"> subsection</w:t>
      </w:r>
      <w:r w:rsidR="00557A94">
        <w:t xml:space="preserve">. </w:t>
      </w:r>
      <w:r w:rsidR="00C97314">
        <w:t xml:space="preserve">We will expand this successful series </w:t>
      </w:r>
      <w:r w:rsidR="005C18BF">
        <w:t>to include additional sessions to cover more participants</w:t>
      </w:r>
      <w:r w:rsidR="003C78AD">
        <w:t xml:space="preserve"> both individual BenefitsCal users and CBOs</w:t>
      </w:r>
      <w:r w:rsidR="005C18BF">
        <w:t>.</w:t>
      </w:r>
    </w:p>
    <w:p w14:paraId="490246A9" w14:textId="1FBDC1AF" w:rsidR="000B5E6A" w:rsidRDefault="002D707B" w:rsidP="00850A2E">
      <w:pPr>
        <w:pStyle w:val="CvrLtrBullet1Double"/>
      </w:pPr>
      <w:r w:rsidRPr="000B5E6A">
        <w:rPr>
          <w:b/>
        </w:rPr>
        <w:t>Addition of an outreach program</w:t>
      </w:r>
      <w:r w:rsidR="00557A94" w:rsidRPr="000B5E6A">
        <w:rPr>
          <w:b/>
        </w:rPr>
        <w:t>.</w:t>
      </w:r>
      <w:r w:rsidR="00557A94">
        <w:t xml:space="preserve"> </w:t>
      </w:r>
      <w:r w:rsidR="000B5E6A">
        <w:t>For the County of Placer, Gainwell conducted</w:t>
      </w:r>
      <w:r w:rsidR="00A92B26">
        <w:t xml:space="preserve"> </w:t>
      </w:r>
      <w:r w:rsidR="000B5E6A">
        <w:t>targeted outreach directly calling candidates on the campaign list of candidates</w:t>
      </w:r>
      <w:r w:rsidR="00557A94">
        <w:t xml:space="preserve">. </w:t>
      </w:r>
      <w:r w:rsidR="000B5E6A">
        <w:t>Not only did the Gainwell staff perform the outreach service, but they also gathered invaluable information about pain points and improvement suggestions for the MyBCW portal based on actual usage of the portal.</w:t>
      </w:r>
      <w:r w:rsidR="009749A1">
        <w:t xml:space="preserve"> We are proposing to conduct a select number of campaigns for volunteer Counties to accomplish the same dual purpose with BenefitsCal</w:t>
      </w:r>
      <w:r w:rsidR="00557A94">
        <w:t xml:space="preserve">. </w:t>
      </w:r>
      <w:r w:rsidR="00752D35">
        <w:t xml:space="preserve">The County of Placer outreach program is further described in </w:t>
      </w:r>
      <w:r w:rsidR="00C33FAC">
        <w:t>subsequent subsection.</w:t>
      </w:r>
    </w:p>
    <w:p w14:paraId="13E4A0EC" w14:textId="47DC3B9B" w:rsidR="00C33FAC" w:rsidRDefault="00C33FAC" w:rsidP="00C33FAC">
      <w:pPr>
        <w:pStyle w:val="HeadingManual4"/>
      </w:pPr>
      <w:bookmarkStart w:id="122" w:name="_Toc173187502"/>
      <w:r>
        <w:t>4.4.2.1</w:t>
      </w:r>
      <w:r>
        <w:tab/>
        <w:t>BenefitsCal Public Communication in Action: Public Education in LA County</w:t>
      </w:r>
      <w:bookmarkEnd w:id="122"/>
    </w:p>
    <w:p w14:paraId="16627BAB" w14:textId="17B19361" w:rsidR="007C7AAC" w:rsidRDefault="007C7AAC" w:rsidP="00F5412D">
      <w:pPr>
        <w:pStyle w:val="BodyText"/>
      </w:pPr>
      <w:r>
        <w:t xml:space="preserve">When Los Angeles County wanted to provide training for BenefitsCal users in a webinar format, they </w:t>
      </w:r>
      <w:r w:rsidR="00DA7314">
        <w:t xml:space="preserve">chose Gainwell as their partner to </w:t>
      </w:r>
      <w:r w:rsidR="00C00B9C">
        <w:t xml:space="preserve">create the </w:t>
      </w:r>
      <w:r w:rsidR="0088524D">
        <w:t>training presentation, deliver the webinar content</w:t>
      </w:r>
      <w:r w:rsidR="007A0460">
        <w:t xml:space="preserve"> and assist with identifying </w:t>
      </w:r>
      <w:r w:rsidR="008F26CB">
        <w:t xml:space="preserve">and administering </w:t>
      </w:r>
      <w:r w:rsidR="007A0460">
        <w:t>an easy-to-use registration method</w:t>
      </w:r>
      <w:r w:rsidR="00557A94">
        <w:t xml:space="preserve">. </w:t>
      </w:r>
    </w:p>
    <w:p w14:paraId="1FA779E4" w14:textId="420E2411" w:rsidR="00F5412D" w:rsidRDefault="00F5412D" w:rsidP="006C7B58">
      <w:pPr>
        <w:pStyle w:val="BodyText"/>
        <w:rPr>
          <w:rFonts w:cs="Calibri"/>
          <w:szCs w:val="22"/>
        </w:rPr>
      </w:pPr>
      <w:r>
        <w:rPr>
          <w:rFonts w:cs="Calibri"/>
          <w:szCs w:val="22"/>
        </w:rPr>
        <w:t>Gainwell coordinated with Los Angeles County to create a registration process for individuals to register and receive a Zoom link</w:t>
      </w:r>
      <w:r w:rsidR="00557A94">
        <w:rPr>
          <w:rFonts w:cs="Calibri"/>
          <w:szCs w:val="22"/>
        </w:rPr>
        <w:t xml:space="preserve">. </w:t>
      </w:r>
      <w:r>
        <w:rPr>
          <w:rFonts w:cs="Calibri"/>
          <w:szCs w:val="22"/>
        </w:rPr>
        <w:t>This process allowed Los Angeles County to obtain information on attendees and limit the size of each webinar once registration had “filled.”</w:t>
      </w:r>
      <w:r w:rsidR="00A92B26">
        <w:rPr>
          <w:rFonts w:cs="Calibri"/>
          <w:szCs w:val="22"/>
        </w:rPr>
        <w:t xml:space="preserve"> </w:t>
      </w:r>
      <w:r>
        <w:rPr>
          <w:rFonts w:cs="Calibri"/>
          <w:szCs w:val="22"/>
        </w:rPr>
        <w:t>The following figure illustrates the instruction section of the registration form which was available both in a computer or mobile format.</w:t>
      </w:r>
    </w:p>
    <w:p w14:paraId="76FBE954" w14:textId="77777777" w:rsidR="00F5412D" w:rsidRPr="00021DC5" w:rsidRDefault="00F5412D" w:rsidP="004339C5">
      <w:pPr>
        <w:pStyle w:val="FigureCaptionAuto"/>
      </w:pPr>
      <w:r>
        <w:rPr>
          <w:noProof/>
          <w14:ligatures w14:val="standardContextual"/>
        </w:rPr>
        <w:lastRenderedPageBreak/>
        <w:t xml:space="preserve"> </w:t>
      </w:r>
      <w:bookmarkStart w:id="123" w:name="_Toc173187545"/>
      <w:r>
        <w:rPr>
          <w:noProof/>
        </w:rPr>
        <w:t>Registration Form Excerpts in Both Computer and Mobile Formats</w:t>
      </w:r>
      <w:bookmarkEnd w:id="123"/>
    </w:p>
    <w:p w14:paraId="393342FD" w14:textId="77777777" w:rsidR="00F5412D" w:rsidRDefault="00F5412D" w:rsidP="00F5412D">
      <w:pPr>
        <w:pStyle w:val="BodyText"/>
      </w:pPr>
      <w:r w:rsidRPr="00617DF5">
        <w:rPr>
          <w:noProof/>
        </w:rPr>
        <w:drawing>
          <wp:inline distT="0" distB="0" distL="0" distR="0" wp14:anchorId="0C01978F" wp14:editId="7F6F9219">
            <wp:extent cx="5394960" cy="4216253"/>
            <wp:effectExtent l="0" t="0" r="0" b="0"/>
            <wp:docPr id="20773870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87029" name=""/>
                    <pic:cNvPicPr/>
                  </pic:nvPicPr>
                  <pic:blipFill>
                    <a:blip r:embed="rId132">
                      <a:extLst>
                        <a:ext uri="{96DAC541-7B7A-43D3-8B79-37D633B846F1}">
                          <asvg:svgBlip xmlns:asvg="http://schemas.microsoft.com/office/drawing/2016/SVG/main" r:embed="rId133"/>
                        </a:ext>
                      </a:extLst>
                    </a:blip>
                    <a:stretch>
                      <a:fillRect/>
                    </a:stretch>
                  </pic:blipFill>
                  <pic:spPr>
                    <a:xfrm>
                      <a:off x="0" y="0"/>
                      <a:ext cx="5394960" cy="4216253"/>
                    </a:xfrm>
                    <a:prstGeom prst="rect">
                      <a:avLst/>
                    </a:prstGeom>
                  </pic:spPr>
                </pic:pic>
              </a:graphicData>
            </a:graphic>
          </wp:inline>
        </w:drawing>
      </w:r>
    </w:p>
    <w:p w14:paraId="7E9DA6F8" w14:textId="41349761" w:rsidR="00F5412D" w:rsidRDefault="008F5A0D" w:rsidP="00F5412D">
      <w:pPr>
        <w:pStyle w:val="BodyText"/>
      </w:pPr>
      <w:r>
        <w:rPr>
          <w:rFonts w:cs="Calibri"/>
          <w:szCs w:val="22"/>
        </w:rPr>
        <w:t>Gainwell staff collaborated with Los Angeles County staff to establish the topic areas for each webinar</w:t>
      </w:r>
      <w:r w:rsidR="00557A94">
        <w:rPr>
          <w:rFonts w:cs="Calibri"/>
          <w:szCs w:val="22"/>
        </w:rPr>
        <w:t xml:space="preserve">. </w:t>
      </w:r>
      <w:r>
        <w:rPr>
          <w:rFonts w:cs="Calibri"/>
          <w:szCs w:val="22"/>
        </w:rPr>
        <w:t>We then created the draft presentation materials and again collaborated with Los Angeles County staff to finalize the presentation materials</w:t>
      </w:r>
      <w:r w:rsidR="00557A94">
        <w:rPr>
          <w:rFonts w:cs="Calibri"/>
          <w:szCs w:val="22"/>
        </w:rPr>
        <w:t xml:space="preserve">. </w:t>
      </w:r>
      <w:r>
        <w:rPr>
          <w:rFonts w:cs="Calibri"/>
          <w:szCs w:val="22"/>
        </w:rPr>
        <w:t>The following figure shows the opening and agenda slides from one of the actual webinars presented by Gainwell</w:t>
      </w:r>
      <w:r w:rsidR="00626FCE">
        <w:rPr>
          <w:rFonts w:cs="Calibri"/>
          <w:szCs w:val="22"/>
        </w:rPr>
        <w:t xml:space="preserve">. </w:t>
      </w:r>
    </w:p>
    <w:p w14:paraId="06267275" w14:textId="50B26E5C" w:rsidR="00F5412D" w:rsidRPr="002B5E2E" w:rsidRDefault="00AE060B" w:rsidP="00F5412D">
      <w:pPr>
        <w:pStyle w:val="FigureCaptionAuto"/>
      </w:pPr>
      <w:bookmarkStart w:id="124" w:name="_Toc173187546"/>
      <w:r>
        <w:rPr>
          <w:noProof/>
        </w:rPr>
        <w:t>Opening and Agenda Slides from a Public Facing Webinar</w:t>
      </w:r>
      <w:bookmarkEnd w:id="124"/>
    </w:p>
    <w:p w14:paraId="3560C8D9" w14:textId="69B53B9C" w:rsidR="00AC094C" w:rsidRDefault="00A822A8" w:rsidP="00F5412D">
      <w:pPr>
        <w:pStyle w:val="BodyText"/>
      </w:pPr>
      <w:r w:rsidRPr="00A822A8">
        <w:rPr>
          <w:noProof/>
        </w:rPr>
        <w:drawing>
          <wp:anchor distT="0" distB="0" distL="114300" distR="114300" simplePos="0" relativeHeight="251658273" behindDoc="0" locked="0" layoutInCell="1" allowOverlap="1" wp14:anchorId="72785343" wp14:editId="4773B849">
            <wp:simplePos x="0" y="0"/>
            <wp:positionH relativeFrom="margin">
              <wp:posOffset>19050</wp:posOffset>
            </wp:positionH>
            <wp:positionV relativeFrom="paragraph">
              <wp:posOffset>8255</wp:posOffset>
            </wp:positionV>
            <wp:extent cx="2883535" cy="1620520"/>
            <wp:effectExtent l="0" t="0" r="0" b="0"/>
            <wp:wrapSquare wrapText="bothSides"/>
            <wp:docPr id="1776653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653264" name=""/>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883535" cy="1620520"/>
                    </a:xfrm>
                    <a:prstGeom prst="rect">
                      <a:avLst/>
                    </a:prstGeom>
                  </pic:spPr>
                </pic:pic>
              </a:graphicData>
            </a:graphic>
            <wp14:sizeRelH relativeFrom="page">
              <wp14:pctWidth>0</wp14:pctWidth>
            </wp14:sizeRelH>
            <wp14:sizeRelV relativeFrom="page">
              <wp14:pctHeight>0</wp14:pctHeight>
            </wp14:sizeRelV>
          </wp:anchor>
        </w:drawing>
      </w:r>
      <w:r w:rsidR="00AE060B">
        <w:rPr>
          <w:noProof/>
          <w14:ligatures w14:val="standardContextual"/>
        </w:rPr>
        <w:drawing>
          <wp:inline distT="0" distB="0" distL="0" distR="0" wp14:anchorId="68BCC2C2" wp14:editId="4C6DECCE">
            <wp:extent cx="2879033" cy="1627762"/>
            <wp:effectExtent l="0" t="0" r="3175" b="0"/>
            <wp:docPr id="407012885" name="Picture 1" descr="A screenshot of a webin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012885" name="Picture 1" descr="A screenshot of a webinar&#10;&#10;Description automatically generated"/>
                    <pic:cNvPicPr/>
                  </pic:nvPicPr>
                  <pic:blipFill>
                    <a:blip r:embed="rId135"/>
                    <a:stretch>
                      <a:fillRect/>
                    </a:stretch>
                  </pic:blipFill>
                  <pic:spPr>
                    <a:xfrm>
                      <a:off x="0" y="0"/>
                      <a:ext cx="2879033" cy="1627762"/>
                    </a:xfrm>
                    <a:prstGeom prst="rect">
                      <a:avLst/>
                    </a:prstGeom>
                  </pic:spPr>
                </pic:pic>
              </a:graphicData>
            </a:graphic>
          </wp:inline>
        </w:drawing>
      </w:r>
    </w:p>
    <w:p w14:paraId="68B12F5B" w14:textId="660D838B" w:rsidR="00772CA7" w:rsidRDefault="006B0FC7" w:rsidP="00F5412D">
      <w:pPr>
        <w:pStyle w:val="BodyText"/>
      </w:pPr>
      <w:r>
        <w:t xml:space="preserve">Gainwell </w:t>
      </w:r>
      <w:r w:rsidR="00F55ADB">
        <w:t xml:space="preserve">staff </w:t>
      </w:r>
      <w:r>
        <w:t>presented the</w:t>
      </w:r>
      <w:r w:rsidR="00F55ADB">
        <w:t xml:space="preserve"> webinar materials</w:t>
      </w:r>
      <w:r w:rsidR="000B4031">
        <w:t xml:space="preserve"> to the BenefitsCal customers</w:t>
      </w:r>
      <w:r w:rsidR="00557A94">
        <w:t xml:space="preserve">. </w:t>
      </w:r>
      <w:r w:rsidR="006D0624">
        <w:t xml:space="preserve">Los Angeles County personnel </w:t>
      </w:r>
      <w:r w:rsidR="007376E3">
        <w:t xml:space="preserve">were present </w:t>
      </w:r>
      <w:r w:rsidR="007D2975">
        <w:t>during</w:t>
      </w:r>
      <w:r w:rsidR="007376E3">
        <w:t xml:space="preserve"> the webinar</w:t>
      </w:r>
      <w:r w:rsidR="007D2975">
        <w:t xml:space="preserve"> to provide clarifications and</w:t>
      </w:r>
      <w:r w:rsidR="007376E3">
        <w:t xml:space="preserve"> to assist with </w:t>
      </w:r>
      <w:r w:rsidR="00611C37">
        <w:t xml:space="preserve">questions asked </w:t>
      </w:r>
      <w:r w:rsidR="00772CA7">
        <w:t>both verbally and through chat.</w:t>
      </w:r>
    </w:p>
    <w:p w14:paraId="631CA24D" w14:textId="3A1BA538" w:rsidR="009A6343" w:rsidRDefault="00B66A57" w:rsidP="00F5412D">
      <w:pPr>
        <w:pStyle w:val="BodyText"/>
      </w:pPr>
      <w:r>
        <w:lastRenderedPageBreak/>
        <w:t>After presenting each webinar, Gainwell provided the County with attendance statistics such as the number of participants</w:t>
      </w:r>
      <w:r w:rsidR="00126F84">
        <w:t xml:space="preserve"> and how long each participant remained in the webinar.</w:t>
      </w:r>
    </w:p>
    <w:p w14:paraId="4D1A2F87" w14:textId="26ED74C5" w:rsidR="003B74EA" w:rsidRDefault="003B74EA" w:rsidP="001237A7">
      <w:pPr>
        <w:pStyle w:val="BodyText"/>
      </w:pPr>
      <w:r>
        <w:t>We also provided the questions asked in chat for further analysis on any areas where customers may be struggling or lacking information</w:t>
      </w:r>
      <w:r w:rsidR="00557A94">
        <w:t xml:space="preserve">. </w:t>
      </w:r>
      <w:r>
        <w:t>A sample of the types of chat questions received during an actual webinar are listed in the figure below</w:t>
      </w:r>
      <w:r w:rsidR="00557A94">
        <w:t xml:space="preserve">. </w:t>
      </w:r>
      <w:r w:rsidR="00DB38DE">
        <w:t>(</w:t>
      </w:r>
      <w:r w:rsidR="00BC51CA">
        <w:t xml:space="preserve">Note that the questions from the chat are presented as typed </w:t>
      </w:r>
      <w:r w:rsidR="00F92C43">
        <w:t xml:space="preserve">by the attendee </w:t>
      </w:r>
      <w:r w:rsidR="00BC51CA">
        <w:t xml:space="preserve">and therefore </w:t>
      </w:r>
      <w:r w:rsidR="00F92C43">
        <w:t xml:space="preserve">may </w:t>
      </w:r>
      <w:r w:rsidR="00AC443E">
        <w:t>contain grammatical errors, etc.</w:t>
      </w:r>
      <w:r w:rsidR="00DB38DE">
        <w:t>)</w:t>
      </w:r>
    </w:p>
    <w:p w14:paraId="29F8796A" w14:textId="7C711049" w:rsidR="008F5484" w:rsidRDefault="008F5484" w:rsidP="004339C5">
      <w:pPr>
        <w:pStyle w:val="FigureCaptionAuto"/>
      </w:pPr>
      <w:bookmarkStart w:id="125" w:name="_Toc173187547"/>
      <w:r>
        <w:t xml:space="preserve">Sample of Chat Questions from the Public </w:t>
      </w:r>
      <w:r w:rsidR="00964155">
        <w:t xml:space="preserve">During </w:t>
      </w:r>
      <w:r>
        <w:t>a Live Webinar</w:t>
      </w:r>
      <w:bookmarkEnd w:id="125"/>
    </w:p>
    <w:p w14:paraId="6DB8AEF9" w14:textId="42DE0913" w:rsidR="003B74EA" w:rsidRDefault="003B74EA" w:rsidP="001237A7">
      <w:pPr>
        <w:pStyle w:val="BodyText"/>
      </w:pPr>
      <w:r>
        <w:rPr>
          <w:noProof/>
          <w14:ligatures w14:val="standardContextual"/>
        </w:rPr>
        <w:drawing>
          <wp:inline distT="0" distB="0" distL="0" distR="0" wp14:anchorId="5B0EE4C8" wp14:editId="003A0E32">
            <wp:extent cx="5486400" cy="2422187"/>
            <wp:effectExtent l="38100" t="0" r="38100" b="0"/>
            <wp:docPr id="1950218321"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6" r:lo="rId137" r:qs="rId138" r:cs="rId139"/>
              </a:graphicData>
            </a:graphic>
          </wp:inline>
        </w:drawing>
      </w:r>
    </w:p>
    <w:p w14:paraId="059D9A4F" w14:textId="3E5ADF6D" w:rsidR="003B74EA" w:rsidRDefault="000456AD" w:rsidP="001237A7">
      <w:pPr>
        <w:pStyle w:val="BodyText"/>
      </w:pPr>
      <w:r>
        <w:t xml:space="preserve">With even this small </w:t>
      </w:r>
      <w:r w:rsidR="00006D8F">
        <w:t xml:space="preserve">sample of questions received from the public, a clear </w:t>
      </w:r>
      <w:r w:rsidR="00D43CEB">
        <w:t xml:space="preserve">research </w:t>
      </w:r>
      <w:r w:rsidR="00006D8F">
        <w:t xml:space="preserve">path </w:t>
      </w:r>
      <w:r w:rsidR="00D43CEB">
        <w:t xml:space="preserve">is </w:t>
      </w:r>
      <w:r w:rsidR="00006D8F">
        <w:t xml:space="preserve">to improve the customer’s experience (and simultaneously reduce County workload) </w:t>
      </w:r>
      <w:r w:rsidR="00D43CEB">
        <w:t>when</w:t>
      </w:r>
      <w:r w:rsidR="00006D8F">
        <w:t xml:space="preserve"> choosing the </w:t>
      </w:r>
      <w:r w:rsidR="00D0457D">
        <w:t xml:space="preserve">document type </w:t>
      </w:r>
      <w:r w:rsidR="00971ACB">
        <w:t>during a document upload</w:t>
      </w:r>
      <w:r w:rsidR="00250D38">
        <w:t xml:space="preserve">. </w:t>
      </w:r>
      <w:r w:rsidR="00971ACB">
        <w:t xml:space="preserve">Aspects of the design such as the document drop down list are obvious places to look for improvement; however other possibilities exist such as </w:t>
      </w:r>
      <w:r w:rsidR="00401869" w:rsidRPr="008765C3">
        <w:rPr>
          <w:b/>
          <w:bCs/>
        </w:rPr>
        <w:t>closer integration with the Hyland</w:t>
      </w:r>
      <w:r w:rsidR="00401869">
        <w:t xml:space="preserve"> imaging contractor to prompt </w:t>
      </w:r>
      <w:r w:rsidR="00F60E2A">
        <w:t>individuals</w:t>
      </w:r>
      <w:r w:rsidR="00250D38">
        <w:t xml:space="preserve">. </w:t>
      </w:r>
      <w:r w:rsidR="00595D54">
        <w:t>F</w:t>
      </w:r>
      <w:r w:rsidR="009C5C1B">
        <w:t>or example, analyze the image</w:t>
      </w:r>
      <w:r w:rsidR="00595D54">
        <w:t xml:space="preserve"> received</w:t>
      </w:r>
      <w:r w:rsidR="009C5C1B">
        <w:t xml:space="preserve"> </w:t>
      </w:r>
      <w:r w:rsidR="00445023">
        <w:t>an</w:t>
      </w:r>
      <w:r w:rsidR="009B2067">
        <w:t>d prompt with the most likely document type</w:t>
      </w:r>
      <w:r w:rsidR="00FA2A9D">
        <w:t xml:space="preserve"> – “Is this a driver’s license?”</w:t>
      </w:r>
    </w:p>
    <w:p w14:paraId="6BB1236A" w14:textId="5956A97A" w:rsidR="00AE6FEF" w:rsidRDefault="00B010F9" w:rsidP="001237A7">
      <w:pPr>
        <w:pStyle w:val="BodyText"/>
      </w:pPr>
      <w:r w:rsidRPr="008765C3">
        <w:rPr>
          <w:b/>
          <w:bCs/>
        </w:rPr>
        <w:t xml:space="preserve">This information also suggests an </w:t>
      </w:r>
      <w:r w:rsidR="00AE6FEF" w:rsidRPr="008765C3">
        <w:rPr>
          <w:b/>
          <w:bCs/>
        </w:rPr>
        <w:t>opportunity in the area of public communication</w:t>
      </w:r>
      <w:r w:rsidR="00250D38" w:rsidRPr="008765C3">
        <w:rPr>
          <w:b/>
          <w:bCs/>
        </w:rPr>
        <w:t>.</w:t>
      </w:r>
      <w:r w:rsidR="00250D38">
        <w:t xml:space="preserve"> </w:t>
      </w:r>
      <w:r w:rsidR="00C63CE4">
        <w:t xml:space="preserve">Assuming additional data points correlate to this same area of difficulty, </w:t>
      </w:r>
      <w:r w:rsidR="00293DED">
        <w:t xml:space="preserve">our Public Communication Lead would </w:t>
      </w:r>
      <w:r w:rsidR="00361704">
        <w:t>collaborate with the Consortiu</w:t>
      </w:r>
      <w:r w:rsidR="00615BB6">
        <w:t>m and other Stakeholders to develop a series of communications to assist customers.</w:t>
      </w:r>
    </w:p>
    <w:p w14:paraId="0A03ED17" w14:textId="740F2C56" w:rsidR="000B372D" w:rsidRDefault="000B372D" w:rsidP="000B372D">
      <w:pPr>
        <w:pStyle w:val="HeadingManual4"/>
      </w:pPr>
      <w:bookmarkStart w:id="126" w:name="_Toc173187503"/>
      <w:r>
        <w:t>4.4.2.</w:t>
      </w:r>
      <w:r w:rsidR="00C12E1D">
        <w:t>2</w:t>
      </w:r>
      <w:r>
        <w:tab/>
        <w:t>BenefitsCal Public Communication in Action: Coaching through Outreach in Placer County</w:t>
      </w:r>
      <w:bookmarkEnd w:id="126"/>
    </w:p>
    <w:p w14:paraId="2C2C3569" w14:textId="4A638B65" w:rsidR="00302004" w:rsidRDefault="002C4885" w:rsidP="00302004">
      <w:pPr>
        <w:pStyle w:val="BodyText"/>
      </w:pPr>
      <w:r>
        <w:rPr>
          <w:noProof/>
        </w:rPr>
        <w:drawing>
          <wp:anchor distT="0" distB="0" distL="114300" distR="114300" simplePos="0" relativeHeight="251658274" behindDoc="1" locked="0" layoutInCell="1" allowOverlap="1" wp14:anchorId="6C4D5616" wp14:editId="00B370F3">
            <wp:simplePos x="0" y="0"/>
            <wp:positionH relativeFrom="column">
              <wp:posOffset>3994785</wp:posOffset>
            </wp:positionH>
            <wp:positionV relativeFrom="paragraph">
              <wp:posOffset>432435</wp:posOffset>
            </wp:positionV>
            <wp:extent cx="1784350" cy="609600"/>
            <wp:effectExtent l="0" t="0" r="6350" b="0"/>
            <wp:wrapTight wrapText="bothSides">
              <wp:wrapPolygon edited="0">
                <wp:start x="0" y="0"/>
                <wp:lineTo x="0" y="20925"/>
                <wp:lineTo x="21446" y="20925"/>
                <wp:lineTo x="21446" y="0"/>
                <wp:lineTo x="0" y="0"/>
              </wp:wrapPolygon>
            </wp:wrapTight>
            <wp:docPr id="18323240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784350" cy="609600"/>
                    </a:xfrm>
                    <a:prstGeom prst="rect">
                      <a:avLst/>
                    </a:prstGeom>
                    <a:noFill/>
                  </pic:spPr>
                </pic:pic>
              </a:graphicData>
            </a:graphic>
            <wp14:sizeRelH relativeFrom="page">
              <wp14:pctWidth>0</wp14:pctWidth>
            </wp14:sizeRelH>
            <wp14:sizeRelV relativeFrom="page">
              <wp14:pctHeight>0</wp14:pctHeight>
            </wp14:sizeRelV>
          </wp:anchor>
        </w:drawing>
      </w:r>
      <w:r w:rsidR="00302004">
        <w:t xml:space="preserve">As described in Section 4.2, client outreach is a rich source of information on how a portal is used, what the barriers are to adoption and where individuals become frustrated with portal usage. During a client outreach interaction, many individuals </w:t>
      </w:r>
      <w:r w:rsidR="00302004">
        <w:lastRenderedPageBreak/>
        <w:t>naturally provide this information</w:t>
      </w:r>
      <w:r w:rsidR="00250D38">
        <w:t xml:space="preserve">. </w:t>
      </w:r>
      <w:r w:rsidR="00302004">
        <w:t>Persons providing the outreach assistance frequently give verbal assistance to individuals who are filling out an online application or attempting to complete another transaction on the portal.</w:t>
      </w:r>
    </w:p>
    <w:p w14:paraId="3709C0CE" w14:textId="2BC61A81" w:rsidR="00302004" w:rsidRDefault="00302004" w:rsidP="00302004">
      <w:pPr>
        <w:pStyle w:val="BodyText"/>
      </w:pPr>
      <w:r w:rsidRPr="00302004">
        <w:rPr>
          <w:b/>
          <w:bCs/>
        </w:rPr>
        <w:t>Gainwell supports recipient communication and/or outreach services for 25.5 million recipients in 10 states.</w:t>
      </w:r>
      <w:r>
        <w:t xml:space="preserve"> For the County of Placer, Gainwell conducted outreach targeted at contacting Medi-Cal recipients who were not enrolled in CalFresh</w:t>
      </w:r>
      <w:r w:rsidR="00250D38">
        <w:t xml:space="preserve">. </w:t>
      </w:r>
      <w:r>
        <w:t>Beyond the goals of increasing CalFresh enrollment, this project resulted in a unique opportunity to observe and assist users in the MyBCW portal, which was the portal in use at the time</w:t>
      </w:r>
      <w:r w:rsidR="00250D38">
        <w:t xml:space="preserve">. </w:t>
      </w:r>
      <w:r>
        <w:t>The County of Placer outreach project was a data-driven approach to increasing CalFresh enrollment</w:t>
      </w:r>
      <w:r w:rsidR="00250D38">
        <w:t xml:space="preserve">. </w:t>
      </w:r>
      <w:r>
        <w:t>Gainwell worked with the County of Placer to identify target candidates for the outreach campaign.</w:t>
      </w:r>
    </w:p>
    <w:p w14:paraId="0C367981" w14:textId="4E092104" w:rsidR="00302004" w:rsidRDefault="00302004" w:rsidP="00302004">
      <w:pPr>
        <w:pStyle w:val="BodyText"/>
      </w:pPr>
      <w:r w:rsidRPr="00F8463F">
        <w:t xml:space="preserve">The Gainwell team </w:t>
      </w:r>
      <w:r>
        <w:t>focused</w:t>
      </w:r>
      <w:r w:rsidRPr="00F8463F">
        <w:t xml:space="preserve"> on each </w:t>
      </w:r>
      <w:r>
        <w:t xml:space="preserve">identified candidate </w:t>
      </w:r>
      <w:r w:rsidRPr="00F8463F">
        <w:t>with a service orientation, approaching each person with empathy, and seeking to assist them with overcoming barriers to submitting an application or maintaining their benefits</w:t>
      </w:r>
      <w:r w:rsidR="00250D38" w:rsidRPr="00F8463F">
        <w:t>.</w:t>
      </w:r>
      <w:r w:rsidR="00250D38">
        <w:t xml:space="preserve"> </w:t>
      </w:r>
      <w:r>
        <w:t>Gainwell staff members conducting the outreach were also trained on MyBCW portal usage</w:t>
      </w:r>
      <w:r w:rsidR="00250D38">
        <w:t xml:space="preserve">. </w:t>
      </w:r>
    </w:p>
    <w:p w14:paraId="20DFF519" w14:textId="0F780037" w:rsidR="00302004" w:rsidRDefault="00302004" w:rsidP="00302004">
      <w:pPr>
        <w:pStyle w:val="BodyText"/>
      </w:pPr>
      <w:r>
        <w:t>Our staff assisted individuals with using MyBCW and observed areas of the portal where customers had difficulty or made suggestions as they navigated through the portal</w:t>
      </w:r>
      <w:r w:rsidR="00250D38">
        <w:t xml:space="preserve">. </w:t>
      </w:r>
      <w:r>
        <w:t>Not only did the Gainwell staff perform the outreach service, but they also gathered invaluable information about pain points and improvement suggestions for the MyBCW portal based on actual usage of the portal.</w:t>
      </w:r>
    </w:p>
    <w:p w14:paraId="4ACA9281" w14:textId="0C2A6161" w:rsidR="00302004" w:rsidRDefault="00302004" w:rsidP="00302004">
      <w:pPr>
        <w:pStyle w:val="BodyText"/>
      </w:pPr>
      <w:r>
        <w:t>We are proposing to coordinate with the Consortium to identify interested Counties</w:t>
      </w:r>
      <w:r w:rsidR="00250D38">
        <w:t xml:space="preserve">. </w:t>
      </w:r>
      <w:r>
        <w:t xml:space="preserve">The Gainwell team will work with the identified Counties to </w:t>
      </w:r>
      <w:r w:rsidRPr="008F5484">
        <w:rPr>
          <w:b/>
          <w:bCs/>
        </w:rPr>
        <w:t>conduct similar outreach activities to obtain this same type of information regarding BenefitsCal</w:t>
      </w:r>
      <w:r w:rsidR="00250D38">
        <w:t xml:space="preserve">. </w:t>
      </w:r>
      <w:r>
        <w:t>This outreach activity serves the double duty of assisting volunteer Counties with outreach activities while providing invaluable information to the BenefitsCal Product Team, Consortium, Counties</w:t>
      </w:r>
      <w:r w:rsidR="009206FB">
        <w:t>,</w:t>
      </w:r>
      <w:r w:rsidR="00A67E0C">
        <w:t xml:space="preserve"> </w:t>
      </w:r>
      <w:r>
        <w:t>and other stakeholders.</w:t>
      </w:r>
      <w:r w:rsidR="00ED747F">
        <w:t xml:space="preserve"> </w:t>
      </w:r>
    </w:p>
    <w:tbl>
      <w:tblPr>
        <w:tblStyle w:val="TableGrid"/>
        <w:tblpPr w:leftFromText="187" w:rightFromText="187" w:bottomFromText="115" w:vertAnchor="text" w:tblpY="1"/>
        <w:tblOverlap w:val="never"/>
        <w:tblW w:w="0" w:type="auto"/>
        <w:tblBorders>
          <w:top w:val="single" w:sz="4" w:space="0" w:color="EBEDF5"/>
          <w:left w:val="single" w:sz="4" w:space="0" w:color="EBEDF5"/>
          <w:bottom w:val="single" w:sz="4" w:space="0" w:color="EBEDF5"/>
          <w:right w:val="single" w:sz="4" w:space="0" w:color="EBEDF5"/>
          <w:insideH w:val="none" w:sz="0" w:space="0" w:color="auto"/>
          <w:insideV w:val="none" w:sz="0" w:space="0" w:color="auto"/>
        </w:tblBorders>
        <w:shd w:val="clear" w:color="auto" w:fill="EBEDF5"/>
        <w:tblCellMar>
          <w:top w:w="115" w:type="dxa"/>
        </w:tblCellMar>
        <w:tblLook w:val="04A0" w:firstRow="1" w:lastRow="0" w:firstColumn="1" w:lastColumn="0" w:noHBand="0" w:noVBand="1"/>
      </w:tblPr>
      <w:tblGrid>
        <w:gridCol w:w="9350"/>
      </w:tblGrid>
      <w:tr w:rsidR="00D13CD8" w14:paraId="7DBA38E5" w14:textId="77777777" w:rsidTr="00D13CD8">
        <w:tc>
          <w:tcPr>
            <w:tcW w:w="9350" w:type="dxa"/>
            <w:shd w:val="clear" w:color="auto" w:fill="EBEDF5"/>
          </w:tcPr>
          <w:tbl>
            <w:tblPr>
              <w:tblW w:w="9072" w:type="dxa"/>
              <w:tblLook w:val="04A0" w:firstRow="1" w:lastRow="0" w:firstColumn="1" w:lastColumn="0" w:noHBand="0" w:noVBand="1"/>
            </w:tblPr>
            <w:tblGrid>
              <w:gridCol w:w="990"/>
              <w:gridCol w:w="8082"/>
            </w:tblGrid>
            <w:tr w:rsidR="00D13CD8" w:rsidRPr="00A7028F" w14:paraId="06E7B9FE" w14:textId="77777777" w:rsidTr="00E7159D">
              <w:trPr>
                <w:trHeight w:val="300"/>
              </w:trPr>
              <w:tc>
                <w:tcPr>
                  <w:tcW w:w="990" w:type="dxa"/>
                  <w:shd w:val="clear" w:color="auto" w:fill="auto"/>
                  <w:noWrap/>
                </w:tcPr>
                <w:p w14:paraId="607CD9C1" w14:textId="77777777" w:rsidR="00D13CD8" w:rsidRPr="00A7028F" w:rsidRDefault="00D13CD8" w:rsidP="002E321E">
                  <w:pPr>
                    <w:pStyle w:val="ReqNo"/>
                    <w:framePr w:wrap="around"/>
                    <w:widowControl w:val="0"/>
                  </w:pPr>
                </w:p>
              </w:tc>
              <w:tc>
                <w:tcPr>
                  <w:tcW w:w="8082" w:type="dxa"/>
                  <w:shd w:val="clear" w:color="auto" w:fill="auto"/>
                </w:tcPr>
                <w:p w14:paraId="30BABCBF" w14:textId="286D1603" w:rsidR="00D13CD8" w:rsidRPr="00A7028F" w:rsidRDefault="00D13CD8" w:rsidP="002E321E">
                  <w:pPr>
                    <w:pStyle w:val="BodyText0"/>
                    <w:framePr w:wrap="around"/>
                    <w:widowControl w:val="0"/>
                  </w:pPr>
                  <w:r w:rsidRPr="00FC3BDF">
                    <w:t>Describe your approach to engaging with the Stakeholder Community to enhance the awareness, adoption, and Stakeholder Community perception of the BenefitsCal application.</w:t>
                  </w:r>
                </w:p>
              </w:tc>
            </w:tr>
          </w:tbl>
          <w:p w14:paraId="71A262EE" w14:textId="77777777" w:rsidR="00D13CD8" w:rsidRDefault="00D13CD8" w:rsidP="00D13CD8">
            <w:pPr>
              <w:pStyle w:val="BodyText0"/>
              <w:framePr w:hSpace="0" w:wrap="auto" w:vAnchor="margin" w:yAlign="inline"/>
              <w:suppressOverlap w:val="0"/>
            </w:pPr>
          </w:p>
        </w:tc>
      </w:tr>
    </w:tbl>
    <w:p w14:paraId="4C756623" w14:textId="53645624" w:rsidR="00003846" w:rsidRDefault="00003846" w:rsidP="001237A7">
      <w:pPr>
        <w:pStyle w:val="BodyText"/>
      </w:pPr>
      <w:r>
        <w:t xml:space="preserve">In our response to UA8, we </w:t>
      </w:r>
      <w:r w:rsidR="00D525B6">
        <w:t xml:space="preserve">focused on the Counties and </w:t>
      </w:r>
      <w:r>
        <w:t>integration of BenefitsCal with the County processes</w:t>
      </w:r>
      <w:r w:rsidR="00D525B6">
        <w:t>. In our response to UA9, we focused on the public</w:t>
      </w:r>
      <w:r w:rsidR="002743E4">
        <w:t xml:space="preserve"> customer</w:t>
      </w:r>
      <w:r>
        <w:t xml:space="preserve"> and </w:t>
      </w:r>
      <w:r w:rsidR="00D525B6">
        <w:t>enhancing awareness</w:t>
      </w:r>
      <w:r w:rsidR="002743E4">
        <w:t xml:space="preserve">, adoption, </w:t>
      </w:r>
      <w:r w:rsidR="00D525B6">
        <w:t>and public opinion of BenefitsCal</w:t>
      </w:r>
      <w:r w:rsidR="008E168A">
        <w:t>.</w:t>
      </w:r>
      <w:r w:rsidR="002743E4">
        <w:t xml:space="preserve"> </w:t>
      </w:r>
    </w:p>
    <w:p w14:paraId="434CE76E" w14:textId="3246B19D" w:rsidR="00003846" w:rsidRDefault="00003846" w:rsidP="001237A7">
      <w:pPr>
        <w:pStyle w:val="BodyText"/>
      </w:pPr>
      <w:r>
        <w:t xml:space="preserve">In this </w:t>
      </w:r>
      <w:r w:rsidR="00E423E2">
        <w:t>sub</w:t>
      </w:r>
      <w:r>
        <w:t xml:space="preserve">section, we highlight approaches to </w:t>
      </w:r>
      <w:r w:rsidR="00C3740D">
        <w:t xml:space="preserve">enhance the awareness, </w:t>
      </w:r>
      <w:r w:rsidR="00250D38">
        <w:t>adoption,</w:t>
      </w:r>
      <w:r w:rsidR="00C3740D">
        <w:t xml:space="preserve"> and perception of the BenefitsCal application</w:t>
      </w:r>
      <w:r>
        <w:t xml:space="preserve"> </w:t>
      </w:r>
      <w:r w:rsidR="00E50269">
        <w:t xml:space="preserve">with the Stakeholder Community </w:t>
      </w:r>
      <w:r>
        <w:t>including:</w:t>
      </w:r>
    </w:p>
    <w:p w14:paraId="35C0809B" w14:textId="1F054290" w:rsidR="00003846" w:rsidRDefault="00003846" w:rsidP="004345F2">
      <w:pPr>
        <w:pStyle w:val="Bullet1Single0"/>
      </w:pPr>
      <w:r>
        <w:t>Advocates</w:t>
      </w:r>
    </w:p>
    <w:p w14:paraId="0C61E1C0" w14:textId="0DB11216" w:rsidR="00003846" w:rsidRDefault="00003846" w:rsidP="004345F2">
      <w:pPr>
        <w:pStyle w:val="Bullet1Single0"/>
      </w:pPr>
      <w:r>
        <w:t>State and Federal Partners</w:t>
      </w:r>
    </w:p>
    <w:p w14:paraId="36000A73" w14:textId="61D330E5" w:rsidR="00003846" w:rsidRDefault="00E50269" w:rsidP="00850A2E">
      <w:pPr>
        <w:pStyle w:val="CvrLtrBullet1Double"/>
      </w:pPr>
      <w:r>
        <w:t>Additional Public</w:t>
      </w:r>
      <w:r w:rsidR="008A7150">
        <w:t xml:space="preserve"> and </w:t>
      </w:r>
      <w:r>
        <w:t>Private Organizations</w:t>
      </w:r>
    </w:p>
    <w:p w14:paraId="3DA38C9D" w14:textId="03ED94E2" w:rsidR="001237A7" w:rsidRDefault="003F37D8" w:rsidP="001237A7">
      <w:pPr>
        <w:pStyle w:val="BodyText"/>
      </w:pPr>
      <w:r>
        <w:lastRenderedPageBreak/>
        <w:t xml:space="preserve">Similar to our approach to multi-contractor engagement, successful coordination with the Stakeholder community begins with </w:t>
      </w:r>
      <w:r w:rsidRPr="00D575E5">
        <w:rPr>
          <w:b/>
        </w:rPr>
        <w:t>understanding, leadership, and communication</w:t>
      </w:r>
      <w:r>
        <w:t>.</w:t>
      </w:r>
    </w:p>
    <w:p w14:paraId="6BAA38E3" w14:textId="428CBDD4" w:rsidR="00C12E1D" w:rsidRDefault="00C12E1D" w:rsidP="00C12E1D">
      <w:pPr>
        <w:pStyle w:val="HeadingManual4"/>
      </w:pPr>
      <w:bookmarkStart w:id="127" w:name="_Toc173187504"/>
      <w:r>
        <w:t>4.4.2.3</w:t>
      </w:r>
      <w:r>
        <w:tab/>
        <w:t>Understanding: Advocates</w:t>
      </w:r>
      <w:bookmarkEnd w:id="127"/>
    </w:p>
    <w:p w14:paraId="7B80D7B1" w14:textId="17D3108A" w:rsidR="00AC0DE7" w:rsidRDefault="00E00E05" w:rsidP="001237A7">
      <w:pPr>
        <w:pStyle w:val="BodyText"/>
      </w:pPr>
      <w:r>
        <w:t xml:space="preserve">Advocate engagement with CalSAWS is </w:t>
      </w:r>
      <w:r w:rsidR="009169E3">
        <w:t>primarily led by the CalSAWS Advoca</w:t>
      </w:r>
      <w:r w:rsidR="00CE5005">
        <w:t>tes</w:t>
      </w:r>
      <w:r w:rsidR="009169E3">
        <w:t xml:space="preserve"> Group</w:t>
      </w:r>
      <w:r w:rsidR="00250D38">
        <w:t xml:space="preserve">. </w:t>
      </w:r>
      <w:r w:rsidR="00004668">
        <w:t xml:space="preserve">The CalSAWS </w:t>
      </w:r>
      <w:r w:rsidR="00CE5005">
        <w:t xml:space="preserve">Advocates </w:t>
      </w:r>
      <w:r w:rsidR="00004668">
        <w:t>Group</w:t>
      </w:r>
      <w:r w:rsidR="00EF7ECC">
        <w:t xml:space="preserve"> has </w:t>
      </w:r>
      <w:r w:rsidR="00AC0DE7">
        <w:t>published their mission statement which states</w:t>
      </w:r>
      <w:r w:rsidR="00CE5005">
        <w:t>,</w:t>
      </w:r>
      <w:r w:rsidR="00AC0DE7">
        <w:t xml:space="preserve"> “</w:t>
      </w:r>
      <w:r w:rsidR="00476496" w:rsidRPr="00476496">
        <w:t>We are advocates and entities who envision a CalSAWS development and implementation that (1) maximizes ease of use for program applicants and beneficiaries, community-based organizations, and eligibility workers, (2) protects consumer rights; and (3) promotes continuous program improvement.</w:t>
      </w:r>
      <w:r w:rsidR="00AC0DE7">
        <w:t>”</w:t>
      </w:r>
    </w:p>
    <w:p w14:paraId="33D6844C" w14:textId="74C97816" w:rsidR="00654A40" w:rsidRDefault="00D9781E" w:rsidP="001237A7">
      <w:pPr>
        <w:pStyle w:val="BodyText"/>
      </w:pPr>
      <w:r>
        <w:t>Because of their focus on customers and CBOs, the CalSAWS Advoca</w:t>
      </w:r>
      <w:r w:rsidR="001B26F7">
        <w:t>tes</w:t>
      </w:r>
      <w:r>
        <w:t xml:space="preserve"> Group </w:t>
      </w:r>
      <w:r w:rsidR="00920654">
        <w:t>priorities related to BenefitsCal</w:t>
      </w:r>
      <w:r w:rsidR="00920654" w:rsidRPr="00920654">
        <w:t xml:space="preserve"> have centered around </w:t>
      </w:r>
      <w:r w:rsidR="009F07C6">
        <w:t>“</w:t>
      </w:r>
      <w:r w:rsidR="00920654" w:rsidRPr="00920654">
        <w:t>equity for historically marginalized groups in the development of technology, reducing the burden for clients to submit information</w:t>
      </w:r>
      <w:r w:rsidR="009F07C6">
        <w:t>.”</w:t>
      </w:r>
    </w:p>
    <w:p w14:paraId="6A6E46C1" w14:textId="41F2CDF0" w:rsidR="009F07C6" w:rsidRDefault="00381846" w:rsidP="001237A7">
      <w:pPr>
        <w:pStyle w:val="BodyText"/>
      </w:pPr>
      <w:r>
        <w:t>Earlier this year, the CalSAWS Advoca</w:t>
      </w:r>
      <w:r w:rsidR="001B26F7">
        <w:t>tes</w:t>
      </w:r>
      <w:r>
        <w:t xml:space="preserve"> Group</w:t>
      </w:r>
      <w:r w:rsidR="00553976">
        <w:t xml:space="preserve"> hosted a CalSAWS Advocates Visioning meeting </w:t>
      </w:r>
      <w:r w:rsidR="001B26F7">
        <w:t xml:space="preserve">where they documented </w:t>
      </w:r>
      <w:r w:rsidR="00701542">
        <w:t>a strategic plan</w:t>
      </w:r>
      <w:r w:rsidR="003227CC">
        <w:t xml:space="preserve"> with the following five</w:t>
      </w:r>
      <w:r w:rsidR="00EB7D4C">
        <w:t xml:space="preserve"> goals for 2024:</w:t>
      </w:r>
    </w:p>
    <w:p w14:paraId="7947BCD8" w14:textId="26797D58" w:rsidR="001A68A4" w:rsidRDefault="001A68A4" w:rsidP="00850A2E">
      <w:pPr>
        <w:pStyle w:val="CvrLtrBullet1Double"/>
        <w:numPr>
          <w:ilvl w:val="0"/>
          <w:numId w:val="59"/>
        </w:numPr>
        <w:tabs>
          <w:tab w:val="clear" w:pos="-144"/>
          <w:tab w:val="num" w:pos="360"/>
        </w:tabs>
        <w:ind w:left="360" w:hanging="360"/>
      </w:pPr>
      <w:r w:rsidRPr="005E32D0">
        <w:rPr>
          <w:b/>
        </w:rPr>
        <w:t>BenefitsCal Functionality for Consumers</w:t>
      </w:r>
      <w:r>
        <w:t xml:space="preserve"> focuses on improving the functionality of BenefitsCal for individuals applying for or managing public benefits like CalFresh or Medi-Cal by addressing pain points that customers may encounter and prioritizing features that enhance user experience.</w:t>
      </w:r>
    </w:p>
    <w:p w14:paraId="50249671" w14:textId="73C0EEBB" w:rsidR="001A68A4" w:rsidRDefault="001A68A4" w:rsidP="00850A2E">
      <w:pPr>
        <w:pStyle w:val="CvrLtrBullet1Double"/>
        <w:numPr>
          <w:ilvl w:val="0"/>
          <w:numId w:val="59"/>
        </w:numPr>
        <w:tabs>
          <w:tab w:val="clear" w:pos="-144"/>
          <w:tab w:val="num" w:pos="360"/>
        </w:tabs>
        <w:ind w:left="360" w:hanging="360"/>
      </w:pPr>
      <w:r w:rsidRPr="005E32D0">
        <w:rPr>
          <w:b/>
        </w:rPr>
        <w:t>BenefitsCal Functionality for CBOs</w:t>
      </w:r>
      <w:r>
        <w:t xml:space="preserve"> aims to enhance BenefitsCal to better support </w:t>
      </w:r>
      <w:r w:rsidR="00404255">
        <w:t>community-based</w:t>
      </w:r>
      <w:r>
        <w:t xml:space="preserve"> organizations in assisting their customers with applying for and managing public benefits. Specifically, we are advocating for the Release of Information (ROI) launch for CBOs on BenefitsCal.</w:t>
      </w:r>
    </w:p>
    <w:p w14:paraId="26AC3D27" w14:textId="5182BC79" w:rsidR="001A68A4" w:rsidRDefault="001A68A4" w:rsidP="00850A2E">
      <w:pPr>
        <w:pStyle w:val="CvrLtrBullet1Double"/>
        <w:numPr>
          <w:ilvl w:val="0"/>
          <w:numId w:val="59"/>
        </w:numPr>
        <w:tabs>
          <w:tab w:val="clear" w:pos="-144"/>
          <w:tab w:val="num" w:pos="360"/>
        </w:tabs>
        <w:ind w:left="360" w:hanging="360"/>
      </w:pPr>
      <w:r w:rsidRPr="005E32D0">
        <w:rPr>
          <w:b/>
        </w:rPr>
        <w:t>Information Sharing and Communication within the Advocates Group</w:t>
      </w:r>
      <w:r>
        <w:t xml:space="preserve"> emphasizes continuing improvements in communication and information sharing among members of the CalSAWS Advocates Group. This includes hosting regular meetings, managing a listserv, creating newsletters, and educating advocates on available resources.</w:t>
      </w:r>
    </w:p>
    <w:p w14:paraId="38B2BB50" w14:textId="23E22E5F" w:rsidR="001A68A4" w:rsidRDefault="001A68A4" w:rsidP="00850A2E">
      <w:pPr>
        <w:pStyle w:val="CvrLtrBullet1Double"/>
        <w:numPr>
          <w:ilvl w:val="0"/>
          <w:numId w:val="59"/>
        </w:numPr>
        <w:tabs>
          <w:tab w:val="clear" w:pos="-144"/>
          <w:tab w:val="num" w:pos="360"/>
        </w:tabs>
        <w:ind w:left="360" w:hanging="360"/>
      </w:pPr>
      <w:r w:rsidRPr="005E32D0">
        <w:rPr>
          <w:b/>
        </w:rPr>
        <w:t>Data Metrics</w:t>
      </w:r>
      <w:r>
        <w:t xml:space="preserve"> focuses on supporting public access to program and functionality data related to public benefits programs and the functionality of public-facing technologies. </w:t>
      </w:r>
    </w:p>
    <w:p w14:paraId="351C939D" w14:textId="532D8D95" w:rsidR="00EB7D4C" w:rsidRDefault="001A68A4" w:rsidP="00850A2E">
      <w:pPr>
        <w:pStyle w:val="CvrLtrBullet1Double"/>
        <w:numPr>
          <w:ilvl w:val="0"/>
          <w:numId w:val="59"/>
        </w:numPr>
        <w:tabs>
          <w:tab w:val="clear" w:pos="-144"/>
          <w:tab w:val="num" w:pos="360"/>
        </w:tabs>
        <w:ind w:left="360" w:hanging="360"/>
      </w:pPr>
      <w:r w:rsidRPr="005E32D0">
        <w:rPr>
          <w:b/>
        </w:rPr>
        <w:t>CalSAWS Project Decision Making, and Transparency</w:t>
      </w:r>
      <w:r>
        <w:t xml:space="preserve"> aims to maximize transparency and stakeholder engagement with the CalSAWS Project, which leads the development of public benefits technology on behalf of Counties and the State by facilitating public input and feedback on project decisions, ensuring that decision-making processes are transparent, and fostering collaboration among stakeholders.</w:t>
      </w:r>
    </w:p>
    <w:p w14:paraId="3623BEED" w14:textId="5C7727B0" w:rsidR="00B17B0E" w:rsidRPr="00D0562C" w:rsidRDefault="002C2272" w:rsidP="001237A7">
      <w:pPr>
        <w:pStyle w:val="BodyText"/>
        <w:rPr>
          <w:i/>
          <w:iCs/>
        </w:rPr>
      </w:pPr>
      <w:r w:rsidRPr="00D0562C">
        <w:rPr>
          <w:i/>
          <w:iCs/>
        </w:rPr>
        <w:t xml:space="preserve">Source: </w:t>
      </w:r>
      <w:r w:rsidR="00B17B0E" w:rsidRPr="000F7470">
        <w:rPr>
          <w:i/>
          <w:iCs/>
        </w:rPr>
        <w:t>www.cafoodbanks.org</w:t>
      </w:r>
    </w:p>
    <w:p w14:paraId="4D432208" w14:textId="62C83981" w:rsidR="00701DC6" w:rsidRDefault="00FF273A" w:rsidP="001237A7">
      <w:pPr>
        <w:pStyle w:val="BodyText"/>
      </w:pPr>
      <w:r>
        <w:lastRenderedPageBreak/>
        <w:t xml:space="preserve">While the BenefitsCal </w:t>
      </w:r>
      <w:r w:rsidR="00395B38">
        <w:t xml:space="preserve">project team </w:t>
      </w:r>
      <w:r w:rsidR="006313DD">
        <w:t>focuses on maximizing the value of enhancement</w:t>
      </w:r>
      <w:r w:rsidR="00F464DC">
        <w:t xml:space="preserve">s implemented within the funding </w:t>
      </w:r>
      <w:r w:rsidR="00B23FFC">
        <w:t>available</w:t>
      </w:r>
      <w:r w:rsidR="00F464DC">
        <w:t xml:space="preserve"> </w:t>
      </w:r>
      <w:r w:rsidR="006313DD">
        <w:t xml:space="preserve">for the largest number of </w:t>
      </w:r>
      <w:r w:rsidR="00395B38">
        <w:t>BenefitsCal users</w:t>
      </w:r>
      <w:r w:rsidR="00F464DC">
        <w:t>, advocacy</w:t>
      </w:r>
      <w:r w:rsidR="00F2102A">
        <w:t xml:space="preserve"> typically</w:t>
      </w:r>
      <w:r w:rsidR="00F464DC">
        <w:t xml:space="preserve"> focuses on</w:t>
      </w:r>
      <w:r w:rsidR="0037020F">
        <w:t xml:space="preserve"> an individual based approach</w:t>
      </w:r>
      <w:r w:rsidR="001C0305">
        <w:t>;</w:t>
      </w:r>
      <w:r w:rsidR="0037020F">
        <w:t xml:space="preserve"> i.e.</w:t>
      </w:r>
      <w:r w:rsidR="001C0305">
        <w:t>,</w:t>
      </w:r>
      <w:r w:rsidR="00F464DC">
        <w:t xml:space="preserve"> “leaving no one behind.”</w:t>
      </w:r>
      <w:r w:rsidR="00A92B26">
        <w:t xml:space="preserve"> </w:t>
      </w:r>
      <w:r w:rsidR="000E639D">
        <w:t>These two differing perspectives</w:t>
      </w:r>
      <w:r w:rsidR="00506E66">
        <w:t>, neither of which is inherently wrong,</w:t>
      </w:r>
      <w:r w:rsidR="000F7B14">
        <w:t xml:space="preserve"> can result in adversarial positions</w:t>
      </w:r>
      <w:r w:rsidR="001C0305">
        <w:t xml:space="preserve">. </w:t>
      </w:r>
    </w:p>
    <w:p w14:paraId="61A88185" w14:textId="6ED74A57" w:rsidR="003E16AB" w:rsidRDefault="0093383B" w:rsidP="001237A7">
      <w:pPr>
        <w:pStyle w:val="BodyText"/>
      </w:pPr>
      <w:r>
        <w:t xml:space="preserve">Understanding these two different </w:t>
      </w:r>
      <w:r w:rsidR="00DA406A">
        <w:t xml:space="preserve">perspectives and the mission and goals of the </w:t>
      </w:r>
      <w:r w:rsidR="00701DC6">
        <w:t>CalSAWS A</w:t>
      </w:r>
      <w:r w:rsidR="00DA406A">
        <w:t xml:space="preserve">dvocate </w:t>
      </w:r>
      <w:r w:rsidR="00701DC6">
        <w:t>G</w:t>
      </w:r>
      <w:r w:rsidR="00DA406A">
        <w:t>roup</w:t>
      </w:r>
      <w:r w:rsidR="008C1C47">
        <w:t xml:space="preserve"> is a strong first step.</w:t>
      </w:r>
    </w:p>
    <w:p w14:paraId="58E7DD9F" w14:textId="27FDE05D" w:rsidR="00625B1C" w:rsidRDefault="00625B1C" w:rsidP="00625B1C">
      <w:pPr>
        <w:pStyle w:val="HeadingManual4"/>
      </w:pPr>
      <w:bookmarkStart w:id="128" w:name="_Toc173187505"/>
      <w:r>
        <w:t>4.4.2.4</w:t>
      </w:r>
      <w:r>
        <w:tab/>
        <w:t>Leadership and Communication: Advocates</w:t>
      </w:r>
      <w:bookmarkEnd w:id="128"/>
    </w:p>
    <w:p w14:paraId="424D6924" w14:textId="3590FEE2" w:rsidR="005E4596" w:rsidRDefault="0079767F" w:rsidP="001237A7">
      <w:pPr>
        <w:pStyle w:val="BodyText"/>
      </w:pPr>
      <w:r>
        <w:t xml:space="preserve">The Collaboration Model </w:t>
      </w:r>
      <w:r w:rsidR="000B4C4A">
        <w:t xml:space="preserve">is a prime example of bringing structure, </w:t>
      </w:r>
      <w:r w:rsidR="001C0305">
        <w:t>leadership,</w:t>
      </w:r>
      <w:r w:rsidR="000B4C4A">
        <w:t xml:space="preserve"> and improved communication to the situation</w:t>
      </w:r>
      <w:r w:rsidR="00626FCE">
        <w:t xml:space="preserve">. </w:t>
      </w:r>
      <w:r w:rsidR="000B4C4A">
        <w:t>Gainwell fully supports the Collaboration Model</w:t>
      </w:r>
      <w:r w:rsidR="001C0305">
        <w:t xml:space="preserve">. </w:t>
      </w:r>
      <w:r w:rsidR="005E4596">
        <w:t xml:space="preserve">Additionally, naming a dedicated Consortium Section Director for BenefitsCal responded to one of the advocate concerns regarding a single point of contact while bringing additional leadership </w:t>
      </w:r>
      <w:r w:rsidR="00A2490C">
        <w:t>and increased communication.</w:t>
      </w:r>
    </w:p>
    <w:p w14:paraId="51408510" w14:textId="3311F43F" w:rsidR="00696408" w:rsidRDefault="00911977" w:rsidP="001237A7">
      <w:pPr>
        <w:pStyle w:val="BodyText"/>
      </w:pPr>
      <w:r>
        <w:t>The publication of the CalSAWS Advocates Group</w:t>
      </w:r>
      <w:r w:rsidR="00C72242">
        <w:t>’s</w:t>
      </w:r>
      <w:r>
        <w:t xml:space="preserve"> strategic plan and five goals provides a unique opportunity to </w:t>
      </w:r>
      <w:r w:rsidR="007E2740">
        <w:t xml:space="preserve">bring additional leadership to </w:t>
      </w:r>
      <w:r w:rsidR="002234FD">
        <w:t xml:space="preserve">enhance the </w:t>
      </w:r>
      <w:r w:rsidR="002234FD" w:rsidRPr="00FC3BDF">
        <w:t xml:space="preserve">Stakeholder </w:t>
      </w:r>
      <w:r w:rsidR="002234FD">
        <w:t>c</w:t>
      </w:r>
      <w:r w:rsidR="002234FD" w:rsidRPr="00FC3BDF">
        <w:t>ommunity</w:t>
      </w:r>
      <w:r w:rsidR="002234FD">
        <w:t xml:space="preserve"> perception of BenefitsCal</w:t>
      </w:r>
      <w:r w:rsidR="008763D1">
        <w:t>.</w:t>
      </w:r>
      <w:r w:rsidR="00E70E36">
        <w:t xml:space="preserve"> </w:t>
      </w:r>
    </w:p>
    <w:p w14:paraId="3FBA7858" w14:textId="025D6F0C" w:rsidR="00C206FC" w:rsidRDefault="00D974A9" w:rsidP="001237A7">
      <w:pPr>
        <w:pStyle w:val="BodyText"/>
      </w:pPr>
      <w:r>
        <w:rPr>
          <w:noProof/>
        </w:rPr>
        <w:drawing>
          <wp:anchor distT="0" distB="0" distL="114300" distR="114300" simplePos="0" relativeHeight="251658278" behindDoc="0" locked="0" layoutInCell="1" allowOverlap="1" wp14:anchorId="0DA61476" wp14:editId="283BBEA2">
            <wp:simplePos x="0" y="0"/>
            <wp:positionH relativeFrom="margin">
              <wp:align>left</wp:align>
            </wp:positionH>
            <wp:positionV relativeFrom="paragraph">
              <wp:posOffset>444484</wp:posOffset>
            </wp:positionV>
            <wp:extent cx="2588964" cy="940238"/>
            <wp:effectExtent l="0" t="0" r="1905" b="0"/>
            <wp:wrapSquare wrapText="bothSides"/>
            <wp:docPr id="10532167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88964" cy="940238"/>
                    </a:xfrm>
                    <a:prstGeom prst="rect">
                      <a:avLst/>
                    </a:prstGeom>
                    <a:noFill/>
                  </pic:spPr>
                </pic:pic>
              </a:graphicData>
            </a:graphic>
          </wp:anchor>
        </w:drawing>
      </w:r>
      <w:r w:rsidR="00820619">
        <w:t xml:space="preserve">We </w:t>
      </w:r>
      <w:r w:rsidR="00000029">
        <w:t>recommend</w:t>
      </w:r>
      <w:r w:rsidR="00961912">
        <w:t xml:space="preserve"> document</w:t>
      </w:r>
      <w:r w:rsidR="00000029">
        <w:t>ing</w:t>
      </w:r>
      <w:r w:rsidR="00961912">
        <w:t xml:space="preserve"> a plan that</w:t>
      </w:r>
      <w:r w:rsidR="00820619">
        <w:t xml:space="preserve"> </w:t>
      </w:r>
      <w:r w:rsidR="00957648">
        <w:t>directly align</w:t>
      </w:r>
      <w:r w:rsidR="00961912">
        <w:t>s</w:t>
      </w:r>
      <w:r w:rsidR="00957648">
        <w:t xml:space="preserve"> </w:t>
      </w:r>
      <w:r w:rsidR="00F24240">
        <w:t xml:space="preserve">BenefitsCal activities </w:t>
      </w:r>
      <w:r w:rsidR="00F61345">
        <w:t xml:space="preserve">to the </w:t>
      </w:r>
      <w:r w:rsidR="00EA4733">
        <w:t>CalSAWS Advocates Group</w:t>
      </w:r>
      <w:r w:rsidR="00A75ABE">
        <w:t>’</w:t>
      </w:r>
      <w:r w:rsidR="00EA4733">
        <w:t xml:space="preserve">s </w:t>
      </w:r>
      <w:r w:rsidR="00F61345">
        <w:t>five goals</w:t>
      </w:r>
      <w:r w:rsidR="00961912">
        <w:t xml:space="preserve"> when applicable</w:t>
      </w:r>
      <w:r w:rsidR="00820619">
        <w:t xml:space="preserve">. This is not a deviation from the Collaboration Model, but rather an expansion of it. </w:t>
      </w:r>
      <w:r w:rsidR="00000029">
        <w:t>Th</w:t>
      </w:r>
      <w:r w:rsidR="008C73CB">
        <w:t>is</w:t>
      </w:r>
      <w:r w:rsidR="00000029">
        <w:t xml:space="preserve"> </w:t>
      </w:r>
      <w:r w:rsidR="00000029" w:rsidRPr="00EA4733">
        <w:rPr>
          <w:b/>
          <w:bCs/>
        </w:rPr>
        <w:t>joint success</w:t>
      </w:r>
      <w:r w:rsidR="00C51DC2" w:rsidRPr="00EA4733">
        <w:rPr>
          <w:b/>
          <w:bCs/>
        </w:rPr>
        <w:t xml:space="preserve"> plan</w:t>
      </w:r>
      <w:r w:rsidR="007D2560">
        <w:t xml:space="preserve"> </w:t>
      </w:r>
      <w:r w:rsidR="00443407">
        <w:t xml:space="preserve">explicitly documents how </w:t>
      </w:r>
      <w:r w:rsidR="00C70BAF">
        <w:t xml:space="preserve">BenefitsCal enhancements or activities </w:t>
      </w:r>
      <w:r w:rsidR="00820619">
        <w:t xml:space="preserve">assist the advocates in meeting their </w:t>
      </w:r>
      <w:r w:rsidR="00ED2D6F">
        <w:t xml:space="preserve">stated </w:t>
      </w:r>
      <w:r w:rsidR="00820619">
        <w:t>goal</w:t>
      </w:r>
      <w:r w:rsidR="00C70BAF">
        <w:t>s</w:t>
      </w:r>
      <w:r w:rsidR="001C0305">
        <w:t xml:space="preserve">. </w:t>
      </w:r>
    </w:p>
    <w:p w14:paraId="17966C73" w14:textId="7274DBEC" w:rsidR="00322D2B" w:rsidRDefault="00F5654A" w:rsidP="00DF7229">
      <w:pPr>
        <w:pStyle w:val="BodyText"/>
        <w:spacing w:before="240"/>
      </w:pPr>
      <w:r>
        <w:t>As an example</w:t>
      </w:r>
      <w:r w:rsidR="00926A2B">
        <w:t xml:space="preserve"> of</w:t>
      </w:r>
      <w:r w:rsidR="00864C2F">
        <w:t xml:space="preserve"> the start of a joint success plan, we have taken some ideas described in our proposal </w:t>
      </w:r>
      <w:r w:rsidR="00206524">
        <w:t xml:space="preserve">and additional </w:t>
      </w:r>
      <w:r w:rsidR="003463AE">
        <w:t>thoughts</w:t>
      </w:r>
      <w:r w:rsidR="00566A41">
        <w:t xml:space="preserve"> </w:t>
      </w:r>
      <w:r w:rsidR="00864C2F">
        <w:t>and mapped them to the CalSAWS Advocate Group goals</w:t>
      </w:r>
      <w:r w:rsidR="001C0305">
        <w:t xml:space="preserve">. </w:t>
      </w:r>
      <w:r w:rsidR="007F57B5">
        <w:t>Though these</w:t>
      </w:r>
      <w:r w:rsidR="00302B29">
        <w:t xml:space="preserve"> ideas are not approved to implement, they serve as examples of how the joint success plan could be created</w:t>
      </w:r>
      <w:r w:rsidR="001C0305">
        <w:t xml:space="preserve">. </w:t>
      </w:r>
      <w:r w:rsidR="00475150">
        <w:t>(Note that while the first two goals reference increased functionality to eliminate pain points, we have expanded that definition to include items like training that can also eliminate pain points.</w:t>
      </w:r>
      <w:r w:rsidR="00DF7229">
        <w:t>)</w:t>
      </w:r>
    </w:p>
    <w:p w14:paraId="350F5EFA" w14:textId="54D3AE9B" w:rsidR="00506692" w:rsidRDefault="002758BB" w:rsidP="00DF7229">
      <w:pPr>
        <w:pStyle w:val="BodyText"/>
        <w:spacing w:before="240"/>
      </w:pPr>
      <w:r>
        <w:t>In the following figure, t</w:t>
      </w:r>
      <w:r w:rsidR="00506692">
        <w:t xml:space="preserve">he CalSAWS Advocates Group goal is </w:t>
      </w:r>
      <w:r w:rsidR="00C32E5D">
        <w:t xml:space="preserve">summarized in the top colored bar and the mapping of example CalSAWS BenefitsCal activities </w:t>
      </w:r>
      <w:r>
        <w:t>that support the goal are listed below the goal summary.</w:t>
      </w:r>
    </w:p>
    <w:p w14:paraId="1898D73E" w14:textId="08EF0644" w:rsidR="00824D42" w:rsidRDefault="00135A3C" w:rsidP="004339C5">
      <w:pPr>
        <w:pStyle w:val="FigureCaptionAuto"/>
      </w:pPr>
      <w:bookmarkStart w:id="129" w:name="_Toc173187548"/>
      <w:r>
        <w:lastRenderedPageBreak/>
        <w:t>Joint Success Plan Concept</w:t>
      </w:r>
      <w:bookmarkEnd w:id="129"/>
    </w:p>
    <w:p w14:paraId="33C74C4B" w14:textId="7AAE33CD" w:rsidR="00F40FD8" w:rsidRDefault="00C54804" w:rsidP="001237A7">
      <w:pPr>
        <w:pStyle w:val="BodyText"/>
      </w:pPr>
      <w:r>
        <w:rPr>
          <w:noProof/>
          <w14:ligatures w14:val="standardContextual"/>
        </w:rPr>
        <mc:AlternateContent>
          <mc:Choice Requires="wps">
            <w:drawing>
              <wp:anchor distT="0" distB="0" distL="114300" distR="114300" simplePos="0" relativeHeight="251658277" behindDoc="0" locked="0" layoutInCell="1" allowOverlap="1" wp14:anchorId="4460414E" wp14:editId="745AEF48">
                <wp:simplePos x="0" y="0"/>
                <wp:positionH relativeFrom="column">
                  <wp:posOffset>3996690</wp:posOffset>
                </wp:positionH>
                <wp:positionV relativeFrom="paragraph">
                  <wp:posOffset>5775325</wp:posOffset>
                </wp:positionV>
                <wp:extent cx="1904365" cy="658495"/>
                <wp:effectExtent l="0" t="0" r="0" b="8255"/>
                <wp:wrapSquare wrapText="bothSides"/>
                <wp:docPr id="599334080" name="Freeform: Shape 4"/>
                <wp:cNvGraphicFramePr/>
                <a:graphic xmlns:a="http://schemas.openxmlformats.org/drawingml/2006/main">
                  <a:graphicData uri="http://schemas.microsoft.com/office/word/2010/wordprocessingShape">
                    <wps:wsp>
                      <wps:cNvSpPr/>
                      <wps:spPr>
                        <a:xfrm>
                          <a:off x="0" y="0"/>
                          <a:ext cx="1904365" cy="658495"/>
                        </a:xfrm>
                        <a:custGeom>
                          <a:avLst/>
                          <a:gdLst>
                            <a:gd name="connsiteX0" fmla="*/ 0 w 1904365"/>
                            <a:gd name="connsiteY0" fmla="*/ 0 h 658495"/>
                            <a:gd name="connsiteX1" fmla="*/ 1904365 w 1904365"/>
                            <a:gd name="connsiteY1" fmla="*/ 0 h 658495"/>
                            <a:gd name="connsiteX2" fmla="*/ 1904365 w 1904365"/>
                            <a:gd name="connsiteY2" fmla="*/ 658495 h 658495"/>
                            <a:gd name="connsiteX3" fmla="*/ 0 w 1904365"/>
                            <a:gd name="connsiteY3" fmla="*/ 658495 h 658495"/>
                          </a:gdLst>
                          <a:ahLst/>
                          <a:cxnLst>
                            <a:cxn ang="0">
                              <a:pos x="connsiteX0" y="connsiteY0"/>
                            </a:cxn>
                            <a:cxn ang="0">
                              <a:pos x="connsiteX1" y="connsiteY1"/>
                            </a:cxn>
                            <a:cxn ang="0">
                              <a:pos x="connsiteX2" y="connsiteY2"/>
                            </a:cxn>
                            <a:cxn ang="0">
                              <a:pos x="connsiteX3" y="connsiteY3"/>
                            </a:cxn>
                          </a:cxnLst>
                          <a:rect l="l" t="t" r="r" b="b"/>
                          <a:pathLst>
                            <a:path w="1904365" h="658495">
                              <a:moveTo>
                                <a:pt x="0" y="0"/>
                              </a:moveTo>
                              <a:lnTo>
                                <a:pt x="1904365" y="0"/>
                              </a:lnTo>
                              <a:lnTo>
                                <a:pt x="1904365" y="658495"/>
                              </a:lnTo>
                              <a:lnTo>
                                <a:pt x="0" y="658495"/>
                              </a:lnTo>
                              <a:close/>
                            </a:path>
                          </a:pathLst>
                        </a:custGeom>
                        <a:no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svg="http://schemas.microsoft.com/office/drawing/2016/SVG/main" xmlns:a14="http://schemas.microsoft.com/office/drawing/2010/main" xmlns:pic="http://schemas.openxmlformats.org/drawingml/2006/picture" xmlns:a16="http://schemas.microsoft.com/office/drawing/2014/main" xmlns:a="http://schemas.openxmlformats.org/drawingml/2006/main">
            <w:pict w14:anchorId="3F74382F">
              <v:shape id="Freeform: Shape 4" style="position:absolute;margin-left:314.7pt;margin-top:454.75pt;width:149.95pt;height:51.85pt;z-index:251658283;visibility:visible;mso-wrap-style:square;mso-wrap-distance-left:9pt;mso-wrap-distance-top:0;mso-wrap-distance-right:9pt;mso-wrap-distance-bottom:0;mso-position-horizontal:absolute;mso-position-horizontal-relative:text;mso-position-vertical:absolute;mso-position-vertical-relative:text;v-text-anchor:middle" coordsize="1904365,658495" o:spid="_x0000_s1026" filled="f" stroked="f" strokeweight="0" path="m,l1904365,r,658495l,65849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" w14:anchorId="23D05D2A">
                <v:stroke joinstyle="miter"/>
                <v:path arrowok="t" o:connecttype="custom" o:connectlocs="0,0;1904365,0;1904365,658495;0,658495" o:connectangles="0,0,0,0"/>
                <w10:wrap type="square"/>
              </v:shape>
            </w:pict>
          </mc:Fallback>
        </mc:AlternateContent>
      </w:r>
      <w:r w:rsidR="006115AE">
        <w:rPr>
          <w:noProof/>
          <w14:ligatures w14:val="standardContextual"/>
        </w:rPr>
        <w:drawing>
          <wp:anchor distT="0" distB="0" distL="114300" distR="114300" simplePos="0" relativeHeight="251658284" behindDoc="0" locked="0" layoutInCell="1" allowOverlap="1" wp14:anchorId="0262B80E" wp14:editId="7E07B088">
            <wp:simplePos x="914400" y="1160585"/>
            <wp:positionH relativeFrom="column">
              <wp:align>left</wp:align>
            </wp:positionH>
            <wp:positionV relativeFrom="paragraph">
              <wp:align>top</wp:align>
            </wp:positionV>
            <wp:extent cx="5486400" cy="5539666"/>
            <wp:effectExtent l="0" t="0" r="19050" b="0"/>
            <wp:wrapSquare wrapText="bothSides"/>
            <wp:docPr id="795767028"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1" r:lo="rId142" r:qs="rId143" r:cs="rId144"/>
              </a:graphicData>
            </a:graphic>
          </wp:anchor>
        </w:drawing>
      </w:r>
      <w:r w:rsidR="00582F63">
        <w:br w:type="textWrapping" w:clear="all"/>
      </w:r>
    </w:p>
    <w:p w14:paraId="4AB01052" w14:textId="08064A3E" w:rsidR="00582F63" w:rsidRDefault="001D563A" w:rsidP="001237A7">
      <w:pPr>
        <w:pStyle w:val="BodyText"/>
      </w:pPr>
      <w:r w:rsidRPr="001D563A">
        <w:rPr>
          <w:noProof/>
        </w:rPr>
        <w:drawing>
          <wp:anchor distT="0" distB="0" distL="114300" distR="114300" simplePos="0" relativeHeight="251658307" behindDoc="0" locked="0" layoutInCell="1" allowOverlap="1" wp14:anchorId="4800D5E1" wp14:editId="6BAEBEC6">
            <wp:simplePos x="0" y="0"/>
            <wp:positionH relativeFrom="column">
              <wp:posOffset>3095625</wp:posOffset>
            </wp:positionH>
            <wp:positionV relativeFrom="paragraph">
              <wp:posOffset>109220</wp:posOffset>
            </wp:positionV>
            <wp:extent cx="2709545" cy="936625"/>
            <wp:effectExtent l="0" t="0" r="0" b="0"/>
            <wp:wrapSquare wrapText="bothSides"/>
            <wp:docPr id="1785644152" name="Graphic 4">
              <a:extLst xmlns:a="http://schemas.openxmlformats.org/drawingml/2006/main">
                <a:ext uri="{FF2B5EF4-FFF2-40B4-BE49-F238E27FC236}">
                  <a16:creationId xmlns:a16="http://schemas.microsoft.com/office/drawing/2014/main" id="{654005B6-BCA0-2134-C066-2D64D93155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4">
                      <a:extLst>
                        <a:ext uri="{FF2B5EF4-FFF2-40B4-BE49-F238E27FC236}">
                          <a16:creationId xmlns:a16="http://schemas.microsoft.com/office/drawing/2014/main" id="{654005B6-BCA0-2134-C066-2D64D93155E4}"/>
                        </a:ext>
                      </a:extLst>
                    </pic:cNvPr>
                    <pic:cNvPicPr>
                      <a:picLocks noChangeAspect="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2709545" cy="936625"/>
                    </a:xfrm>
                    <a:prstGeom prst="rect">
                      <a:avLst/>
                    </a:prstGeom>
                  </pic:spPr>
                </pic:pic>
              </a:graphicData>
            </a:graphic>
            <wp14:sizeRelH relativeFrom="margin">
              <wp14:pctWidth>0</wp14:pctWidth>
            </wp14:sizeRelH>
            <wp14:sizeRelV relativeFrom="margin">
              <wp14:pctHeight>0</wp14:pctHeight>
            </wp14:sizeRelV>
          </wp:anchor>
        </w:drawing>
      </w:r>
      <w:r w:rsidR="00582F63">
        <w:t xml:space="preserve">Discussion of the CalSAWS Advocacy Goals within the current </w:t>
      </w:r>
      <w:r w:rsidR="00534105">
        <w:t xml:space="preserve">Collaboration Model </w:t>
      </w:r>
      <w:r w:rsidR="00A16DA2">
        <w:t>in conjunction</w:t>
      </w:r>
      <w:r w:rsidR="00534105">
        <w:t xml:space="preserve"> with </w:t>
      </w:r>
      <w:r w:rsidR="00536733">
        <w:t xml:space="preserve">building a joint success plan </w:t>
      </w:r>
      <w:r w:rsidR="006F6864">
        <w:t xml:space="preserve">together will enhance the perception of both BenefitsCal and </w:t>
      </w:r>
      <w:r w:rsidR="00C23D1C">
        <w:t>our</w:t>
      </w:r>
      <w:r w:rsidR="006F6864">
        <w:t xml:space="preserve"> </w:t>
      </w:r>
      <w:r w:rsidR="0097361A">
        <w:t>partnership in support of Californians in need.</w:t>
      </w:r>
    </w:p>
    <w:p w14:paraId="01690FF2" w14:textId="5386E70A" w:rsidR="00625B1C" w:rsidRDefault="00625B1C" w:rsidP="00625B1C">
      <w:pPr>
        <w:pStyle w:val="HeadingManual4"/>
      </w:pPr>
      <w:bookmarkStart w:id="130" w:name="_Toc173187506"/>
      <w:r>
        <w:t>4.4.2.5</w:t>
      </w:r>
      <w:r>
        <w:tab/>
        <w:t>State and Federal Partners</w:t>
      </w:r>
      <w:bookmarkEnd w:id="130"/>
    </w:p>
    <w:p w14:paraId="32EC0A1F" w14:textId="30D49263" w:rsidR="00F3255D" w:rsidRDefault="00F3255D" w:rsidP="001237A7">
      <w:pPr>
        <w:pStyle w:val="BodyText"/>
      </w:pPr>
      <w:r>
        <w:t xml:space="preserve">As the leading provider of Medicaid Management Information Systems, we have developed relationships with many staff members at </w:t>
      </w:r>
      <w:r w:rsidR="00794002">
        <w:t>the Centers for Medicare and Medicaid Services (</w:t>
      </w:r>
      <w:r>
        <w:t>CMS</w:t>
      </w:r>
      <w:r w:rsidR="00794002">
        <w:t>)</w:t>
      </w:r>
      <w:r>
        <w:t xml:space="preserve"> and meet with </w:t>
      </w:r>
      <w:r w:rsidR="00794002">
        <w:t>CMS staff reg</w:t>
      </w:r>
      <w:r>
        <w:t>ularly</w:t>
      </w:r>
      <w:r w:rsidR="002810F3">
        <w:t xml:space="preserve"> to discuss policy and its </w:t>
      </w:r>
      <w:r w:rsidR="002810F3">
        <w:lastRenderedPageBreak/>
        <w:t>impact on technology</w:t>
      </w:r>
      <w:r w:rsidR="001C0305">
        <w:t xml:space="preserve">. </w:t>
      </w:r>
      <w:r w:rsidR="006E0825">
        <w:t>On the CalSAWS project we</w:t>
      </w:r>
      <w:r w:rsidR="00794002">
        <w:t xml:space="preserve"> engage with CMS and Food and Nutrition Services</w:t>
      </w:r>
      <w:r w:rsidR="008623AB">
        <w:t xml:space="preserve"> (FNS)</w:t>
      </w:r>
      <w:r w:rsidR="006E0825">
        <w:t xml:space="preserve"> as a participant with the Consortium </w:t>
      </w:r>
      <w:r w:rsidR="00A22DF5">
        <w:t>leading the communication strategy.</w:t>
      </w:r>
    </w:p>
    <w:p w14:paraId="0BF8210D" w14:textId="411C3117" w:rsidR="008C60EF" w:rsidRDefault="00F3255D" w:rsidP="006475BD">
      <w:pPr>
        <w:pStyle w:val="BodyText"/>
      </w:pPr>
      <w:r>
        <w:t xml:space="preserve">We understand the complexities of service delivery in California human services. Gainwell has experience providing services directly to both </w:t>
      </w:r>
      <w:r w:rsidR="00257E57">
        <w:t>the California Department of Social Services (</w:t>
      </w:r>
      <w:r>
        <w:t>CDSS</w:t>
      </w:r>
      <w:r w:rsidR="00257E57">
        <w:t>)</w:t>
      </w:r>
      <w:r>
        <w:t xml:space="preserve"> and </w:t>
      </w:r>
      <w:r w:rsidR="00257E57">
        <w:t xml:space="preserve">the California </w:t>
      </w:r>
      <w:r w:rsidR="008623AB">
        <w:t>Department of Health Care Services (DHCS)</w:t>
      </w:r>
      <w:r w:rsidR="001C0305">
        <w:t xml:space="preserve">. </w:t>
      </w:r>
    </w:p>
    <w:p w14:paraId="04C29E5A" w14:textId="24D9835C" w:rsidR="006475BD" w:rsidRDefault="006475BD" w:rsidP="006475BD">
      <w:pPr>
        <w:pStyle w:val="BodyText"/>
      </w:pPr>
      <w:r>
        <w:t xml:space="preserve">Gainwell is </w:t>
      </w:r>
      <w:r w:rsidRPr="008A7150">
        <w:rPr>
          <w:b/>
        </w:rPr>
        <w:t>currently working with DHCS to design a member portal for recipients of Medi-Cal</w:t>
      </w:r>
      <w:r>
        <w:t xml:space="preserve"> as part of our Population Health Management (PHM) contract</w:t>
      </w:r>
      <w:r w:rsidR="00626FCE">
        <w:t>.</w:t>
      </w:r>
      <w:r w:rsidR="00A92B26">
        <w:t xml:space="preserve"> </w:t>
      </w:r>
    </w:p>
    <w:p w14:paraId="34C5B510" w14:textId="3039C47B" w:rsidR="008623AB" w:rsidRDefault="006475BD" w:rsidP="006475BD">
      <w:pPr>
        <w:pStyle w:val="BodyText"/>
      </w:pPr>
      <w:r>
        <w:t xml:space="preserve">The vision for this member portal is one of </w:t>
      </w:r>
      <w:r w:rsidRPr="002D33F6">
        <w:t>an improved healthcare experience for Medi-Cal members that revolutionizes healthcare in the state of California</w:t>
      </w:r>
      <w:r w:rsidR="001C0305" w:rsidRPr="002D33F6">
        <w:t>.</w:t>
      </w:r>
      <w:r w:rsidR="001C0305">
        <w:t xml:space="preserve"> </w:t>
      </w:r>
      <w:r>
        <w:t xml:space="preserve">Discovery sessions are underway with the </w:t>
      </w:r>
      <w:r w:rsidR="008623AB">
        <w:t>DHCS</w:t>
      </w:r>
      <w:r w:rsidR="001C0305">
        <w:t xml:space="preserve">. </w:t>
      </w:r>
    </w:p>
    <w:p w14:paraId="70012FEC" w14:textId="581A9F6A" w:rsidR="00460F41" w:rsidRDefault="006475BD" w:rsidP="001237A7">
      <w:pPr>
        <w:pStyle w:val="BodyText"/>
      </w:pPr>
      <w:r>
        <w:t>While the Medi-Cal member portal and BenefitsCal serve different populations, there is also tremendous overlap in the clients each portal currently serves or will serve in the future</w:t>
      </w:r>
      <w:r w:rsidR="001C0305">
        <w:t xml:space="preserve">. </w:t>
      </w:r>
      <w:r w:rsidRPr="00727A44">
        <w:rPr>
          <w:b/>
          <w:bCs/>
        </w:rPr>
        <w:t xml:space="preserve">Gainwell provides a unique opportunity to increase collaboration with our DHCS state partner to consider the full </w:t>
      </w:r>
      <w:r w:rsidR="00625B1C">
        <w:rPr>
          <w:b/>
          <w:bCs/>
        </w:rPr>
        <w:t>U</w:t>
      </w:r>
      <w:r w:rsidRPr="00727A44">
        <w:rPr>
          <w:b/>
          <w:bCs/>
        </w:rPr>
        <w:t>ser experience.</w:t>
      </w:r>
    </w:p>
    <w:p w14:paraId="1A68A072" w14:textId="6C695C8D" w:rsidR="00625B1C" w:rsidRDefault="00625B1C" w:rsidP="00625B1C">
      <w:pPr>
        <w:pStyle w:val="HeadingManual4"/>
      </w:pPr>
      <w:bookmarkStart w:id="131" w:name="_Toc173187507"/>
      <w:r>
        <w:t>4.4.2.6</w:t>
      </w:r>
      <w:r>
        <w:tab/>
      </w:r>
      <w:r w:rsidR="00C3740D">
        <w:t>Additional Public and Private Organizations</w:t>
      </w:r>
      <w:bookmarkEnd w:id="131"/>
    </w:p>
    <w:p w14:paraId="3B36719F" w14:textId="53179E46" w:rsidR="00C94D0A" w:rsidRDefault="00CA1253" w:rsidP="001237A7">
      <w:pPr>
        <w:pStyle w:val="BodyText"/>
      </w:pPr>
      <w:r w:rsidRPr="00CA1253">
        <w:rPr>
          <w:noProof/>
        </w:rPr>
        <w:drawing>
          <wp:anchor distT="0" distB="0" distL="114300" distR="114300" simplePos="0" relativeHeight="251658283" behindDoc="1" locked="0" layoutInCell="1" allowOverlap="1" wp14:anchorId="42DB9A7D" wp14:editId="111DE613">
            <wp:simplePos x="0" y="0"/>
            <wp:positionH relativeFrom="margin">
              <wp:posOffset>4093356</wp:posOffset>
            </wp:positionH>
            <wp:positionV relativeFrom="paragraph">
              <wp:posOffset>812555</wp:posOffset>
            </wp:positionV>
            <wp:extent cx="2038985" cy="2630170"/>
            <wp:effectExtent l="0" t="0" r="0" b="0"/>
            <wp:wrapTight wrapText="bothSides">
              <wp:wrapPolygon edited="0">
                <wp:start x="13319" y="313"/>
                <wp:lineTo x="6256" y="939"/>
                <wp:lineTo x="4238" y="2347"/>
                <wp:lineTo x="4843" y="3129"/>
                <wp:lineTo x="6458" y="5632"/>
                <wp:lineTo x="5651" y="8135"/>
                <wp:lineTo x="0" y="10013"/>
                <wp:lineTo x="0" y="11733"/>
                <wp:lineTo x="6861" y="13141"/>
                <wp:lineTo x="6861" y="17835"/>
                <wp:lineTo x="9485" y="20651"/>
                <wp:lineTo x="9889" y="21433"/>
                <wp:lineTo x="14732" y="21433"/>
                <wp:lineTo x="15135" y="15645"/>
                <wp:lineTo x="17355" y="15645"/>
                <wp:lineTo x="21190" y="14080"/>
                <wp:lineTo x="20988" y="13141"/>
                <wp:lineTo x="18768" y="10638"/>
                <wp:lineTo x="16952" y="8135"/>
                <wp:lineTo x="17355" y="3911"/>
                <wp:lineTo x="17355" y="2972"/>
                <wp:lineTo x="15539" y="1252"/>
                <wp:lineTo x="14328" y="313"/>
                <wp:lineTo x="13319" y="313"/>
              </wp:wrapPolygon>
            </wp:wrapTight>
            <wp:docPr id="13" name="object 13"/>
            <wp:cNvGraphicFramePr/>
            <a:graphic xmlns:a="http://schemas.openxmlformats.org/drawingml/2006/main">
              <a:graphicData uri="http://schemas.openxmlformats.org/drawingml/2006/picture">
                <pic:pic xmlns:pic="http://schemas.openxmlformats.org/drawingml/2006/picture">
                  <pic:nvPicPr>
                    <pic:cNvPr id="13" name="object 13"/>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2038985" cy="2630170"/>
                    </a:xfrm>
                    <a:prstGeom prst="rect">
                      <a:avLst/>
                    </a:prstGeom>
                  </pic:spPr>
                </pic:pic>
              </a:graphicData>
            </a:graphic>
            <wp14:sizeRelH relativeFrom="page">
              <wp14:pctWidth>0</wp14:pctWidth>
            </wp14:sizeRelH>
            <wp14:sizeRelV relativeFrom="page">
              <wp14:pctHeight>0</wp14:pctHeight>
            </wp14:sizeRelV>
          </wp:anchor>
        </w:drawing>
      </w:r>
      <w:r w:rsidR="004A36DD">
        <w:t>Working with the Consortium</w:t>
      </w:r>
      <w:r w:rsidR="00D40145">
        <w:t>,</w:t>
      </w:r>
      <w:r w:rsidR="00C94D0A">
        <w:t xml:space="preserve"> other Contractors, State </w:t>
      </w:r>
      <w:r w:rsidR="00936458">
        <w:t>p</w:t>
      </w:r>
      <w:r w:rsidR="00C94D0A">
        <w:t xml:space="preserve">artners and other Stakeholders, </w:t>
      </w:r>
      <w:r w:rsidR="004A36DD">
        <w:t xml:space="preserve">we will </w:t>
      </w:r>
      <w:r w:rsidR="004A36DD" w:rsidRPr="00325EC5">
        <w:rPr>
          <w:b/>
        </w:rPr>
        <w:t xml:space="preserve">identify </w:t>
      </w:r>
      <w:r w:rsidR="00205F78" w:rsidRPr="00325EC5">
        <w:rPr>
          <w:b/>
        </w:rPr>
        <w:t xml:space="preserve">additional </w:t>
      </w:r>
      <w:r w:rsidR="00C94D0A" w:rsidRPr="00325EC5">
        <w:rPr>
          <w:b/>
        </w:rPr>
        <w:t>public and private</w:t>
      </w:r>
      <w:r w:rsidR="004A36DD" w:rsidRPr="00325EC5">
        <w:rPr>
          <w:b/>
        </w:rPr>
        <w:t xml:space="preserve"> organization</w:t>
      </w:r>
      <w:r w:rsidR="00F3255D" w:rsidRPr="00325EC5">
        <w:rPr>
          <w:b/>
        </w:rPr>
        <w:t>s</w:t>
      </w:r>
      <w:r w:rsidR="004A36DD">
        <w:t xml:space="preserve"> that could be instrumental in raising awareness about BenefitsCal.</w:t>
      </w:r>
      <w:r w:rsidR="00C94D0A" w:rsidRPr="00C94D0A">
        <w:rPr>
          <w:rFonts w:cstheme="minorHAnsi"/>
          <w:szCs w:val="22"/>
        </w:rPr>
        <w:t xml:space="preserve"> </w:t>
      </w:r>
      <w:r w:rsidR="00EF01DB">
        <w:rPr>
          <w:rFonts w:cstheme="minorHAnsi"/>
          <w:szCs w:val="22"/>
        </w:rPr>
        <w:t xml:space="preserve">The Consortium is already working with CWDA </w:t>
      </w:r>
      <w:r w:rsidR="00E241A2">
        <w:rPr>
          <w:rFonts w:cstheme="minorHAnsi"/>
          <w:szCs w:val="22"/>
        </w:rPr>
        <w:t>who may also have suggestions related to additional public and private organizations to consider.</w:t>
      </w:r>
    </w:p>
    <w:p w14:paraId="5D2C2F4A" w14:textId="7F235D0D" w:rsidR="00A04732" w:rsidRDefault="00E6696B" w:rsidP="001237A7">
      <w:pPr>
        <w:pStyle w:val="BodyText"/>
      </w:pPr>
      <w:r>
        <w:t>For example, Los Angeles Unified School District personnel attended one of the public</w:t>
      </w:r>
      <w:r w:rsidR="002E6CCA">
        <w:t>-</w:t>
      </w:r>
      <w:r>
        <w:t>facing webinars</w:t>
      </w:r>
      <w:r w:rsidR="00205F78">
        <w:t xml:space="preserve"> </w:t>
      </w:r>
      <w:r w:rsidR="00DC2A53">
        <w:t>presented by Gainwell in support of Los Angeles County Department of Public Social Services (DPSS)</w:t>
      </w:r>
      <w:r w:rsidR="00D701D7">
        <w:t xml:space="preserve">. </w:t>
      </w:r>
      <w:r>
        <w:t xml:space="preserve">Large </w:t>
      </w:r>
      <w:r w:rsidRPr="00930C2B">
        <w:rPr>
          <w:b/>
        </w:rPr>
        <w:t>school districts</w:t>
      </w:r>
      <w:r>
        <w:t xml:space="preserve"> have an aligned mission r</w:t>
      </w:r>
      <w:r w:rsidR="005D6842">
        <w:t>elated to</w:t>
      </w:r>
      <w:r>
        <w:t xml:space="preserve"> reducing food insecurity</w:t>
      </w:r>
      <w:r w:rsidR="005D6842">
        <w:t xml:space="preserve"> and improving nutrition for their student population</w:t>
      </w:r>
      <w:r w:rsidR="002E6CCA">
        <w:t xml:space="preserve">. </w:t>
      </w:r>
      <w:r>
        <w:t xml:space="preserve">The school districts also have communication channels to </w:t>
      </w:r>
      <w:r w:rsidR="0080241E">
        <w:t>parents and guardians</w:t>
      </w:r>
      <w:r w:rsidR="002E6CCA">
        <w:t xml:space="preserve">. </w:t>
      </w:r>
      <w:r w:rsidR="008134D3">
        <w:t xml:space="preserve">The aligned mission between the school districts and human services </w:t>
      </w:r>
      <w:r w:rsidR="00A37712">
        <w:t xml:space="preserve">could make school districts an excellent avenue for raising awareness about BenefitsCal </w:t>
      </w:r>
      <w:r w:rsidR="008E4E30">
        <w:t>with parents and guardians of school age children.</w:t>
      </w:r>
    </w:p>
    <w:p w14:paraId="2F9207EE" w14:textId="54682B6A" w:rsidR="002E47F9" w:rsidRDefault="002E47F9" w:rsidP="001237A7">
      <w:pPr>
        <w:pStyle w:val="BodyText"/>
      </w:pPr>
      <w:r>
        <w:t xml:space="preserve">Coordination with </w:t>
      </w:r>
      <w:r w:rsidR="00DF5C98" w:rsidRPr="00930C2B">
        <w:rPr>
          <w:b/>
        </w:rPr>
        <w:t>public libraries</w:t>
      </w:r>
      <w:r w:rsidR="00DF5C98">
        <w:t xml:space="preserve"> that offer access to computers is another opportunity to increase public awareness</w:t>
      </w:r>
      <w:r w:rsidR="002E6CCA">
        <w:t xml:space="preserve">. </w:t>
      </w:r>
      <w:r w:rsidR="005A7D3F">
        <w:t>Posters</w:t>
      </w:r>
      <w:r w:rsidR="00DF5C98">
        <w:t xml:space="preserve"> and flyers</w:t>
      </w:r>
      <w:r w:rsidR="00FC7E14">
        <w:t xml:space="preserve"> could be strategically located to advertise BenefitsCal</w:t>
      </w:r>
      <w:r w:rsidR="002E6CCA">
        <w:t xml:space="preserve">. </w:t>
      </w:r>
      <w:r w:rsidR="00FC7E14">
        <w:t>Acquainting library personnel with the BenefitsCal</w:t>
      </w:r>
      <w:r w:rsidR="00B812DD">
        <w:t xml:space="preserve"> application can also create a champion who can answer simple </w:t>
      </w:r>
      <w:r w:rsidR="00AA095F">
        <w:t>questions.</w:t>
      </w:r>
    </w:p>
    <w:p w14:paraId="4945B0E0" w14:textId="66583AA4" w:rsidR="00D40145" w:rsidRDefault="00D40145" w:rsidP="001237A7">
      <w:pPr>
        <w:pStyle w:val="BodyText"/>
      </w:pPr>
      <w:r>
        <w:lastRenderedPageBreak/>
        <w:t>We will coordinate with the Consortium t</w:t>
      </w:r>
      <w:r w:rsidR="00F010F1">
        <w:t xml:space="preserve">o determine what strategy </w:t>
      </w:r>
      <w:r w:rsidR="00AE082F">
        <w:t>to use with each selected public or private organization</w:t>
      </w:r>
      <w:r w:rsidR="00D908D3">
        <w:t xml:space="preserve"> prior to making contact.</w:t>
      </w:r>
    </w:p>
    <w:p w14:paraId="55EE7CF9" w14:textId="513F180B" w:rsidR="004A36DD" w:rsidRDefault="0080241E" w:rsidP="001237A7">
      <w:pPr>
        <w:pStyle w:val="BodyText"/>
      </w:pPr>
      <w:r>
        <w:t>Collaboration with an expanded network of stakeholders</w:t>
      </w:r>
      <w:r w:rsidR="007D0485">
        <w:t xml:space="preserve"> </w:t>
      </w:r>
      <w:r w:rsidR="00E241A2">
        <w:t xml:space="preserve">and public/private organizations </w:t>
      </w:r>
      <w:r w:rsidR="007D0485">
        <w:t>such as school districts</w:t>
      </w:r>
      <w:r>
        <w:t xml:space="preserve"> is an untapped area to increase BenefitsCal awareness</w:t>
      </w:r>
      <w:r w:rsidR="00F3255D">
        <w:t>.</w:t>
      </w:r>
    </w:p>
    <w:p w14:paraId="2D46740A" w14:textId="43CC4B76" w:rsidR="00086898" w:rsidRPr="00F80567" w:rsidRDefault="00086898" w:rsidP="001237A7">
      <w:pPr>
        <w:pStyle w:val="BodyText"/>
        <w:rPr>
          <w:b/>
          <w:bCs/>
          <w:sz w:val="28"/>
          <w:szCs w:val="28"/>
        </w:rPr>
      </w:pPr>
      <w:r w:rsidRPr="00F80567">
        <w:rPr>
          <w:b/>
          <w:bCs/>
          <w:sz w:val="28"/>
          <w:szCs w:val="28"/>
        </w:rPr>
        <w:t>Our Mission is Your Mission</w:t>
      </w:r>
    </w:p>
    <w:p w14:paraId="01BF3639" w14:textId="28AE5F2E" w:rsidR="00086898" w:rsidRDefault="00086898" w:rsidP="001237A7">
      <w:pPr>
        <w:pStyle w:val="BodyText"/>
      </w:pPr>
      <w:r>
        <w:t>For over 40 years, Gainwell has worked alongside you to support you in connecting Californians with public assistance</w:t>
      </w:r>
      <w:r w:rsidR="002E6CCA">
        <w:t xml:space="preserve">. </w:t>
      </w:r>
      <w:r>
        <w:t>We have built co</w:t>
      </w:r>
      <w:r w:rsidR="009052F1">
        <w:t>llaborative relationships with your people and the other contractor staff who support you</w:t>
      </w:r>
      <w:r w:rsidR="002E6CCA">
        <w:t xml:space="preserve">. </w:t>
      </w:r>
      <w:r w:rsidR="009052F1">
        <w:t xml:space="preserve">We recognize that effective maintenance and enhancement of BenefitsCal </w:t>
      </w:r>
      <w:r w:rsidR="00526E93">
        <w:t xml:space="preserve">simplifies </w:t>
      </w:r>
      <w:r w:rsidR="00BC6703">
        <w:t xml:space="preserve">an individual's or family’s access to food, shelter, </w:t>
      </w:r>
      <w:r w:rsidR="003A4326">
        <w:t>healthcare,</w:t>
      </w:r>
      <w:r w:rsidR="00BC6703">
        <w:t xml:space="preserve"> and other critical services while reducing County workload.</w:t>
      </w:r>
    </w:p>
    <w:p w14:paraId="5256584F" w14:textId="1AF5765F" w:rsidR="00A30653" w:rsidRPr="000A0091" w:rsidRDefault="00A30653" w:rsidP="001237A7">
      <w:pPr>
        <w:pStyle w:val="BodyText"/>
        <w:rPr>
          <w:b/>
          <w:bCs/>
        </w:rPr>
      </w:pPr>
      <w:r w:rsidRPr="000A0091">
        <w:rPr>
          <w:b/>
          <w:bCs/>
        </w:rPr>
        <w:t>You can rely on us to remember your greater mission.</w:t>
      </w:r>
    </w:p>
    <w:p w14:paraId="491C7FD4" w14:textId="77777777" w:rsidR="008A2C05" w:rsidRDefault="008A2C05" w:rsidP="001237A7">
      <w:pPr>
        <w:pStyle w:val="BodyText"/>
      </w:pPr>
    </w:p>
    <w:p w14:paraId="0DF28ED7" w14:textId="77777777" w:rsidR="008A2C05" w:rsidRDefault="008A2C05" w:rsidP="001237A7">
      <w:pPr>
        <w:pStyle w:val="BodyText"/>
      </w:pPr>
    </w:p>
    <w:p w14:paraId="2094E0A9" w14:textId="77777777" w:rsidR="008A2C05" w:rsidRDefault="008A2C05" w:rsidP="001237A7">
      <w:pPr>
        <w:pStyle w:val="BodyText"/>
      </w:pPr>
    </w:p>
    <w:p w14:paraId="3778BA8E" w14:textId="67A5F9D3" w:rsidR="000553E1" w:rsidRPr="001237A7" w:rsidRDefault="003C5C24" w:rsidP="003C5C24">
      <w:pPr>
        <w:pStyle w:val="BodyText"/>
        <w:jc w:val="center"/>
      </w:pPr>
      <w:r w:rsidRPr="003C5C24">
        <w:rPr>
          <w:noProof/>
        </w:rPr>
        <w:drawing>
          <wp:inline distT="0" distB="0" distL="0" distR="0" wp14:anchorId="7AFEC6D8" wp14:editId="40F23132">
            <wp:extent cx="2546907" cy="2788356"/>
            <wp:effectExtent l="0" t="0" r="6350" b="0"/>
            <wp:docPr id="990072015" name="Graphic 9">
              <a:extLst xmlns:a="http://schemas.openxmlformats.org/drawingml/2006/main">
                <a:ext uri="{FF2B5EF4-FFF2-40B4-BE49-F238E27FC236}">
                  <a16:creationId xmlns:a16="http://schemas.microsoft.com/office/drawing/2014/main" id="{B5A36752-4DC0-C7B7-5F95-64DBA2356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B5A36752-4DC0-C7B7-5F95-64DBA2356C5A}"/>
                        </a:ext>
                      </a:extLst>
                    </pic:cNvPr>
                    <pic:cNvPicPr>
                      <a:picLocks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2559290" cy="2801913"/>
                    </a:xfrm>
                    <a:prstGeom prst="rect">
                      <a:avLst/>
                    </a:prstGeom>
                  </pic:spPr>
                </pic:pic>
              </a:graphicData>
            </a:graphic>
          </wp:inline>
        </w:drawing>
      </w:r>
    </w:p>
    <w:sectPr w:rsidR="000553E1" w:rsidRPr="001237A7" w:rsidSect="00E41315">
      <w:headerReference w:type="default" r:id="rId147"/>
      <w:footerReference w:type="default" r:id="rId148"/>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5ADAB" w14:textId="77777777" w:rsidR="00BE4FAA" w:rsidRDefault="00BE4FAA" w:rsidP="001237A7">
      <w:r>
        <w:separator/>
      </w:r>
    </w:p>
  </w:endnote>
  <w:endnote w:type="continuationSeparator" w:id="0">
    <w:p w14:paraId="031ED127" w14:textId="77777777" w:rsidR="00BE4FAA" w:rsidRDefault="00BE4FAA" w:rsidP="001237A7">
      <w:r>
        <w:continuationSeparator/>
      </w:r>
    </w:p>
  </w:endnote>
  <w:endnote w:type="continuationNotice" w:id="1">
    <w:p w14:paraId="568426C6" w14:textId="77777777" w:rsidR="00BE4FAA" w:rsidRDefault="00BE4F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w:panose1 w:val="02070409020205020404"/>
    <w:charset w:val="00"/>
    <w:family w:val="modern"/>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17DF7" w14:textId="0C89EA40" w:rsidR="00F8727F" w:rsidRDefault="00F8727F">
    <w:pPr>
      <w:pStyle w:val="Footer"/>
    </w:pPr>
    <w:r w:rsidRPr="00BE51C3">
      <w:t>Gainwell Technologies</w:t>
    </w:r>
    <w:r w:rsidRPr="003354AB">
      <w:tab/>
    </w:r>
    <w:r w:rsidRPr="003354AB">
      <w:fldChar w:fldCharType="begin"/>
    </w:r>
    <w:r w:rsidRPr="003354AB">
      <w:instrText xml:space="preserve"> PAGE   \* MERGEFORMAT </w:instrText>
    </w:r>
    <w:r w:rsidRPr="003354AB">
      <w:fldChar w:fldCharType="separate"/>
    </w:r>
    <w:r>
      <w:t>2</w:t>
    </w:r>
    <w:r w:rsidRPr="003354A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547BA" w14:textId="77777777" w:rsidR="00BE4FAA" w:rsidRDefault="00BE4FAA" w:rsidP="001237A7">
      <w:r>
        <w:separator/>
      </w:r>
    </w:p>
  </w:footnote>
  <w:footnote w:type="continuationSeparator" w:id="0">
    <w:p w14:paraId="73305B9C" w14:textId="77777777" w:rsidR="00BE4FAA" w:rsidRDefault="00BE4FAA" w:rsidP="001237A7">
      <w:r>
        <w:continuationSeparator/>
      </w:r>
    </w:p>
  </w:footnote>
  <w:footnote w:type="continuationNotice" w:id="1">
    <w:p w14:paraId="6330FFB5" w14:textId="77777777" w:rsidR="00BE4FAA" w:rsidRDefault="00BE4F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99757" w14:textId="77777777" w:rsidR="007B45F5" w:rsidRPr="00AE37EE" w:rsidRDefault="007B45F5" w:rsidP="007B45F5">
    <w:pPr>
      <w:pStyle w:val="Header"/>
    </w:pPr>
    <w:r w:rsidRPr="00AE37EE">
      <w:rPr>
        <w:noProof/>
      </w:rPr>
      <w:drawing>
        <wp:anchor distT="0" distB="0" distL="114300" distR="114300" simplePos="0" relativeHeight="251659264" behindDoc="0" locked="0" layoutInCell="1" allowOverlap="1" wp14:anchorId="23D919B0" wp14:editId="5ABB49FB">
          <wp:simplePos x="0" y="0"/>
          <wp:positionH relativeFrom="margin">
            <wp:align>right</wp:align>
          </wp:positionH>
          <wp:positionV relativeFrom="paragraph">
            <wp:posOffset>-213360</wp:posOffset>
          </wp:positionV>
          <wp:extent cx="1289050" cy="314960"/>
          <wp:effectExtent l="0" t="0" r="6350" b="8890"/>
          <wp:wrapSquare wrapText="bothSides"/>
          <wp:docPr id="1458357264" name="Picture 1"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78783" name="Picture 1" descr="A black and grey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289050" cy="314960"/>
                  </a:xfrm>
                  <a:prstGeom prst="rect">
                    <a:avLst/>
                  </a:prstGeom>
                </pic:spPr>
              </pic:pic>
            </a:graphicData>
          </a:graphic>
          <wp14:sizeRelH relativeFrom="margin">
            <wp14:pctWidth>0</wp14:pctWidth>
          </wp14:sizeRelH>
          <wp14:sizeRelV relativeFrom="margin">
            <wp14:pctHeight>0</wp14:pctHeight>
          </wp14:sizeRelV>
        </wp:anchor>
      </w:drawing>
    </w:r>
    <w:r w:rsidRPr="00AE37EE">
      <w:t>Gainwell Response to CalSAWS Consortium</w:t>
    </w:r>
  </w:p>
  <w:p w14:paraId="65AFC9AF" w14:textId="77777777" w:rsidR="007B45F5" w:rsidRDefault="007B45F5" w:rsidP="007B45F5">
    <w:pPr>
      <w:pStyle w:val="Header"/>
    </w:pPr>
    <w:r w:rsidRPr="00AE37EE">
      <w:t>BenefitsCal Maintenance and Operations Services, RFP #: 01-2024, 07/30/2024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9AD2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7B2C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F4D47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B4A1ED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79EF5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F823A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1EC5AC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C2BB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8E0EC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F8A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2941E0"/>
    <w:multiLevelType w:val="multilevel"/>
    <w:tmpl w:val="70BEBA6C"/>
    <w:lvl w:ilvl="0">
      <w:start w:val="1"/>
      <w:numFmt w:val="decimal"/>
      <w:pStyle w:val="NumbersAuto1Double"/>
      <w:lvlText w:val="%1."/>
      <w:lvlJc w:val="left"/>
      <w:pPr>
        <w:ind w:left="360" w:hanging="360"/>
      </w:pPr>
      <w:rPr>
        <w:rFonts w:ascii="Century Gothic" w:hAnsi="Century Gothic" w:hint="default"/>
        <w:sz w:val="22"/>
      </w:rPr>
    </w:lvl>
    <w:lvl w:ilvl="1">
      <w:start w:val="1"/>
      <w:numFmt w:val="lowerLetter"/>
      <w:pStyle w:val="NumbersAuto2Double"/>
      <w:lvlText w:val="%2."/>
      <w:lvlJc w:val="left"/>
      <w:pPr>
        <w:tabs>
          <w:tab w:val="num" w:pos="936"/>
        </w:tabs>
        <w:ind w:left="720" w:hanging="360"/>
      </w:pPr>
      <w:rPr>
        <w:rFonts w:hint="default"/>
        <w:sz w:val="22"/>
      </w:rPr>
    </w:lvl>
    <w:lvl w:ilvl="2">
      <w:start w:val="1"/>
      <w:numFmt w:val="lowerRoman"/>
      <w:pStyle w:val="NumbersAuto3Double"/>
      <w:lvlText w:val="%3."/>
      <w:lvlJc w:val="right"/>
      <w:pPr>
        <w:ind w:left="1080" w:hanging="216"/>
      </w:pPr>
      <w:rPr>
        <w:rFonts w:ascii="Arial" w:hAnsi="Arial" w:hint="default"/>
        <w:sz w:val="22"/>
      </w:rPr>
    </w:lvl>
    <w:lvl w:ilvl="3">
      <w:start w:val="1"/>
      <w:numFmt w:val="decimal"/>
      <w:lvlText w:val="%4."/>
      <w:lvlJc w:val="left"/>
      <w:pPr>
        <w:ind w:left="1512" w:hanging="432"/>
      </w:pPr>
      <w:rPr>
        <w:rFonts w:ascii="Arial" w:hAnsi="Arial" w:hint="default"/>
        <w:sz w:val="22"/>
      </w:rPr>
    </w:lvl>
    <w:lvl w:ilvl="4">
      <w:start w:val="1"/>
      <w:numFmt w:val="lowerLetter"/>
      <w:lvlText w:val="%5."/>
      <w:lvlJc w:val="left"/>
      <w:pPr>
        <w:ind w:left="1872"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003235BA"/>
    <w:multiLevelType w:val="hybridMultilevel"/>
    <w:tmpl w:val="CA06D962"/>
    <w:lvl w:ilvl="0" w:tplc="616A8652">
      <w:start w:val="1"/>
      <w:numFmt w:val="bullet"/>
      <w:lvlText w:val="√"/>
      <w:lvlJc w:val="left"/>
      <w:pPr>
        <w:tabs>
          <w:tab w:val="num" w:pos="0"/>
        </w:tabs>
        <w:ind w:left="0" w:firstLine="0"/>
      </w:pPr>
      <w:rPr>
        <w:rFonts w:ascii="Century Gothic" w:hAnsi="Century Gothic" w:hint="default"/>
        <w:color w:val="2B3A44"/>
        <w:sz w:val="22"/>
        <w:szCs w:val="18"/>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53625FB"/>
    <w:multiLevelType w:val="hybridMultilevel"/>
    <w:tmpl w:val="F9968804"/>
    <w:lvl w:ilvl="0" w:tplc="952AF036">
      <w:start w:val="1"/>
      <w:numFmt w:val="bullet"/>
      <w:pStyle w:val="Index5"/>
      <w:lvlText w:val=""/>
      <w:lvlJc w:val="left"/>
      <w:pPr>
        <w:tabs>
          <w:tab w:val="num" w:pos="360"/>
        </w:tabs>
        <w:ind w:left="360" w:hanging="360"/>
      </w:pPr>
      <w:rPr>
        <w:rFonts w:ascii="Symbol" w:hAnsi="Symbol" w:hint="default"/>
        <w:b w:val="0"/>
        <w:i w:val="0"/>
        <w:color w:val="FFFFFF"/>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627828"/>
    <w:multiLevelType w:val="hybridMultilevel"/>
    <w:tmpl w:val="B86A504A"/>
    <w:lvl w:ilvl="0" w:tplc="7A6C08BA">
      <w:start w:val="1"/>
      <w:numFmt w:val="bullet"/>
      <w:pStyle w:val="Bullet3Double"/>
      <w:lvlText w:val=""/>
      <w:lvlJc w:val="left"/>
      <w:pPr>
        <w:tabs>
          <w:tab w:val="num" w:pos="1080"/>
        </w:tabs>
        <w:ind w:left="1080" w:hanging="360"/>
      </w:pPr>
      <w:rPr>
        <w:rFonts w:ascii="Symbol" w:hAnsi="Symbol" w:hint="default"/>
        <w:b w:val="0"/>
        <w:i w:val="0"/>
        <w:color w:val="auto"/>
        <w:sz w:val="22"/>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7C364F4"/>
    <w:multiLevelType w:val="hybridMultilevel"/>
    <w:tmpl w:val="A2C03380"/>
    <w:lvl w:ilvl="0" w:tplc="1D024506">
      <w:start w:val="1"/>
      <w:numFmt w:val="bullet"/>
      <w:pStyle w:val="Bullet3Single"/>
      <w:lvlText w:val=""/>
      <w:lvlJc w:val="left"/>
      <w:pPr>
        <w:tabs>
          <w:tab w:val="num" w:pos="1080"/>
        </w:tabs>
        <w:ind w:left="1080" w:hanging="360"/>
      </w:pPr>
      <w:rPr>
        <w:rFonts w:ascii="Symbol" w:hAnsi="Symbol" w:hint="default"/>
        <w:b w:val="0"/>
        <w:i w:val="0"/>
        <w:color w:val="2B3A44"/>
        <w:sz w:val="22"/>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EC67D5"/>
    <w:multiLevelType w:val="hybridMultilevel"/>
    <w:tmpl w:val="D7929720"/>
    <w:lvl w:ilvl="0" w:tplc="0AC0C342">
      <w:start w:val="1"/>
      <w:numFmt w:val="bullet"/>
      <w:pStyle w:val="NumbersAuto5Single"/>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1AED34C1"/>
    <w:multiLevelType w:val="hybridMultilevel"/>
    <w:tmpl w:val="CA06F7E2"/>
    <w:lvl w:ilvl="0" w:tplc="3B7EB1D0">
      <w:start w:val="1"/>
      <w:numFmt w:val="none"/>
      <w:pStyle w:val="Bullet3SubtextDouble"/>
      <w:lvlText w:val=""/>
      <w:lvlJc w:val="left"/>
      <w:pPr>
        <w:tabs>
          <w:tab w:val="num" w:pos="108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E9D30C2"/>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07438CB"/>
    <w:multiLevelType w:val="multilevel"/>
    <w:tmpl w:val="B5A29170"/>
    <w:lvl w:ilvl="0">
      <w:start w:val="1"/>
      <w:numFmt w:val="decimal"/>
      <w:pStyle w:val="ReqNo"/>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23CE4319"/>
    <w:multiLevelType w:val="multilevel"/>
    <w:tmpl w:val="FC700078"/>
    <w:lvl w:ilvl="0">
      <w:start w:val="1"/>
      <w:numFmt w:val="decimal"/>
      <w:pStyle w:val="Heading1"/>
      <w:lvlText w:val="%1"/>
      <w:lvlJc w:val="left"/>
      <w:pPr>
        <w:ind w:left="3060" w:hanging="360"/>
      </w:pPr>
      <w:rPr>
        <w:rFonts w:hint="default"/>
      </w:rPr>
    </w:lvl>
    <w:lvl w:ilvl="1">
      <w:start w:val="1"/>
      <w:numFmt w:val="decimal"/>
      <w:pStyle w:val="Heading2"/>
      <w:lvlText w:val="%1.%2"/>
      <w:lvlJc w:val="left"/>
      <w:pPr>
        <w:ind w:left="792" w:hanging="792"/>
      </w:pPr>
      <w:rPr>
        <w:rFonts w:hint="default"/>
      </w:rPr>
    </w:lvl>
    <w:lvl w:ilvl="2">
      <w:start w:val="1"/>
      <w:numFmt w:val="decimal"/>
      <w:pStyle w:val="Heading3"/>
      <w:lvlText w:val="%1.%2.%3"/>
      <w:lvlJc w:val="left"/>
      <w:pPr>
        <w:ind w:left="1224" w:hanging="1224"/>
      </w:pPr>
      <w:rPr>
        <w:rFonts w:hint="default"/>
      </w:rPr>
    </w:lvl>
    <w:lvl w:ilvl="3">
      <w:start w:val="1"/>
      <w:numFmt w:val="decimal"/>
      <w:pStyle w:val="Heading4"/>
      <w:lvlText w:val="%1.%2.%3.%4"/>
      <w:lvlJc w:val="left"/>
      <w:pPr>
        <w:ind w:left="1728" w:hanging="1728"/>
      </w:pPr>
      <w:rPr>
        <w:rFonts w:hint="default"/>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20" w15:restartNumberingAfterBreak="0">
    <w:nsid w:val="23FC30CD"/>
    <w:multiLevelType w:val="multilevel"/>
    <w:tmpl w:val="1F9E6E3A"/>
    <w:styleLink w:val="NumbersAutoDouble"/>
    <w:lvl w:ilvl="0">
      <w:start w:val="1"/>
      <w:numFmt w:val="decimal"/>
      <w:lvlText w:val="%1."/>
      <w:lvlJc w:val="left"/>
      <w:pPr>
        <w:tabs>
          <w:tab w:val="num" w:pos="360"/>
        </w:tabs>
        <w:ind w:left="360" w:hanging="360"/>
      </w:pPr>
      <w:rPr>
        <w:rFonts w:ascii="Arial" w:hAnsi="Arial" w:hint="default"/>
        <w:sz w:val="22"/>
      </w:rPr>
    </w:lvl>
    <w:lvl w:ilvl="1">
      <w:start w:val="1"/>
      <w:numFmt w:val="lowerLetter"/>
      <w:lvlText w:val="%2."/>
      <w:lvlJc w:val="left"/>
      <w:pPr>
        <w:tabs>
          <w:tab w:val="num" w:pos="1224"/>
        </w:tabs>
        <w:ind w:left="864" w:hanging="504"/>
      </w:pPr>
      <w:rPr>
        <w:rFonts w:hint="default"/>
      </w:rPr>
    </w:lvl>
    <w:lvl w:ilvl="2">
      <w:start w:val="1"/>
      <w:numFmt w:val="lowerRoman"/>
      <w:lvlText w:val="%3."/>
      <w:lvlJc w:val="right"/>
      <w:pPr>
        <w:tabs>
          <w:tab w:val="num" w:pos="1224"/>
        </w:tabs>
        <w:ind w:left="864" w:firstLine="144"/>
      </w:pPr>
      <w:rPr>
        <w:rFonts w:hint="default"/>
      </w:rPr>
    </w:lvl>
    <w:lvl w:ilvl="3">
      <w:start w:val="1"/>
      <w:numFmt w:val="bullet"/>
      <w:lvlText w:val=""/>
      <w:lvlJc w:val="left"/>
      <w:pPr>
        <w:tabs>
          <w:tab w:val="num" w:pos="1584"/>
        </w:tabs>
        <w:ind w:left="1584" w:hanging="216"/>
      </w:pPr>
      <w:rPr>
        <w:rFonts w:ascii="Symbol" w:hAnsi="Symbol" w:hint="default"/>
      </w:rPr>
    </w:lvl>
    <w:lvl w:ilvl="4">
      <w:start w:val="1"/>
      <w:numFmt w:val="bullet"/>
      <w:lvlText w:val=""/>
      <w:lvlJc w:val="left"/>
      <w:pPr>
        <w:tabs>
          <w:tab w:val="num" w:pos="1944"/>
        </w:tabs>
        <w:ind w:left="1944" w:hanging="360"/>
      </w:pPr>
      <w:rPr>
        <w:rFonts w:ascii="Symbol" w:hAnsi="Symbol"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26C45A36"/>
    <w:multiLevelType w:val="hybridMultilevel"/>
    <w:tmpl w:val="A9F22F02"/>
    <w:lvl w:ilvl="0" w:tplc="C9487782">
      <w:start w:val="1"/>
      <w:numFmt w:val="bullet"/>
      <w:pStyle w:val="TableText10Bullet2Double"/>
      <w:lvlText w:val="–"/>
      <w:lvlJc w:val="left"/>
      <w:pPr>
        <w:tabs>
          <w:tab w:val="num" w:pos="216"/>
        </w:tabs>
        <w:ind w:left="216" w:firstLine="0"/>
      </w:pPr>
      <w:rPr>
        <w:rFonts w:ascii="Arial" w:hAnsi="Arial" w:hint="default"/>
        <w:color w:val="auto"/>
        <w:sz w:val="18"/>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8F6184E"/>
    <w:multiLevelType w:val="hybridMultilevel"/>
    <w:tmpl w:val="98A6C152"/>
    <w:lvl w:ilvl="0" w:tplc="D8E42D2A">
      <w:numFmt w:val="none"/>
      <w:pStyle w:val="Bullet2SubtextDouble"/>
      <w:lvlText w:val=""/>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2C9F1755"/>
    <w:multiLevelType w:val="hybridMultilevel"/>
    <w:tmpl w:val="7CA43084"/>
    <w:lvl w:ilvl="0" w:tplc="44D04A22">
      <w:start w:val="1"/>
      <w:numFmt w:val="decimal"/>
      <w:pStyle w:val="NumbersAutoBold"/>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2DCB0850"/>
    <w:multiLevelType w:val="hybridMultilevel"/>
    <w:tmpl w:val="085E8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687D5C"/>
    <w:multiLevelType w:val="hybridMultilevel"/>
    <w:tmpl w:val="1468260E"/>
    <w:lvl w:ilvl="0" w:tplc="FFFFFFFF">
      <w:start w:val="1"/>
      <w:numFmt w:val="bullet"/>
      <w:lvlText w:val=""/>
      <w:lvlJc w:val="left"/>
      <w:pPr>
        <w:tabs>
          <w:tab w:val="num" w:pos="0"/>
        </w:tabs>
        <w:ind w:left="0" w:firstLine="0"/>
      </w:pPr>
      <w:rPr>
        <w:rFonts w:ascii="Symbol" w:hAnsi="Symbol" w:hint="default"/>
        <w:color w:val="2B3A44"/>
        <w:sz w:val="22"/>
        <w:szCs w:val="18"/>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F8668AF"/>
    <w:multiLevelType w:val="hybridMultilevel"/>
    <w:tmpl w:val="B69C2352"/>
    <w:lvl w:ilvl="0" w:tplc="5BDEB5A6">
      <w:start w:val="1"/>
      <w:numFmt w:val="bullet"/>
      <w:lvlText w:val=""/>
      <w:lvlJc w:val="left"/>
      <w:pPr>
        <w:tabs>
          <w:tab w:val="num" w:pos="0"/>
        </w:tabs>
        <w:ind w:left="0" w:firstLine="0"/>
      </w:pPr>
      <w:rPr>
        <w:rFonts w:ascii="Symbol" w:hAnsi="Symbol" w:hint="default"/>
        <w:color w:val="2B3A44"/>
        <w:sz w:val="22"/>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0FE4CD1"/>
    <w:multiLevelType w:val="multilevel"/>
    <w:tmpl w:val="F85221A0"/>
    <w:styleLink w:val="Bullet1"/>
    <w:lvl w:ilvl="0">
      <w:start w:val="1"/>
      <w:numFmt w:val="bullet"/>
      <w:lvlText w:val=""/>
      <w:lvlJc w:val="left"/>
      <w:pPr>
        <w:tabs>
          <w:tab w:val="num" w:pos="216"/>
        </w:tabs>
        <w:ind w:left="216" w:hanging="216"/>
      </w:pPr>
      <w:rPr>
        <w:rFonts w:ascii="Symbol" w:hAnsi="Symbol"/>
        <w:sz w:val="20"/>
      </w:rPr>
    </w:lvl>
    <w:lvl w:ilvl="1">
      <w:start w:val="1"/>
      <w:numFmt w:val="bullet"/>
      <w:lvlText w:val=""/>
      <w:lvlJc w:val="left"/>
      <w:pPr>
        <w:tabs>
          <w:tab w:val="num" w:pos="432"/>
        </w:tabs>
        <w:ind w:left="216" w:firstLine="0"/>
      </w:pPr>
      <w:rPr>
        <w:rFonts w:ascii="Symbol" w:hAnsi="Symbol" w:hint="default"/>
        <w:color w:val="3859AC"/>
        <w:sz w:val="20"/>
      </w:rPr>
    </w:lvl>
    <w:lvl w:ilvl="2">
      <w:start w:val="1"/>
      <w:numFmt w:val="bullet"/>
      <w:lvlText w:val=""/>
      <w:lvlJc w:val="left"/>
      <w:pPr>
        <w:tabs>
          <w:tab w:val="num" w:pos="648"/>
        </w:tabs>
        <w:ind w:left="432" w:hanging="216"/>
      </w:pPr>
      <w:rPr>
        <w:rFonts w:ascii="Symbol" w:hAnsi="Symbol" w:hint="default"/>
        <w:sz w:val="20"/>
      </w:rPr>
    </w:lvl>
    <w:lvl w:ilvl="3">
      <w:start w:val="1"/>
      <w:numFmt w:val="bullet"/>
      <w:lvlText w:val=""/>
      <w:lvlJc w:val="left"/>
      <w:pPr>
        <w:tabs>
          <w:tab w:val="num" w:pos="864"/>
        </w:tabs>
        <w:ind w:left="648" w:hanging="432"/>
      </w:pPr>
      <w:rPr>
        <w:rFonts w:ascii="Symbol" w:hAnsi="Symbol" w:hint="default"/>
        <w:color w:val="3859AC"/>
        <w:sz w:val="20"/>
      </w:rPr>
    </w:lvl>
    <w:lvl w:ilvl="4">
      <w:start w:val="1"/>
      <w:numFmt w:val="bullet"/>
      <w:lvlText w:val=""/>
      <w:lvlJc w:val="left"/>
      <w:pPr>
        <w:tabs>
          <w:tab w:val="num" w:pos="1080"/>
        </w:tabs>
        <w:ind w:left="864" w:hanging="648"/>
      </w:pPr>
      <w:rPr>
        <w:rFonts w:ascii="Symbol" w:hAnsi="Symbol" w:hint="default"/>
        <w:sz w:val="20"/>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328258C6"/>
    <w:multiLevelType w:val="hybridMultilevel"/>
    <w:tmpl w:val="E9B6845A"/>
    <w:lvl w:ilvl="0" w:tplc="047A3D54">
      <w:start w:val="1"/>
      <w:numFmt w:val="bullet"/>
      <w:pStyle w:val="Bullet3Double0"/>
      <w:lvlText w:val=""/>
      <w:lvlJc w:val="left"/>
      <w:pPr>
        <w:tabs>
          <w:tab w:val="num" w:pos="1080"/>
        </w:tabs>
        <w:ind w:left="1080" w:hanging="360"/>
      </w:pPr>
      <w:rPr>
        <w:rFonts w:ascii="Symbol" w:hAnsi="Symbol" w:hint="default"/>
        <w:b w:val="0"/>
        <w:i w:val="0"/>
        <w:color w:val="2B3A44"/>
        <w:sz w:val="22"/>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6854438"/>
    <w:multiLevelType w:val="hybridMultilevel"/>
    <w:tmpl w:val="49746A8E"/>
    <w:lvl w:ilvl="0" w:tplc="5866C722">
      <w:numFmt w:val="none"/>
      <w:pStyle w:val="Bullet2SubtextSingle"/>
      <w:lvlText w:val=""/>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E11545"/>
    <w:multiLevelType w:val="multilevel"/>
    <w:tmpl w:val="5C9ADAE8"/>
    <w:styleLink w:val="NumberAutoSingle"/>
    <w:lvl w:ilvl="0">
      <w:start w:val="1"/>
      <w:numFmt w:val="decimal"/>
      <w:lvlText w:val="%1."/>
      <w:lvlJc w:val="left"/>
      <w:pPr>
        <w:tabs>
          <w:tab w:val="num" w:pos="360"/>
        </w:tabs>
        <w:ind w:left="360" w:hanging="360"/>
      </w:pPr>
      <w:rPr>
        <w:rFonts w:ascii="Arial" w:hAnsi="Arial" w:hint="default"/>
        <w:sz w:val="22"/>
      </w:rPr>
    </w:lvl>
    <w:lvl w:ilvl="1">
      <w:start w:val="1"/>
      <w:numFmt w:val="lowerLetter"/>
      <w:lvlText w:val="%2."/>
      <w:lvlJc w:val="left"/>
      <w:pPr>
        <w:tabs>
          <w:tab w:val="num" w:pos="864"/>
        </w:tabs>
        <w:ind w:left="864" w:hanging="504"/>
      </w:pPr>
      <w:rPr>
        <w:rFonts w:ascii="Arial" w:hAnsi="Arial" w:hint="default"/>
        <w:sz w:val="22"/>
      </w:rPr>
    </w:lvl>
    <w:lvl w:ilvl="2">
      <w:start w:val="1"/>
      <w:numFmt w:val="lowerRoman"/>
      <w:lvlText w:val="%3."/>
      <w:lvlJc w:val="right"/>
      <w:pPr>
        <w:tabs>
          <w:tab w:val="num" w:pos="1368"/>
        </w:tabs>
        <w:ind w:left="1368" w:hanging="360"/>
      </w:pPr>
      <w:rPr>
        <w:rFonts w:ascii="Arial" w:hAnsi="Arial" w:hint="default"/>
        <w:sz w:val="22"/>
      </w:rPr>
    </w:lvl>
    <w:lvl w:ilvl="3">
      <w:start w:val="1"/>
      <w:numFmt w:val="bullet"/>
      <w:lvlText w:val=""/>
      <w:lvlJc w:val="left"/>
      <w:pPr>
        <w:tabs>
          <w:tab w:val="num" w:pos="1584"/>
        </w:tabs>
        <w:ind w:left="1584" w:hanging="216"/>
      </w:pPr>
      <w:rPr>
        <w:rFonts w:ascii="Symbol" w:hAnsi="Symbol" w:hint="default"/>
        <w:sz w:val="22"/>
      </w:rPr>
    </w:lvl>
    <w:lvl w:ilvl="4">
      <w:start w:val="1"/>
      <w:numFmt w:val="bullet"/>
      <w:lvlText w:val=""/>
      <w:lvlJc w:val="left"/>
      <w:pPr>
        <w:tabs>
          <w:tab w:val="num" w:pos="1944"/>
        </w:tabs>
        <w:ind w:left="1944" w:hanging="360"/>
      </w:pPr>
      <w:rPr>
        <w:rFonts w:ascii="Symbol" w:hAnsi="Symbol" w:hint="default"/>
        <w:color w:val="auto"/>
        <w:sz w:val="22"/>
      </w:rPr>
    </w:lvl>
    <w:lvl w:ilvl="5">
      <w:start w:val="1"/>
      <w:numFmt w:val="lowerRoman"/>
      <w:lvlText w:val="%6."/>
      <w:lvlJc w:val="right"/>
      <w:pPr>
        <w:tabs>
          <w:tab w:val="num" w:pos="5400"/>
        </w:tabs>
        <w:ind w:left="5400" w:hanging="180"/>
      </w:pPr>
      <w:rPr>
        <w:rFonts w:hint="default"/>
      </w:rPr>
    </w:lvl>
    <w:lvl w:ilvl="6">
      <w:start w:val="1"/>
      <w:numFmt w:val="decimal"/>
      <w:lvlText w:val="%7."/>
      <w:lvlJc w:val="left"/>
      <w:pPr>
        <w:tabs>
          <w:tab w:val="num" w:pos="6120"/>
        </w:tabs>
        <w:ind w:left="6120" w:hanging="360"/>
      </w:pPr>
      <w:rPr>
        <w:rFonts w:hint="default"/>
      </w:rPr>
    </w:lvl>
    <w:lvl w:ilvl="7">
      <w:start w:val="1"/>
      <w:numFmt w:val="lowerLetter"/>
      <w:lvlText w:val="%8."/>
      <w:lvlJc w:val="left"/>
      <w:pPr>
        <w:tabs>
          <w:tab w:val="num" w:pos="6840"/>
        </w:tabs>
        <w:ind w:left="6840" w:hanging="360"/>
      </w:pPr>
      <w:rPr>
        <w:rFonts w:hint="default"/>
      </w:rPr>
    </w:lvl>
    <w:lvl w:ilvl="8">
      <w:start w:val="1"/>
      <w:numFmt w:val="lowerRoman"/>
      <w:lvlText w:val="%9."/>
      <w:lvlJc w:val="right"/>
      <w:pPr>
        <w:tabs>
          <w:tab w:val="num" w:pos="7560"/>
        </w:tabs>
        <w:ind w:left="7560" w:hanging="180"/>
      </w:pPr>
      <w:rPr>
        <w:rFonts w:hint="default"/>
      </w:rPr>
    </w:lvl>
  </w:abstractNum>
  <w:abstractNum w:abstractNumId="31" w15:restartNumberingAfterBreak="0">
    <w:nsid w:val="380F5D19"/>
    <w:multiLevelType w:val="singleLevel"/>
    <w:tmpl w:val="81E017F6"/>
    <w:lvl w:ilvl="0">
      <w:start w:val="1"/>
      <w:numFmt w:val="decimal"/>
      <w:pStyle w:val="CSNum1"/>
      <w:lvlText w:val="%1."/>
      <w:lvlJc w:val="left"/>
      <w:pPr>
        <w:ind w:left="360" w:hanging="360"/>
      </w:pPr>
    </w:lvl>
  </w:abstractNum>
  <w:abstractNum w:abstractNumId="32" w15:restartNumberingAfterBreak="0">
    <w:nsid w:val="3D3B52BC"/>
    <w:multiLevelType w:val="hybridMultilevel"/>
    <w:tmpl w:val="B7583B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31C43D3"/>
    <w:multiLevelType w:val="hybridMultilevel"/>
    <w:tmpl w:val="1468260E"/>
    <w:lvl w:ilvl="0" w:tplc="5B1EE80C">
      <w:start w:val="1"/>
      <w:numFmt w:val="bullet"/>
      <w:pStyle w:val="Bullet1Double"/>
      <w:lvlText w:val=""/>
      <w:lvlJc w:val="left"/>
      <w:pPr>
        <w:tabs>
          <w:tab w:val="num" w:pos="0"/>
        </w:tabs>
        <w:ind w:left="0" w:firstLine="0"/>
      </w:pPr>
      <w:rPr>
        <w:rFonts w:ascii="Symbol" w:hAnsi="Symbol" w:hint="default"/>
        <w:color w:val="2B3A44"/>
        <w:sz w:val="22"/>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3E31F5A"/>
    <w:multiLevelType w:val="hybridMultilevel"/>
    <w:tmpl w:val="24842806"/>
    <w:lvl w:ilvl="0" w:tplc="D41E08A0">
      <w:start w:val="1"/>
      <w:numFmt w:val="bullet"/>
      <w:pStyle w:val="NumbersAuto4Double"/>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4635F84"/>
    <w:multiLevelType w:val="hybridMultilevel"/>
    <w:tmpl w:val="44B4FAFC"/>
    <w:lvl w:ilvl="0" w:tplc="46BC324A">
      <w:start w:val="1"/>
      <w:numFmt w:val="none"/>
      <w:pStyle w:val="Bullet3SubtextSingle"/>
      <w:lvlText w:val=""/>
      <w:lvlJc w:val="left"/>
      <w:pPr>
        <w:tabs>
          <w:tab w:val="num" w:pos="108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72171C4"/>
    <w:multiLevelType w:val="multilevel"/>
    <w:tmpl w:val="50AAE700"/>
    <w:lvl w:ilvl="0">
      <w:start w:val="1"/>
      <w:numFmt w:val="decimal"/>
      <w:pStyle w:val="NumbersAutoBoldDouble"/>
      <w:lvlText w:val="%1."/>
      <w:lvlJc w:val="left"/>
      <w:pPr>
        <w:tabs>
          <w:tab w:val="num" w:pos="425"/>
        </w:tabs>
        <w:ind w:left="425" w:hanging="425"/>
      </w:pPr>
      <w:rPr>
        <w:rFonts w:hint="default"/>
        <w:b/>
        <w:i w:val="0"/>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decimal"/>
      <w:lvlText w:val="%4."/>
      <w:lvlJc w:val="left"/>
      <w:pPr>
        <w:tabs>
          <w:tab w:val="num" w:pos="1701"/>
        </w:tabs>
        <w:ind w:left="1701" w:hanging="425"/>
      </w:pPr>
      <w:rPr>
        <w:rFonts w:hint="default"/>
      </w:rPr>
    </w:lvl>
    <w:lvl w:ilvl="4">
      <w:start w:val="1"/>
      <w:numFmt w:val="lowerLetter"/>
      <w:lvlText w:val="%5."/>
      <w:lvlJc w:val="left"/>
      <w:pPr>
        <w:tabs>
          <w:tab w:val="num" w:pos="2126"/>
        </w:tabs>
        <w:ind w:left="2126" w:hanging="425"/>
      </w:pPr>
      <w:rPr>
        <w:rFonts w:hint="default"/>
      </w:rPr>
    </w:lvl>
    <w:lvl w:ilvl="5">
      <w:start w:val="1"/>
      <w:numFmt w:val="lowerRoman"/>
      <w:lvlText w:val="%6."/>
      <w:lvlJc w:val="left"/>
      <w:pPr>
        <w:tabs>
          <w:tab w:val="num" w:pos="2552"/>
        </w:tabs>
        <w:ind w:left="2552" w:hanging="426"/>
      </w:pPr>
      <w:rPr>
        <w:rFonts w:hint="default"/>
      </w:rPr>
    </w:lvl>
    <w:lvl w:ilvl="6">
      <w:start w:val="1"/>
      <w:numFmt w:val="decimal"/>
      <w:lvlText w:val="%7."/>
      <w:lvlJc w:val="left"/>
      <w:pPr>
        <w:tabs>
          <w:tab w:val="num" w:pos="2977"/>
        </w:tabs>
        <w:ind w:left="2977" w:hanging="425"/>
      </w:pPr>
      <w:rPr>
        <w:rFonts w:hint="default"/>
      </w:rPr>
    </w:lvl>
    <w:lvl w:ilvl="7">
      <w:start w:val="1"/>
      <w:numFmt w:val="lowerLetter"/>
      <w:lvlText w:val="%8."/>
      <w:lvlJc w:val="left"/>
      <w:pPr>
        <w:tabs>
          <w:tab w:val="num" w:pos="3402"/>
        </w:tabs>
        <w:ind w:left="3402" w:hanging="425"/>
      </w:pPr>
      <w:rPr>
        <w:rFonts w:hint="default"/>
      </w:rPr>
    </w:lvl>
    <w:lvl w:ilvl="8">
      <w:start w:val="1"/>
      <w:numFmt w:val="lowerRoman"/>
      <w:lvlText w:val="%9."/>
      <w:lvlJc w:val="right"/>
      <w:pPr>
        <w:tabs>
          <w:tab w:val="num" w:pos="3827"/>
        </w:tabs>
        <w:ind w:left="3827" w:hanging="425"/>
      </w:pPr>
      <w:rPr>
        <w:rFonts w:hint="default"/>
      </w:rPr>
    </w:lvl>
  </w:abstractNum>
  <w:abstractNum w:abstractNumId="37"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D375EB"/>
    <w:multiLevelType w:val="hybridMultilevel"/>
    <w:tmpl w:val="6AB4F974"/>
    <w:lvl w:ilvl="0" w:tplc="765AE598">
      <w:start w:val="1"/>
      <w:numFmt w:val="bullet"/>
      <w:pStyle w:val="CvrLtrBullet1Double"/>
      <w:lvlText w:val=""/>
      <w:lvlJc w:val="left"/>
      <w:pPr>
        <w:tabs>
          <w:tab w:val="num" w:pos="0"/>
        </w:tabs>
        <w:ind w:left="0" w:firstLine="0"/>
      </w:pPr>
      <w:rPr>
        <w:rFonts w:ascii="Symbol" w:hAnsi="Symbol" w:hint="default"/>
        <w:color w:val="2B3A44"/>
        <w:sz w:val="22"/>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A4502F3"/>
    <w:multiLevelType w:val="hybridMultilevel"/>
    <w:tmpl w:val="E3247D10"/>
    <w:lvl w:ilvl="0" w:tplc="39888CC2">
      <w:start w:val="1"/>
      <w:numFmt w:val="bullet"/>
      <w:pStyle w:val="Bullet5Double"/>
      <w:lvlText w:val=""/>
      <w:lvlJc w:val="left"/>
      <w:pPr>
        <w:tabs>
          <w:tab w:val="num" w:pos="1800"/>
        </w:tabs>
        <w:ind w:left="1800" w:hanging="360"/>
      </w:pPr>
      <w:rPr>
        <w:rFonts w:ascii="Symbol" w:hAnsi="Symbol" w:hint="default"/>
        <w:b w:val="0"/>
        <w:i w:val="0"/>
        <w:color w:val="2B3A44"/>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A93317F"/>
    <w:multiLevelType w:val="hybridMultilevel"/>
    <w:tmpl w:val="442004E4"/>
    <w:lvl w:ilvl="0" w:tplc="060C569E">
      <w:start w:val="1"/>
      <w:numFmt w:val="bullet"/>
      <w:pStyle w:val="QuotationAttribute"/>
      <w:lvlText w:val=""/>
      <w:lvlJc w:val="left"/>
      <w:pPr>
        <w:ind w:left="108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B024701"/>
    <w:multiLevelType w:val="hybridMultilevel"/>
    <w:tmpl w:val="9EAE0F16"/>
    <w:lvl w:ilvl="0" w:tplc="2F9CF242">
      <w:start w:val="1"/>
      <w:numFmt w:val="bullet"/>
      <w:pStyle w:val="RightSidebarBullet"/>
      <w:lvlText w:val=""/>
      <w:lvlJc w:val="left"/>
      <w:pPr>
        <w:ind w:left="720" w:hanging="360"/>
      </w:pPr>
      <w:rPr>
        <w:rFonts w:ascii="Symbol" w:hAnsi="Symbol" w:hint="default"/>
        <w:b w:val="0"/>
        <w:i w:val="0"/>
        <w:color w:val="2B3A44"/>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E8D4B31"/>
    <w:multiLevelType w:val="multilevel"/>
    <w:tmpl w:val="CD608386"/>
    <w:lvl w:ilvl="0">
      <w:start w:val="1"/>
      <w:numFmt w:val="decimal"/>
      <w:pStyle w:val="NumbersAutoSingle"/>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decimal"/>
      <w:lvlText w:val="%4."/>
      <w:lvlJc w:val="left"/>
      <w:pPr>
        <w:tabs>
          <w:tab w:val="num" w:pos="1701"/>
        </w:tabs>
        <w:ind w:left="1701" w:hanging="425"/>
      </w:pPr>
      <w:rPr>
        <w:rFonts w:hint="default"/>
      </w:rPr>
    </w:lvl>
    <w:lvl w:ilvl="4">
      <w:start w:val="1"/>
      <w:numFmt w:val="lowerLetter"/>
      <w:lvlText w:val="%5."/>
      <w:lvlJc w:val="left"/>
      <w:pPr>
        <w:tabs>
          <w:tab w:val="num" w:pos="2126"/>
        </w:tabs>
        <w:ind w:left="2126" w:hanging="425"/>
      </w:pPr>
      <w:rPr>
        <w:rFonts w:hint="default"/>
      </w:rPr>
    </w:lvl>
    <w:lvl w:ilvl="5">
      <w:start w:val="1"/>
      <w:numFmt w:val="lowerRoman"/>
      <w:lvlText w:val="%6."/>
      <w:lvlJc w:val="left"/>
      <w:pPr>
        <w:tabs>
          <w:tab w:val="num" w:pos="2552"/>
        </w:tabs>
        <w:ind w:left="2552" w:hanging="426"/>
      </w:pPr>
      <w:rPr>
        <w:rFonts w:hint="default"/>
      </w:rPr>
    </w:lvl>
    <w:lvl w:ilvl="6">
      <w:start w:val="1"/>
      <w:numFmt w:val="decimal"/>
      <w:lvlText w:val="%7."/>
      <w:lvlJc w:val="left"/>
      <w:pPr>
        <w:tabs>
          <w:tab w:val="num" w:pos="2977"/>
        </w:tabs>
        <w:ind w:left="2977" w:hanging="425"/>
      </w:pPr>
      <w:rPr>
        <w:rFonts w:hint="default"/>
      </w:rPr>
    </w:lvl>
    <w:lvl w:ilvl="7">
      <w:start w:val="1"/>
      <w:numFmt w:val="lowerLetter"/>
      <w:lvlText w:val="%8."/>
      <w:lvlJc w:val="left"/>
      <w:pPr>
        <w:tabs>
          <w:tab w:val="num" w:pos="3402"/>
        </w:tabs>
        <w:ind w:left="3402" w:hanging="425"/>
      </w:pPr>
      <w:rPr>
        <w:rFonts w:hint="default"/>
      </w:rPr>
    </w:lvl>
    <w:lvl w:ilvl="8">
      <w:start w:val="1"/>
      <w:numFmt w:val="lowerRoman"/>
      <w:lvlText w:val="%9."/>
      <w:lvlJc w:val="right"/>
      <w:pPr>
        <w:tabs>
          <w:tab w:val="num" w:pos="3827"/>
        </w:tabs>
        <w:ind w:left="3827" w:hanging="425"/>
      </w:pPr>
      <w:rPr>
        <w:rFonts w:hint="default"/>
      </w:rPr>
    </w:lvl>
  </w:abstractNum>
  <w:abstractNum w:abstractNumId="43" w15:restartNumberingAfterBreak="0">
    <w:nsid w:val="4EEF5CD1"/>
    <w:multiLevelType w:val="hybridMultilevel"/>
    <w:tmpl w:val="DE1EDE82"/>
    <w:lvl w:ilvl="0" w:tplc="D4160C8E">
      <w:start w:val="1"/>
      <w:numFmt w:val="bullet"/>
      <w:pStyle w:val="Bullet2Double"/>
      <w:lvlText w:val="–"/>
      <w:lvlJc w:val="left"/>
      <w:pPr>
        <w:tabs>
          <w:tab w:val="num" w:pos="360"/>
        </w:tabs>
        <w:ind w:left="360" w:firstLine="0"/>
      </w:pPr>
      <w:rPr>
        <w:rFonts w:cs="Times New Roman"/>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1F320D1"/>
    <w:multiLevelType w:val="hybridMultilevel"/>
    <w:tmpl w:val="D7A470AC"/>
    <w:lvl w:ilvl="0" w:tplc="D9AC270E">
      <w:start w:val="1"/>
      <w:numFmt w:val="bullet"/>
      <w:pStyle w:val="Bullet2Single"/>
      <w:lvlText w:val=""/>
      <w:lvlJc w:val="left"/>
      <w:pPr>
        <w:ind w:left="360" w:hanging="360"/>
      </w:pPr>
      <w:rPr>
        <w:rFonts w:ascii="Symbol" w:hAnsi="Symbol" w:hint="default"/>
        <w:color w:val="2B3A44"/>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52606411"/>
    <w:multiLevelType w:val="hybridMultilevel"/>
    <w:tmpl w:val="799AA6C8"/>
    <w:lvl w:ilvl="0" w:tplc="D856D74C">
      <w:start w:val="1"/>
      <w:numFmt w:val="bullet"/>
      <w:pStyle w:val="Bullet4Single"/>
      <w:lvlText w:val="–"/>
      <w:lvlJc w:val="left"/>
      <w:pPr>
        <w:ind w:left="1224" w:hanging="360"/>
      </w:pPr>
      <w:rPr>
        <w:rFonts w:hint="default"/>
        <w:b w:val="0"/>
        <w:bCs w:val="0"/>
        <w:i w:val="0"/>
        <w:iCs w:val="0"/>
        <w:caps w:val="0"/>
        <w:smallCaps w:val="0"/>
        <w:strike w:val="0"/>
        <w:dstrike w:val="0"/>
        <w:outline w:val="0"/>
        <w:shadow w:val="0"/>
        <w:emboss w:val="0"/>
        <w:imprint w:val="0"/>
        <w:noProof w:val="0"/>
        <w:vanish w:val="0"/>
        <w:color w:val="2B3A44"/>
        <w:spacing w:val="0"/>
        <w:w w:val="153"/>
        <w:kern w:val="0"/>
        <w:position w:val="0"/>
        <w:sz w:val="18"/>
        <w:szCs w:val="9"/>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8975F13"/>
    <w:multiLevelType w:val="hybridMultilevel"/>
    <w:tmpl w:val="8EA2410C"/>
    <w:lvl w:ilvl="0" w:tplc="D27C8F52">
      <w:start w:val="1"/>
      <w:numFmt w:val="bullet"/>
      <w:pStyle w:val="TableText10Bullet1Single"/>
      <w:lvlText w:val=""/>
      <w:lvlJc w:val="left"/>
      <w:pPr>
        <w:ind w:left="720" w:hanging="360"/>
      </w:pPr>
      <w:rPr>
        <w:rFonts w:ascii="Symbol" w:hAnsi="Symbol" w:hint="default"/>
        <w:b w:val="0"/>
        <w:i w:val="0"/>
        <w:color w:val="2B3A44"/>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902778E"/>
    <w:multiLevelType w:val="hybridMultilevel"/>
    <w:tmpl w:val="B82C0150"/>
    <w:lvl w:ilvl="0" w:tplc="0409000F">
      <w:start w:val="1"/>
      <w:numFmt w:val="decimal"/>
      <w:lvlText w:val="%1."/>
      <w:lvlJc w:val="left"/>
      <w:pPr>
        <w:tabs>
          <w:tab w:val="num" w:pos="-144"/>
        </w:tabs>
        <w:ind w:left="-144" w:firstLine="0"/>
      </w:pPr>
      <w:rPr>
        <w:rFonts w:hint="default"/>
        <w:color w:val="2B3A44"/>
        <w:sz w:val="22"/>
        <w:szCs w:val="18"/>
      </w:rPr>
    </w:lvl>
    <w:lvl w:ilvl="1" w:tplc="FFFFFFFF" w:tentative="1">
      <w:start w:val="1"/>
      <w:numFmt w:val="bullet"/>
      <w:lvlText w:val="o"/>
      <w:lvlJc w:val="left"/>
      <w:pPr>
        <w:tabs>
          <w:tab w:val="num" w:pos="1296"/>
        </w:tabs>
        <w:ind w:left="1296" w:hanging="360"/>
      </w:pPr>
      <w:rPr>
        <w:rFonts w:ascii="Courier New" w:hAnsi="Courier New" w:cs="Courier New" w:hint="default"/>
      </w:rPr>
    </w:lvl>
    <w:lvl w:ilvl="2" w:tplc="FFFFFFFF" w:tentative="1">
      <w:start w:val="1"/>
      <w:numFmt w:val="bullet"/>
      <w:lvlText w:val=""/>
      <w:lvlJc w:val="left"/>
      <w:pPr>
        <w:tabs>
          <w:tab w:val="num" w:pos="2016"/>
        </w:tabs>
        <w:ind w:left="2016" w:hanging="360"/>
      </w:pPr>
      <w:rPr>
        <w:rFonts w:ascii="Wingdings" w:hAnsi="Wingdings" w:hint="default"/>
      </w:rPr>
    </w:lvl>
    <w:lvl w:ilvl="3" w:tplc="FFFFFFFF" w:tentative="1">
      <w:start w:val="1"/>
      <w:numFmt w:val="bullet"/>
      <w:lvlText w:val=""/>
      <w:lvlJc w:val="left"/>
      <w:pPr>
        <w:tabs>
          <w:tab w:val="num" w:pos="2736"/>
        </w:tabs>
        <w:ind w:left="2736" w:hanging="360"/>
      </w:pPr>
      <w:rPr>
        <w:rFonts w:ascii="Symbol" w:hAnsi="Symbol" w:hint="default"/>
      </w:rPr>
    </w:lvl>
    <w:lvl w:ilvl="4" w:tplc="FFFFFFFF" w:tentative="1">
      <w:start w:val="1"/>
      <w:numFmt w:val="bullet"/>
      <w:lvlText w:val="o"/>
      <w:lvlJc w:val="left"/>
      <w:pPr>
        <w:tabs>
          <w:tab w:val="num" w:pos="3456"/>
        </w:tabs>
        <w:ind w:left="3456" w:hanging="360"/>
      </w:pPr>
      <w:rPr>
        <w:rFonts w:ascii="Courier New" w:hAnsi="Courier New" w:cs="Courier New" w:hint="default"/>
      </w:rPr>
    </w:lvl>
    <w:lvl w:ilvl="5" w:tplc="FFFFFFFF" w:tentative="1">
      <w:start w:val="1"/>
      <w:numFmt w:val="bullet"/>
      <w:lvlText w:val=""/>
      <w:lvlJc w:val="left"/>
      <w:pPr>
        <w:tabs>
          <w:tab w:val="num" w:pos="4176"/>
        </w:tabs>
        <w:ind w:left="4176" w:hanging="360"/>
      </w:pPr>
      <w:rPr>
        <w:rFonts w:ascii="Wingdings" w:hAnsi="Wingdings" w:hint="default"/>
      </w:rPr>
    </w:lvl>
    <w:lvl w:ilvl="6" w:tplc="FFFFFFFF" w:tentative="1">
      <w:start w:val="1"/>
      <w:numFmt w:val="bullet"/>
      <w:lvlText w:val=""/>
      <w:lvlJc w:val="left"/>
      <w:pPr>
        <w:tabs>
          <w:tab w:val="num" w:pos="4896"/>
        </w:tabs>
        <w:ind w:left="4896" w:hanging="360"/>
      </w:pPr>
      <w:rPr>
        <w:rFonts w:ascii="Symbol" w:hAnsi="Symbol" w:hint="default"/>
      </w:rPr>
    </w:lvl>
    <w:lvl w:ilvl="7" w:tplc="FFFFFFFF" w:tentative="1">
      <w:start w:val="1"/>
      <w:numFmt w:val="bullet"/>
      <w:lvlText w:val="o"/>
      <w:lvlJc w:val="left"/>
      <w:pPr>
        <w:tabs>
          <w:tab w:val="num" w:pos="5616"/>
        </w:tabs>
        <w:ind w:left="5616" w:hanging="360"/>
      </w:pPr>
      <w:rPr>
        <w:rFonts w:ascii="Courier New" w:hAnsi="Courier New" w:cs="Courier New" w:hint="default"/>
      </w:rPr>
    </w:lvl>
    <w:lvl w:ilvl="8" w:tplc="FFFFFFFF" w:tentative="1">
      <w:start w:val="1"/>
      <w:numFmt w:val="bullet"/>
      <w:lvlText w:val=""/>
      <w:lvlJc w:val="left"/>
      <w:pPr>
        <w:tabs>
          <w:tab w:val="num" w:pos="6336"/>
        </w:tabs>
        <w:ind w:left="6336" w:hanging="360"/>
      </w:pPr>
      <w:rPr>
        <w:rFonts w:ascii="Wingdings" w:hAnsi="Wingdings" w:hint="default"/>
      </w:rPr>
    </w:lvl>
  </w:abstractNum>
  <w:abstractNum w:abstractNumId="48" w15:restartNumberingAfterBreak="0">
    <w:nsid w:val="5A0F2FE5"/>
    <w:multiLevelType w:val="multilevel"/>
    <w:tmpl w:val="45AA055E"/>
    <w:lvl w:ilvl="0">
      <w:start w:val="1"/>
      <w:numFmt w:val="decimal"/>
      <w:lvlText w:val="%1"/>
      <w:lvlJc w:val="left"/>
      <w:pPr>
        <w:ind w:left="1080" w:hanging="1080"/>
      </w:pPr>
      <w:rPr>
        <w:rFonts w:hint="default"/>
      </w:rPr>
    </w:lvl>
    <w:lvl w:ilvl="1">
      <w:start w:val="1"/>
      <w:numFmt w:val="decimal"/>
      <w:lvlText w:val="%1.%2"/>
      <w:lvlJc w:val="left"/>
      <w:pPr>
        <w:ind w:left="1080" w:hanging="108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5CDD55CC"/>
    <w:multiLevelType w:val="multilevel"/>
    <w:tmpl w:val="5288B3B2"/>
    <w:lvl w:ilvl="0">
      <w:start w:val="1"/>
      <w:numFmt w:val="decimal"/>
      <w:pStyle w:val="TableCaptionAuto"/>
      <w:lvlText w:val="Table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5DE4364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648D40D9"/>
    <w:multiLevelType w:val="hybridMultilevel"/>
    <w:tmpl w:val="7EC842B8"/>
    <w:lvl w:ilvl="0" w:tplc="F2A0A6D6">
      <w:start w:val="1"/>
      <w:numFmt w:val="bullet"/>
      <w:pStyle w:val="CvrLtrBullet1Single"/>
      <w:lvlText w:val=""/>
      <w:lvlJc w:val="left"/>
      <w:pPr>
        <w:tabs>
          <w:tab w:val="num" w:pos="0"/>
        </w:tabs>
        <w:ind w:left="0" w:firstLine="0"/>
      </w:pPr>
      <w:rPr>
        <w:rFonts w:ascii="Symbol" w:hAnsi="Symbol" w:hint="default"/>
        <w:color w:val="2B3A44"/>
        <w:sz w:val="22"/>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7560C7B"/>
    <w:multiLevelType w:val="hybridMultilevel"/>
    <w:tmpl w:val="D79AD8CC"/>
    <w:lvl w:ilvl="0" w:tplc="B05AEF08">
      <w:start w:val="1"/>
      <w:numFmt w:val="bullet"/>
      <w:pStyle w:val="Bullet3Single0"/>
      <w:lvlText w:val=""/>
      <w:lvlJc w:val="left"/>
      <w:pPr>
        <w:ind w:left="360" w:hanging="360"/>
      </w:pPr>
      <w:rPr>
        <w:rFonts w:ascii="Symbol" w:hAnsi="Symbol" w:hint="default"/>
        <w:color w:val="2B3A4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6828240D"/>
    <w:multiLevelType w:val="hybridMultilevel"/>
    <w:tmpl w:val="E6E43EF4"/>
    <w:lvl w:ilvl="0" w:tplc="85E421BE">
      <w:start w:val="1"/>
      <w:numFmt w:val="bullet"/>
      <w:pStyle w:val="Bullet2Double0"/>
      <w:lvlText w:val="–"/>
      <w:lvlJc w:val="left"/>
      <w:pPr>
        <w:tabs>
          <w:tab w:val="num" w:pos="360"/>
        </w:tabs>
        <w:ind w:left="360" w:firstLine="0"/>
      </w:pPr>
      <w:rPr>
        <w:rFonts w:hint="default"/>
        <w:b w:val="0"/>
        <w:bCs w:val="0"/>
        <w:i w:val="0"/>
        <w:iCs w:val="0"/>
        <w:caps w:val="0"/>
        <w:smallCaps w:val="0"/>
        <w:strike w:val="0"/>
        <w:dstrike w:val="0"/>
        <w:outline w:val="0"/>
        <w:shadow w:val="0"/>
        <w:emboss w:val="0"/>
        <w:imprint w:val="0"/>
        <w:noProof w:val="0"/>
        <w:vanish w:val="0"/>
        <w:color w:val="2B3A4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8F2595D"/>
    <w:multiLevelType w:val="hybridMultilevel"/>
    <w:tmpl w:val="AD7E384E"/>
    <w:lvl w:ilvl="0" w:tplc="59D24DEE">
      <w:start w:val="1"/>
      <w:numFmt w:val="bullet"/>
      <w:pStyle w:val="Bullet4Double"/>
      <w:lvlText w:val="–"/>
      <w:lvlJc w:val="left"/>
      <w:pPr>
        <w:ind w:left="1224" w:hanging="360"/>
      </w:pPr>
      <w:rPr>
        <w:rFonts w:hint="default"/>
        <w:b w:val="0"/>
        <w:bCs w:val="0"/>
        <w:i w:val="0"/>
        <w:iCs w:val="0"/>
        <w:caps w:val="0"/>
        <w:smallCaps w:val="0"/>
        <w:strike w:val="0"/>
        <w:dstrike w:val="0"/>
        <w:outline w:val="0"/>
        <w:shadow w:val="0"/>
        <w:emboss w:val="0"/>
        <w:imprint w:val="0"/>
        <w:noProof w:val="0"/>
        <w:vanish w:val="0"/>
        <w:color w:val="2B3A44"/>
        <w:spacing w:val="0"/>
        <w:w w:val="153"/>
        <w:kern w:val="0"/>
        <w:position w:val="0"/>
        <w:sz w:val="18"/>
        <w:szCs w:val="9"/>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A701A56"/>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57" w15:restartNumberingAfterBreak="0">
    <w:nsid w:val="6C9C73EB"/>
    <w:multiLevelType w:val="multilevel"/>
    <w:tmpl w:val="9F3E8A68"/>
    <w:lvl w:ilvl="0">
      <w:start w:val="1"/>
      <w:numFmt w:val="decimal"/>
      <w:pStyle w:val="FigureCaptionAuto"/>
      <w:lvlText w:val="Figure %1."/>
      <w:lvlJc w:val="left"/>
      <w:pPr>
        <w:tabs>
          <w:tab w:val="num" w:pos="1980"/>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8" w15:restartNumberingAfterBreak="0">
    <w:nsid w:val="717C7D74"/>
    <w:multiLevelType w:val="hybridMultilevel"/>
    <w:tmpl w:val="B10A73FC"/>
    <w:lvl w:ilvl="0" w:tplc="E6A86C3C">
      <w:start w:val="1"/>
      <w:numFmt w:val="bullet"/>
      <w:pStyle w:val="Bullet1Single"/>
      <w:lvlText w:val=""/>
      <w:lvlJc w:val="left"/>
      <w:pPr>
        <w:ind w:left="720" w:hanging="360"/>
      </w:pPr>
      <w:rPr>
        <w:rFonts w:ascii="Symbol" w:hAnsi="Symbol" w:hint="default"/>
        <w:b w:val="0"/>
        <w:i w:val="0"/>
        <w:color w:val="2B3A44"/>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35E2BE0"/>
    <w:multiLevelType w:val="hybridMultilevel"/>
    <w:tmpl w:val="A83C91AE"/>
    <w:lvl w:ilvl="0" w:tplc="43D846DE">
      <w:start w:val="1"/>
      <w:numFmt w:val="bullet"/>
      <w:pStyle w:val="TableText10Bullet2Single"/>
      <w:lvlText w:val="–"/>
      <w:lvlJc w:val="left"/>
      <w:pPr>
        <w:tabs>
          <w:tab w:val="num" w:pos="1440"/>
        </w:tabs>
        <w:ind w:left="1440" w:hanging="360"/>
      </w:pPr>
      <w:rPr>
        <w:rFonts w:ascii="Arial" w:hAnsi="Arial" w:hint="default"/>
        <w:b w:val="0"/>
        <w:i w:val="0"/>
        <w:color w:val="2B3A44"/>
        <w:sz w:val="18"/>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4D844BA"/>
    <w:multiLevelType w:val="multilevel"/>
    <w:tmpl w:val="4CC481F0"/>
    <w:lvl w:ilvl="0">
      <w:start w:val="1"/>
      <w:numFmt w:val="decimal"/>
      <w:pStyle w:val="NumbersAutoDouble0"/>
      <w:lvlText w:val="%1."/>
      <w:lvlJc w:val="left"/>
      <w:pPr>
        <w:tabs>
          <w:tab w:val="num" w:pos="425"/>
        </w:tabs>
        <w:ind w:left="425" w:hanging="425"/>
      </w:pPr>
      <w:rPr>
        <w:rFonts w:hint="default"/>
        <w:b w:val="0"/>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decimal"/>
      <w:lvlText w:val="%4."/>
      <w:lvlJc w:val="left"/>
      <w:pPr>
        <w:tabs>
          <w:tab w:val="num" w:pos="1701"/>
        </w:tabs>
        <w:ind w:left="1701" w:hanging="425"/>
      </w:pPr>
      <w:rPr>
        <w:rFonts w:hint="default"/>
      </w:rPr>
    </w:lvl>
    <w:lvl w:ilvl="4">
      <w:start w:val="1"/>
      <w:numFmt w:val="lowerLetter"/>
      <w:lvlText w:val="%5."/>
      <w:lvlJc w:val="left"/>
      <w:pPr>
        <w:tabs>
          <w:tab w:val="num" w:pos="2126"/>
        </w:tabs>
        <w:ind w:left="2126" w:hanging="425"/>
      </w:pPr>
      <w:rPr>
        <w:rFonts w:hint="default"/>
      </w:rPr>
    </w:lvl>
    <w:lvl w:ilvl="5">
      <w:start w:val="1"/>
      <w:numFmt w:val="lowerRoman"/>
      <w:lvlText w:val="%6."/>
      <w:lvlJc w:val="left"/>
      <w:pPr>
        <w:tabs>
          <w:tab w:val="num" w:pos="2552"/>
        </w:tabs>
        <w:ind w:left="2552" w:hanging="426"/>
      </w:pPr>
      <w:rPr>
        <w:rFonts w:hint="default"/>
      </w:rPr>
    </w:lvl>
    <w:lvl w:ilvl="6">
      <w:start w:val="1"/>
      <w:numFmt w:val="decimal"/>
      <w:lvlText w:val="%7."/>
      <w:lvlJc w:val="left"/>
      <w:pPr>
        <w:tabs>
          <w:tab w:val="num" w:pos="2977"/>
        </w:tabs>
        <w:ind w:left="2977" w:hanging="425"/>
      </w:pPr>
      <w:rPr>
        <w:rFonts w:hint="default"/>
      </w:rPr>
    </w:lvl>
    <w:lvl w:ilvl="7">
      <w:start w:val="1"/>
      <w:numFmt w:val="lowerLetter"/>
      <w:lvlText w:val="%8."/>
      <w:lvlJc w:val="left"/>
      <w:pPr>
        <w:tabs>
          <w:tab w:val="num" w:pos="3402"/>
        </w:tabs>
        <w:ind w:left="3402" w:hanging="425"/>
      </w:pPr>
      <w:rPr>
        <w:rFonts w:hint="default"/>
      </w:rPr>
    </w:lvl>
    <w:lvl w:ilvl="8">
      <w:start w:val="1"/>
      <w:numFmt w:val="lowerRoman"/>
      <w:lvlText w:val="%9."/>
      <w:lvlJc w:val="right"/>
      <w:pPr>
        <w:tabs>
          <w:tab w:val="num" w:pos="3827"/>
        </w:tabs>
        <w:ind w:left="3827" w:hanging="425"/>
      </w:pPr>
      <w:rPr>
        <w:rFonts w:hint="default"/>
      </w:rPr>
    </w:lvl>
  </w:abstractNum>
  <w:abstractNum w:abstractNumId="61" w15:restartNumberingAfterBreak="0">
    <w:nsid w:val="75D420E1"/>
    <w:multiLevelType w:val="hybridMultilevel"/>
    <w:tmpl w:val="6A0CE5D4"/>
    <w:lvl w:ilvl="0" w:tplc="B6FED078">
      <w:start w:val="1"/>
      <w:numFmt w:val="bullet"/>
      <w:pStyle w:val="Bullet5Single"/>
      <w:lvlText w:val=""/>
      <w:lvlJc w:val="left"/>
      <w:pPr>
        <w:tabs>
          <w:tab w:val="num" w:pos="1800"/>
        </w:tabs>
        <w:ind w:left="1800" w:hanging="360"/>
      </w:pPr>
      <w:rPr>
        <w:rFonts w:ascii="Symbol" w:hAnsi="Symbol" w:hint="default"/>
        <w:b w:val="0"/>
        <w:i w:val="0"/>
        <w:color w:val="2B3A44"/>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D0447D6"/>
    <w:multiLevelType w:val="hybridMultilevel"/>
    <w:tmpl w:val="9F947E9A"/>
    <w:lvl w:ilvl="0" w:tplc="38BAB25A">
      <w:start w:val="1"/>
      <w:numFmt w:val="bullet"/>
      <w:pStyle w:val="Bullet1Double0"/>
      <w:lvlText w:val=""/>
      <w:lvlJc w:val="left"/>
      <w:pPr>
        <w:tabs>
          <w:tab w:val="num" w:pos="0"/>
        </w:tabs>
        <w:ind w:left="0" w:firstLine="0"/>
      </w:pPr>
      <w:rPr>
        <w:rFonts w:ascii="Symbol" w:hAnsi="Symbol" w:hint="default"/>
        <w:b w:val="0"/>
        <w:i w:val="0"/>
        <w:color w:val="2B3A44"/>
        <w:sz w:val="20"/>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5771756">
    <w:abstractNumId w:val="42"/>
  </w:num>
  <w:num w:numId="2" w16cid:durableId="495807586">
    <w:abstractNumId w:val="23"/>
  </w:num>
  <w:num w:numId="3" w16cid:durableId="1547450087">
    <w:abstractNumId w:val="60"/>
  </w:num>
  <w:num w:numId="4" w16cid:durableId="182017005">
    <w:abstractNumId w:val="36"/>
  </w:num>
  <w:num w:numId="5" w16cid:durableId="607546479">
    <w:abstractNumId w:val="43"/>
  </w:num>
  <w:num w:numId="6" w16cid:durableId="1260219418">
    <w:abstractNumId w:val="13"/>
  </w:num>
  <w:num w:numId="7" w16cid:durableId="664092146">
    <w:abstractNumId w:val="50"/>
  </w:num>
  <w:num w:numId="8" w16cid:durableId="1477140690">
    <w:abstractNumId w:val="55"/>
  </w:num>
  <w:num w:numId="9" w16cid:durableId="478689178">
    <w:abstractNumId w:val="12"/>
  </w:num>
  <w:num w:numId="10" w16cid:durableId="1683623639">
    <w:abstractNumId w:val="9"/>
  </w:num>
  <w:num w:numId="11" w16cid:durableId="68695304">
    <w:abstractNumId w:val="7"/>
  </w:num>
  <w:num w:numId="12" w16cid:durableId="668678972">
    <w:abstractNumId w:val="8"/>
  </w:num>
  <w:num w:numId="13" w16cid:durableId="1200434031">
    <w:abstractNumId w:val="3"/>
  </w:num>
  <w:num w:numId="14" w16cid:durableId="179971980">
    <w:abstractNumId w:val="2"/>
  </w:num>
  <w:num w:numId="15" w16cid:durableId="1667636199">
    <w:abstractNumId w:val="1"/>
  </w:num>
  <w:num w:numId="16" w16cid:durableId="1994986204">
    <w:abstractNumId w:val="0"/>
  </w:num>
  <w:num w:numId="17" w16cid:durableId="1340236546">
    <w:abstractNumId w:val="10"/>
  </w:num>
  <w:num w:numId="18" w16cid:durableId="30306709">
    <w:abstractNumId w:val="34"/>
  </w:num>
  <w:num w:numId="19" w16cid:durableId="1403992316">
    <w:abstractNumId w:val="15"/>
  </w:num>
  <w:num w:numId="20" w16cid:durableId="395007756">
    <w:abstractNumId w:val="57"/>
  </w:num>
  <w:num w:numId="21" w16cid:durableId="1028532960">
    <w:abstractNumId w:val="40"/>
  </w:num>
  <w:num w:numId="22" w16cid:durableId="11498645">
    <w:abstractNumId w:val="49"/>
  </w:num>
  <w:num w:numId="23" w16cid:durableId="109591451">
    <w:abstractNumId w:val="22"/>
  </w:num>
  <w:num w:numId="24" w16cid:durableId="1077092765">
    <w:abstractNumId w:val="29"/>
  </w:num>
  <w:num w:numId="25" w16cid:durableId="1442646811">
    <w:abstractNumId w:val="35"/>
  </w:num>
  <w:num w:numId="26" w16cid:durableId="872963699">
    <w:abstractNumId w:val="21"/>
  </w:num>
  <w:num w:numId="27" w16cid:durableId="1425683717">
    <w:abstractNumId w:val="19"/>
  </w:num>
  <w:num w:numId="28" w16cid:durableId="557591555">
    <w:abstractNumId w:val="33"/>
  </w:num>
  <w:num w:numId="29" w16cid:durableId="830222892">
    <w:abstractNumId w:val="53"/>
  </w:num>
  <w:num w:numId="30" w16cid:durableId="1932814004">
    <w:abstractNumId w:val="14"/>
  </w:num>
  <w:num w:numId="31" w16cid:durableId="1987780288">
    <w:abstractNumId w:val="28"/>
  </w:num>
  <w:num w:numId="32" w16cid:durableId="2108382421">
    <w:abstractNumId w:val="61"/>
  </w:num>
  <w:num w:numId="33" w16cid:durableId="1201357830">
    <w:abstractNumId w:val="39"/>
  </w:num>
  <w:num w:numId="34" w16cid:durableId="1958027120">
    <w:abstractNumId w:val="46"/>
  </w:num>
  <w:num w:numId="35" w16cid:durableId="1886984330">
    <w:abstractNumId w:val="59"/>
  </w:num>
  <w:num w:numId="36" w16cid:durableId="375275264">
    <w:abstractNumId w:val="54"/>
  </w:num>
  <w:num w:numId="37" w16cid:durableId="22369808">
    <w:abstractNumId w:val="45"/>
  </w:num>
  <w:num w:numId="38" w16cid:durableId="1090463089">
    <w:abstractNumId w:val="41"/>
  </w:num>
  <w:num w:numId="39" w16cid:durableId="1346788425">
    <w:abstractNumId w:val="58"/>
  </w:num>
  <w:num w:numId="40" w16cid:durableId="679702136">
    <w:abstractNumId w:val="44"/>
  </w:num>
  <w:num w:numId="41" w16cid:durableId="102499453">
    <w:abstractNumId w:val="52"/>
  </w:num>
  <w:num w:numId="42" w16cid:durableId="866024843">
    <w:abstractNumId w:val="62"/>
  </w:num>
  <w:num w:numId="43" w16cid:durableId="74060154">
    <w:abstractNumId w:val="51"/>
  </w:num>
  <w:num w:numId="44" w16cid:durableId="314260008">
    <w:abstractNumId w:val="38"/>
  </w:num>
  <w:num w:numId="45" w16cid:durableId="1809393631">
    <w:abstractNumId w:val="37"/>
  </w:num>
  <w:num w:numId="46" w16cid:durableId="440228070">
    <w:abstractNumId w:val="18"/>
  </w:num>
  <w:num w:numId="47" w16cid:durableId="449206096">
    <w:abstractNumId w:val="56"/>
  </w:num>
  <w:num w:numId="48" w16cid:durableId="1564022346">
    <w:abstractNumId w:val="31"/>
  </w:num>
  <w:num w:numId="49" w16cid:durableId="1171335436">
    <w:abstractNumId w:val="30"/>
  </w:num>
  <w:num w:numId="50" w16cid:durableId="1590654584">
    <w:abstractNumId w:val="20"/>
  </w:num>
  <w:num w:numId="51" w16cid:durableId="37246110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8421308">
    <w:abstractNumId w:val="25"/>
  </w:num>
  <w:num w:numId="53" w16cid:durableId="1038700982">
    <w:abstractNumId w:val="6"/>
  </w:num>
  <w:num w:numId="54" w16cid:durableId="363136479">
    <w:abstractNumId w:val="5"/>
  </w:num>
  <w:num w:numId="55" w16cid:durableId="693851488">
    <w:abstractNumId w:val="4"/>
  </w:num>
  <w:num w:numId="56" w16cid:durableId="832840143">
    <w:abstractNumId w:val="16"/>
  </w:num>
  <w:num w:numId="57" w16cid:durableId="1043289791">
    <w:abstractNumId w:val="17"/>
  </w:num>
  <w:num w:numId="58" w16cid:durableId="52194662">
    <w:abstractNumId w:val="27"/>
  </w:num>
  <w:num w:numId="59" w16cid:durableId="1592467136">
    <w:abstractNumId w:val="47"/>
  </w:num>
  <w:num w:numId="60" w16cid:durableId="697855371">
    <w:abstractNumId w:val="32"/>
  </w:num>
  <w:num w:numId="61" w16cid:durableId="1045452530">
    <w:abstractNumId w:val="26"/>
  </w:num>
  <w:num w:numId="62" w16cid:durableId="1108507552">
    <w:abstractNumId w:val="48"/>
  </w:num>
  <w:num w:numId="63" w16cid:durableId="1352995756">
    <w:abstractNumId w:val="11"/>
  </w:num>
  <w:num w:numId="64" w16cid:durableId="310135093">
    <w:abstractNumId w:val="24"/>
  </w:num>
  <w:num w:numId="65" w16cid:durableId="299194784">
    <w:abstractNumId w:val="33"/>
  </w:num>
  <w:num w:numId="66" w16cid:durableId="1295719711">
    <w:abstractNumId w:val="33"/>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37A7"/>
    <w:rsid w:val="00000029"/>
    <w:rsid w:val="00000F09"/>
    <w:rsid w:val="0000132F"/>
    <w:rsid w:val="00001A39"/>
    <w:rsid w:val="00002139"/>
    <w:rsid w:val="000026EB"/>
    <w:rsid w:val="00002769"/>
    <w:rsid w:val="000031CD"/>
    <w:rsid w:val="00003846"/>
    <w:rsid w:val="00004668"/>
    <w:rsid w:val="00004D56"/>
    <w:rsid w:val="000056BF"/>
    <w:rsid w:val="00006622"/>
    <w:rsid w:val="00006D8F"/>
    <w:rsid w:val="00007154"/>
    <w:rsid w:val="00007477"/>
    <w:rsid w:val="000074DC"/>
    <w:rsid w:val="00007A3E"/>
    <w:rsid w:val="00007DBA"/>
    <w:rsid w:val="00010242"/>
    <w:rsid w:val="0001067B"/>
    <w:rsid w:val="00010F5E"/>
    <w:rsid w:val="00011518"/>
    <w:rsid w:val="00011B90"/>
    <w:rsid w:val="00012502"/>
    <w:rsid w:val="00012823"/>
    <w:rsid w:val="0001390A"/>
    <w:rsid w:val="0001390B"/>
    <w:rsid w:val="00016FA0"/>
    <w:rsid w:val="00017028"/>
    <w:rsid w:val="00021DC5"/>
    <w:rsid w:val="00023836"/>
    <w:rsid w:val="000238B0"/>
    <w:rsid w:val="000238F5"/>
    <w:rsid w:val="00023AE4"/>
    <w:rsid w:val="00023BAB"/>
    <w:rsid w:val="00024858"/>
    <w:rsid w:val="0002488D"/>
    <w:rsid w:val="00024A57"/>
    <w:rsid w:val="00024E62"/>
    <w:rsid w:val="00025094"/>
    <w:rsid w:val="00025947"/>
    <w:rsid w:val="00025BFA"/>
    <w:rsid w:val="00025FA0"/>
    <w:rsid w:val="00025FAA"/>
    <w:rsid w:val="00027524"/>
    <w:rsid w:val="00027649"/>
    <w:rsid w:val="00027B51"/>
    <w:rsid w:val="00027CA6"/>
    <w:rsid w:val="00030E5F"/>
    <w:rsid w:val="000313A0"/>
    <w:rsid w:val="00032C3F"/>
    <w:rsid w:val="00033122"/>
    <w:rsid w:val="0003410E"/>
    <w:rsid w:val="000349B0"/>
    <w:rsid w:val="00034B45"/>
    <w:rsid w:val="00034BB6"/>
    <w:rsid w:val="00034FB1"/>
    <w:rsid w:val="000356DC"/>
    <w:rsid w:val="0003573C"/>
    <w:rsid w:val="00036038"/>
    <w:rsid w:val="00036C6B"/>
    <w:rsid w:val="00036F48"/>
    <w:rsid w:val="00037587"/>
    <w:rsid w:val="00037A20"/>
    <w:rsid w:val="00040694"/>
    <w:rsid w:val="0004087B"/>
    <w:rsid w:val="00040AEE"/>
    <w:rsid w:val="0004145C"/>
    <w:rsid w:val="0004149B"/>
    <w:rsid w:val="00041C76"/>
    <w:rsid w:val="00041CD6"/>
    <w:rsid w:val="0004383F"/>
    <w:rsid w:val="00043ADB"/>
    <w:rsid w:val="000443B1"/>
    <w:rsid w:val="000446F5"/>
    <w:rsid w:val="00044C96"/>
    <w:rsid w:val="0004505D"/>
    <w:rsid w:val="000456AD"/>
    <w:rsid w:val="000457FA"/>
    <w:rsid w:val="00045897"/>
    <w:rsid w:val="00045B32"/>
    <w:rsid w:val="00045B66"/>
    <w:rsid w:val="000461D2"/>
    <w:rsid w:val="00046394"/>
    <w:rsid w:val="000465D8"/>
    <w:rsid w:val="00046ED9"/>
    <w:rsid w:val="00047235"/>
    <w:rsid w:val="000473EE"/>
    <w:rsid w:val="000476D7"/>
    <w:rsid w:val="00047C4B"/>
    <w:rsid w:val="00047F5F"/>
    <w:rsid w:val="00050022"/>
    <w:rsid w:val="0005021B"/>
    <w:rsid w:val="00050282"/>
    <w:rsid w:val="00050430"/>
    <w:rsid w:val="00050963"/>
    <w:rsid w:val="0005172D"/>
    <w:rsid w:val="000536C4"/>
    <w:rsid w:val="00054607"/>
    <w:rsid w:val="00054957"/>
    <w:rsid w:val="00054C40"/>
    <w:rsid w:val="000553E1"/>
    <w:rsid w:val="0005568B"/>
    <w:rsid w:val="00055E43"/>
    <w:rsid w:val="0005612D"/>
    <w:rsid w:val="0005663C"/>
    <w:rsid w:val="00056BD9"/>
    <w:rsid w:val="00057205"/>
    <w:rsid w:val="000604B2"/>
    <w:rsid w:val="000608B7"/>
    <w:rsid w:val="00060932"/>
    <w:rsid w:val="00060AB4"/>
    <w:rsid w:val="0006168C"/>
    <w:rsid w:val="0006201F"/>
    <w:rsid w:val="0006263B"/>
    <w:rsid w:val="00062DB2"/>
    <w:rsid w:val="0006307B"/>
    <w:rsid w:val="00063D67"/>
    <w:rsid w:val="000640CD"/>
    <w:rsid w:val="00064386"/>
    <w:rsid w:val="0006574B"/>
    <w:rsid w:val="00065988"/>
    <w:rsid w:val="00065BD7"/>
    <w:rsid w:val="00065FB6"/>
    <w:rsid w:val="00066363"/>
    <w:rsid w:val="0006699E"/>
    <w:rsid w:val="000704CB"/>
    <w:rsid w:val="000705F7"/>
    <w:rsid w:val="000705FF"/>
    <w:rsid w:val="00070960"/>
    <w:rsid w:val="00071C95"/>
    <w:rsid w:val="0007237E"/>
    <w:rsid w:val="000726DC"/>
    <w:rsid w:val="0007357B"/>
    <w:rsid w:val="00073D15"/>
    <w:rsid w:val="00073DD0"/>
    <w:rsid w:val="0007416E"/>
    <w:rsid w:val="000762FA"/>
    <w:rsid w:val="000767E2"/>
    <w:rsid w:val="000771C3"/>
    <w:rsid w:val="0008031C"/>
    <w:rsid w:val="0008073A"/>
    <w:rsid w:val="00080C26"/>
    <w:rsid w:val="00081808"/>
    <w:rsid w:val="000821C1"/>
    <w:rsid w:val="00082961"/>
    <w:rsid w:val="00085F1F"/>
    <w:rsid w:val="00085FBF"/>
    <w:rsid w:val="0008678E"/>
    <w:rsid w:val="00086873"/>
    <w:rsid w:val="00086898"/>
    <w:rsid w:val="000869D4"/>
    <w:rsid w:val="00086D77"/>
    <w:rsid w:val="000904B3"/>
    <w:rsid w:val="0009069C"/>
    <w:rsid w:val="00091785"/>
    <w:rsid w:val="0009205F"/>
    <w:rsid w:val="0009248A"/>
    <w:rsid w:val="000933DC"/>
    <w:rsid w:val="0009371A"/>
    <w:rsid w:val="0009430C"/>
    <w:rsid w:val="00094475"/>
    <w:rsid w:val="000945FC"/>
    <w:rsid w:val="000947C3"/>
    <w:rsid w:val="00094B6E"/>
    <w:rsid w:val="00094E1E"/>
    <w:rsid w:val="00095B5D"/>
    <w:rsid w:val="000960DB"/>
    <w:rsid w:val="00096394"/>
    <w:rsid w:val="00096456"/>
    <w:rsid w:val="00097552"/>
    <w:rsid w:val="000A0012"/>
    <w:rsid w:val="000A0091"/>
    <w:rsid w:val="000A0AA4"/>
    <w:rsid w:val="000A215B"/>
    <w:rsid w:val="000A2BB0"/>
    <w:rsid w:val="000A2C0F"/>
    <w:rsid w:val="000A33F0"/>
    <w:rsid w:val="000A34EE"/>
    <w:rsid w:val="000A3DBD"/>
    <w:rsid w:val="000A3F65"/>
    <w:rsid w:val="000A53A4"/>
    <w:rsid w:val="000A5766"/>
    <w:rsid w:val="000A59BD"/>
    <w:rsid w:val="000A5DE4"/>
    <w:rsid w:val="000A62AC"/>
    <w:rsid w:val="000A63CA"/>
    <w:rsid w:val="000A65DE"/>
    <w:rsid w:val="000A6B36"/>
    <w:rsid w:val="000A76A3"/>
    <w:rsid w:val="000A7F6C"/>
    <w:rsid w:val="000B0508"/>
    <w:rsid w:val="000B0B3B"/>
    <w:rsid w:val="000B0FCD"/>
    <w:rsid w:val="000B0FDA"/>
    <w:rsid w:val="000B1592"/>
    <w:rsid w:val="000B1A22"/>
    <w:rsid w:val="000B240E"/>
    <w:rsid w:val="000B2DC4"/>
    <w:rsid w:val="000B30D8"/>
    <w:rsid w:val="000B372D"/>
    <w:rsid w:val="000B3F03"/>
    <w:rsid w:val="000B4031"/>
    <w:rsid w:val="000B4077"/>
    <w:rsid w:val="000B4261"/>
    <w:rsid w:val="000B4595"/>
    <w:rsid w:val="000B4AD7"/>
    <w:rsid w:val="000B4C4A"/>
    <w:rsid w:val="000B4DB4"/>
    <w:rsid w:val="000B4E7A"/>
    <w:rsid w:val="000B5E6A"/>
    <w:rsid w:val="000B5EB6"/>
    <w:rsid w:val="000B6E94"/>
    <w:rsid w:val="000C00A3"/>
    <w:rsid w:val="000C014C"/>
    <w:rsid w:val="000C0822"/>
    <w:rsid w:val="000C0EA0"/>
    <w:rsid w:val="000C0F01"/>
    <w:rsid w:val="000C20ED"/>
    <w:rsid w:val="000C2E5D"/>
    <w:rsid w:val="000C5068"/>
    <w:rsid w:val="000C59AC"/>
    <w:rsid w:val="000C5FEA"/>
    <w:rsid w:val="000C6E9C"/>
    <w:rsid w:val="000D08F0"/>
    <w:rsid w:val="000D18A4"/>
    <w:rsid w:val="000D1B16"/>
    <w:rsid w:val="000D1C3A"/>
    <w:rsid w:val="000D26EB"/>
    <w:rsid w:val="000D395A"/>
    <w:rsid w:val="000D3EDA"/>
    <w:rsid w:val="000D4010"/>
    <w:rsid w:val="000D4DB7"/>
    <w:rsid w:val="000D6391"/>
    <w:rsid w:val="000D6A36"/>
    <w:rsid w:val="000D79B9"/>
    <w:rsid w:val="000E01F4"/>
    <w:rsid w:val="000E0263"/>
    <w:rsid w:val="000E0355"/>
    <w:rsid w:val="000E0E50"/>
    <w:rsid w:val="000E1372"/>
    <w:rsid w:val="000E2BB2"/>
    <w:rsid w:val="000E3681"/>
    <w:rsid w:val="000E371B"/>
    <w:rsid w:val="000E3D9B"/>
    <w:rsid w:val="000E4803"/>
    <w:rsid w:val="000E639D"/>
    <w:rsid w:val="000E6CBE"/>
    <w:rsid w:val="000E79BC"/>
    <w:rsid w:val="000E7B9B"/>
    <w:rsid w:val="000E7DC8"/>
    <w:rsid w:val="000F0280"/>
    <w:rsid w:val="000F0607"/>
    <w:rsid w:val="000F09BE"/>
    <w:rsid w:val="000F0C03"/>
    <w:rsid w:val="000F0D05"/>
    <w:rsid w:val="000F1941"/>
    <w:rsid w:val="000F1BDE"/>
    <w:rsid w:val="000F1CBA"/>
    <w:rsid w:val="000F1F56"/>
    <w:rsid w:val="000F34C3"/>
    <w:rsid w:val="000F3754"/>
    <w:rsid w:val="000F3FEA"/>
    <w:rsid w:val="000F4246"/>
    <w:rsid w:val="000F4289"/>
    <w:rsid w:val="000F4DA6"/>
    <w:rsid w:val="000F57F6"/>
    <w:rsid w:val="000F58F1"/>
    <w:rsid w:val="000F5E91"/>
    <w:rsid w:val="000F6384"/>
    <w:rsid w:val="000F679C"/>
    <w:rsid w:val="000F7470"/>
    <w:rsid w:val="000F7B14"/>
    <w:rsid w:val="001017C5"/>
    <w:rsid w:val="001020A3"/>
    <w:rsid w:val="00102CAC"/>
    <w:rsid w:val="001031D9"/>
    <w:rsid w:val="00103218"/>
    <w:rsid w:val="00103356"/>
    <w:rsid w:val="00103490"/>
    <w:rsid w:val="00103DEF"/>
    <w:rsid w:val="00103FDB"/>
    <w:rsid w:val="00104E24"/>
    <w:rsid w:val="00105592"/>
    <w:rsid w:val="001057F9"/>
    <w:rsid w:val="0010613A"/>
    <w:rsid w:val="00110579"/>
    <w:rsid w:val="0011061D"/>
    <w:rsid w:val="00110713"/>
    <w:rsid w:val="00110F85"/>
    <w:rsid w:val="00111423"/>
    <w:rsid w:val="00111659"/>
    <w:rsid w:val="001117BA"/>
    <w:rsid w:val="0011298B"/>
    <w:rsid w:val="00112AE7"/>
    <w:rsid w:val="00112E84"/>
    <w:rsid w:val="00113278"/>
    <w:rsid w:val="0011393E"/>
    <w:rsid w:val="00114C7A"/>
    <w:rsid w:val="00114CB7"/>
    <w:rsid w:val="00115623"/>
    <w:rsid w:val="00115643"/>
    <w:rsid w:val="00116AE1"/>
    <w:rsid w:val="0011786A"/>
    <w:rsid w:val="00117B8E"/>
    <w:rsid w:val="001208EB"/>
    <w:rsid w:val="00121B4A"/>
    <w:rsid w:val="001232CD"/>
    <w:rsid w:val="001237A7"/>
    <w:rsid w:val="00125FD9"/>
    <w:rsid w:val="0012682E"/>
    <w:rsid w:val="00126F84"/>
    <w:rsid w:val="00126FBC"/>
    <w:rsid w:val="001275A6"/>
    <w:rsid w:val="00127694"/>
    <w:rsid w:val="001278A9"/>
    <w:rsid w:val="00127E1B"/>
    <w:rsid w:val="0013082A"/>
    <w:rsid w:val="00130C32"/>
    <w:rsid w:val="001324C7"/>
    <w:rsid w:val="00132AB2"/>
    <w:rsid w:val="0013401B"/>
    <w:rsid w:val="00134089"/>
    <w:rsid w:val="001351C4"/>
    <w:rsid w:val="00135A3C"/>
    <w:rsid w:val="001371E1"/>
    <w:rsid w:val="00137AB2"/>
    <w:rsid w:val="001409EA"/>
    <w:rsid w:val="00140BB3"/>
    <w:rsid w:val="0014108C"/>
    <w:rsid w:val="001422B5"/>
    <w:rsid w:val="00142458"/>
    <w:rsid w:val="001424E2"/>
    <w:rsid w:val="00142D6D"/>
    <w:rsid w:val="00143362"/>
    <w:rsid w:val="00143568"/>
    <w:rsid w:val="0014460F"/>
    <w:rsid w:val="00144716"/>
    <w:rsid w:val="001449A9"/>
    <w:rsid w:val="00144F9A"/>
    <w:rsid w:val="0014568F"/>
    <w:rsid w:val="00145FEB"/>
    <w:rsid w:val="0014632C"/>
    <w:rsid w:val="00146622"/>
    <w:rsid w:val="0014674B"/>
    <w:rsid w:val="00146B6D"/>
    <w:rsid w:val="00146F12"/>
    <w:rsid w:val="0014745F"/>
    <w:rsid w:val="001479D4"/>
    <w:rsid w:val="00150164"/>
    <w:rsid w:val="00150279"/>
    <w:rsid w:val="00150993"/>
    <w:rsid w:val="001512EE"/>
    <w:rsid w:val="00151807"/>
    <w:rsid w:val="00152393"/>
    <w:rsid w:val="001523E9"/>
    <w:rsid w:val="001536DE"/>
    <w:rsid w:val="001539E9"/>
    <w:rsid w:val="00153DC7"/>
    <w:rsid w:val="001540AB"/>
    <w:rsid w:val="0015445B"/>
    <w:rsid w:val="001547F2"/>
    <w:rsid w:val="00154800"/>
    <w:rsid w:val="00154B23"/>
    <w:rsid w:val="0015571B"/>
    <w:rsid w:val="00156CDC"/>
    <w:rsid w:val="00160726"/>
    <w:rsid w:val="00161A88"/>
    <w:rsid w:val="00161E45"/>
    <w:rsid w:val="00162F10"/>
    <w:rsid w:val="001634E7"/>
    <w:rsid w:val="001638A3"/>
    <w:rsid w:val="00163E88"/>
    <w:rsid w:val="00163F3D"/>
    <w:rsid w:val="0016443B"/>
    <w:rsid w:val="0016495A"/>
    <w:rsid w:val="00164D44"/>
    <w:rsid w:val="0016548E"/>
    <w:rsid w:val="00165DE5"/>
    <w:rsid w:val="00166848"/>
    <w:rsid w:val="00166AE8"/>
    <w:rsid w:val="001671E3"/>
    <w:rsid w:val="001700F0"/>
    <w:rsid w:val="001708B4"/>
    <w:rsid w:val="00170D1E"/>
    <w:rsid w:val="00172102"/>
    <w:rsid w:val="0017239D"/>
    <w:rsid w:val="0017269C"/>
    <w:rsid w:val="00172771"/>
    <w:rsid w:val="00174F94"/>
    <w:rsid w:val="00175E1D"/>
    <w:rsid w:val="00175ED2"/>
    <w:rsid w:val="0017643E"/>
    <w:rsid w:val="001768E5"/>
    <w:rsid w:val="00177742"/>
    <w:rsid w:val="001779A2"/>
    <w:rsid w:val="00177A49"/>
    <w:rsid w:val="001817FC"/>
    <w:rsid w:val="00181CFC"/>
    <w:rsid w:val="00182B26"/>
    <w:rsid w:val="00182FDC"/>
    <w:rsid w:val="00183509"/>
    <w:rsid w:val="00186004"/>
    <w:rsid w:val="00186778"/>
    <w:rsid w:val="00186EB5"/>
    <w:rsid w:val="001870F9"/>
    <w:rsid w:val="001877C5"/>
    <w:rsid w:val="00187AB4"/>
    <w:rsid w:val="00191964"/>
    <w:rsid w:val="00192B97"/>
    <w:rsid w:val="00194FBF"/>
    <w:rsid w:val="00195AE1"/>
    <w:rsid w:val="00196E3A"/>
    <w:rsid w:val="00197617"/>
    <w:rsid w:val="001979C7"/>
    <w:rsid w:val="00197F9D"/>
    <w:rsid w:val="001A0002"/>
    <w:rsid w:val="001A0069"/>
    <w:rsid w:val="001A00A7"/>
    <w:rsid w:val="001A059E"/>
    <w:rsid w:val="001A0BFE"/>
    <w:rsid w:val="001A1C98"/>
    <w:rsid w:val="001A2437"/>
    <w:rsid w:val="001A2FEB"/>
    <w:rsid w:val="001A35EC"/>
    <w:rsid w:val="001A3DEF"/>
    <w:rsid w:val="001A53D1"/>
    <w:rsid w:val="001A68A4"/>
    <w:rsid w:val="001B1166"/>
    <w:rsid w:val="001B124D"/>
    <w:rsid w:val="001B1ECA"/>
    <w:rsid w:val="001B26F7"/>
    <w:rsid w:val="001B278B"/>
    <w:rsid w:val="001B2A4D"/>
    <w:rsid w:val="001B3B1D"/>
    <w:rsid w:val="001B40F6"/>
    <w:rsid w:val="001B4710"/>
    <w:rsid w:val="001B48BC"/>
    <w:rsid w:val="001B5455"/>
    <w:rsid w:val="001B59A5"/>
    <w:rsid w:val="001B66BB"/>
    <w:rsid w:val="001B6ADF"/>
    <w:rsid w:val="001B7391"/>
    <w:rsid w:val="001C0292"/>
    <w:rsid w:val="001C0305"/>
    <w:rsid w:val="001C0F81"/>
    <w:rsid w:val="001C22CB"/>
    <w:rsid w:val="001C2767"/>
    <w:rsid w:val="001C2EA2"/>
    <w:rsid w:val="001C308F"/>
    <w:rsid w:val="001C3FEA"/>
    <w:rsid w:val="001C42B2"/>
    <w:rsid w:val="001C473B"/>
    <w:rsid w:val="001C57B3"/>
    <w:rsid w:val="001C5906"/>
    <w:rsid w:val="001C5C43"/>
    <w:rsid w:val="001C76F0"/>
    <w:rsid w:val="001D04FD"/>
    <w:rsid w:val="001D0EC5"/>
    <w:rsid w:val="001D1200"/>
    <w:rsid w:val="001D14C2"/>
    <w:rsid w:val="001D189B"/>
    <w:rsid w:val="001D2AFB"/>
    <w:rsid w:val="001D2F2D"/>
    <w:rsid w:val="001D39DE"/>
    <w:rsid w:val="001D499A"/>
    <w:rsid w:val="001D563A"/>
    <w:rsid w:val="001D59CB"/>
    <w:rsid w:val="001D6037"/>
    <w:rsid w:val="001D691A"/>
    <w:rsid w:val="001D7625"/>
    <w:rsid w:val="001D7E8E"/>
    <w:rsid w:val="001E0CC6"/>
    <w:rsid w:val="001E0F56"/>
    <w:rsid w:val="001E1576"/>
    <w:rsid w:val="001E19F2"/>
    <w:rsid w:val="001E20AD"/>
    <w:rsid w:val="001E24C3"/>
    <w:rsid w:val="001E25C2"/>
    <w:rsid w:val="001E2966"/>
    <w:rsid w:val="001E395D"/>
    <w:rsid w:val="001E3DC6"/>
    <w:rsid w:val="001E4629"/>
    <w:rsid w:val="001E46D2"/>
    <w:rsid w:val="001E470E"/>
    <w:rsid w:val="001E4B1B"/>
    <w:rsid w:val="001E5DB4"/>
    <w:rsid w:val="001E601E"/>
    <w:rsid w:val="001E645C"/>
    <w:rsid w:val="001E6E68"/>
    <w:rsid w:val="001E709D"/>
    <w:rsid w:val="001E7151"/>
    <w:rsid w:val="001F1144"/>
    <w:rsid w:val="001F138E"/>
    <w:rsid w:val="001F157C"/>
    <w:rsid w:val="001F1A07"/>
    <w:rsid w:val="001F1AE6"/>
    <w:rsid w:val="001F4323"/>
    <w:rsid w:val="001F492A"/>
    <w:rsid w:val="001F497E"/>
    <w:rsid w:val="001F5231"/>
    <w:rsid w:val="001F5A89"/>
    <w:rsid w:val="001F5BA1"/>
    <w:rsid w:val="001F66F1"/>
    <w:rsid w:val="001F6709"/>
    <w:rsid w:val="001F7259"/>
    <w:rsid w:val="001F7C23"/>
    <w:rsid w:val="002004E0"/>
    <w:rsid w:val="0020085F"/>
    <w:rsid w:val="00200C9F"/>
    <w:rsid w:val="002014B5"/>
    <w:rsid w:val="0020153E"/>
    <w:rsid w:val="002033BA"/>
    <w:rsid w:val="00203C31"/>
    <w:rsid w:val="00203FB9"/>
    <w:rsid w:val="00204BA1"/>
    <w:rsid w:val="002055C3"/>
    <w:rsid w:val="00205F78"/>
    <w:rsid w:val="00206524"/>
    <w:rsid w:val="00206BD2"/>
    <w:rsid w:val="0020773F"/>
    <w:rsid w:val="00207DD4"/>
    <w:rsid w:val="00210EA9"/>
    <w:rsid w:val="00211DB8"/>
    <w:rsid w:val="00212476"/>
    <w:rsid w:val="00212E0D"/>
    <w:rsid w:val="00213AD2"/>
    <w:rsid w:val="00213C2D"/>
    <w:rsid w:val="00214C4A"/>
    <w:rsid w:val="00214FC4"/>
    <w:rsid w:val="00215019"/>
    <w:rsid w:val="00215E5A"/>
    <w:rsid w:val="00217167"/>
    <w:rsid w:val="00217465"/>
    <w:rsid w:val="00217F26"/>
    <w:rsid w:val="00217F60"/>
    <w:rsid w:val="002204EA"/>
    <w:rsid w:val="00221182"/>
    <w:rsid w:val="00221920"/>
    <w:rsid w:val="00221B5C"/>
    <w:rsid w:val="00221B77"/>
    <w:rsid w:val="00221DD9"/>
    <w:rsid w:val="00223212"/>
    <w:rsid w:val="00223387"/>
    <w:rsid w:val="002234FD"/>
    <w:rsid w:val="00223E88"/>
    <w:rsid w:val="00224298"/>
    <w:rsid w:val="0022444A"/>
    <w:rsid w:val="002244A3"/>
    <w:rsid w:val="00225A15"/>
    <w:rsid w:val="002269E0"/>
    <w:rsid w:val="00227964"/>
    <w:rsid w:val="00230C60"/>
    <w:rsid w:val="0023168F"/>
    <w:rsid w:val="00232CFE"/>
    <w:rsid w:val="002331A6"/>
    <w:rsid w:val="00233395"/>
    <w:rsid w:val="00234013"/>
    <w:rsid w:val="00234450"/>
    <w:rsid w:val="002351ED"/>
    <w:rsid w:val="00235451"/>
    <w:rsid w:val="0023557C"/>
    <w:rsid w:val="002357B7"/>
    <w:rsid w:val="00235B58"/>
    <w:rsid w:val="00237CB6"/>
    <w:rsid w:val="00237CEB"/>
    <w:rsid w:val="002400C2"/>
    <w:rsid w:val="00240BA7"/>
    <w:rsid w:val="00240E47"/>
    <w:rsid w:val="00240FF8"/>
    <w:rsid w:val="0024102B"/>
    <w:rsid w:val="00241093"/>
    <w:rsid w:val="00241ACB"/>
    <w:rsid w:val="00241F6A"/>
    <w:rsid w:val="00242194"/>
    <w:rsid w:val="00243BBF"/>
    <w:rsid w:val="002446D4"/>
    <w:rsid w:val="00245C2D"/>
    <w:rsid w:val="0024612E"/>
    <w:rsid w:val="00246161"/>
    <w:rsid w:val="00246C43"/>
    <w:rsid w:val="00246D4F"/>
    <w:rsid w:val="00246F9B"/>
    <w:rsid w:val="0024738B"/>
    <w:rsid w:val="00247D7B"/>
    <w:rsid w:val="00250B05"/>
    <w:rsid w:val="00250CB7"/>
    <w:rsid w:val="00250D38"/>
    <w:rsid w:val="002513C4"/>
    <w:rsid w:val="00251634"/>
    <w:rsid w:val="002520B7"/>
    <w:rsid w:val="0025214D"/>
    <w:rsid w:val="00252306"/>
    <w:rsid w:val="00252FF6"/>
    <w:rsid w:val="002532F8"/>
    <w:rsid w:val="00253886"/>
    <w:rsid w:val="00255EAB"/>
    <w:rsid w:val="00257B1E"/>
    <w:rsid w:val="00257E57"/>
    <w:rsid w:val="00260039"/>
    <w:rsid w:val="002605DB"/>
    <w:rsid w:val="00260ADF"/>
    <w:rsid w:val="00260D6D"/>
    <w:rsid w:val="00260EBD"/>
    <w:rsid w:val="0026216C"/>
    <w:rsid w:val="0026219C"/>
    <w:rsid w:val="0026261B"/>
    <w:rsid w:val="00262AFA"/>
    <w:rsid w:val="00263D21"/>
    <w:rsid w:val="00263DB7"/>
    <w:rsid w:val="0026423B"/>
    <w:rsid w:val="002650F7"/>
    <w:rsid w:val="002652AB"/>
    <w:rsid w:val="00265F74"/>
    <w:rsid w:val="002667B0"/>
    <w:rsid w:val="00266E2E"/>
    <w:rsid w:val="00267291"/>
    <w:rsid w:val="0026756D"/>
    <w:rsid w:val="0026783D"/>
    <w:rsid w:val="00267937"/>
    <w:rsid w:val="00270111"/>
    <w:rsid w:val="002703E7"/>
    <w:rsid w:val="00270F0A"/>
    <w:rsid w:val="00271AD5"/>
    <w:rsid w:val="002727A3"/>
    <w:rsid w:val="00272C93"/>
    <w:rsid w:val="00273201"/>
    <w:rsid w:val="00273433"/>
    <w:rsid w:val="00273488"/>
    <w:rsid w:val="0027397A"/>
    <w:rsid w:val="00273A47"/>
    <w:rsid w:val="002742A5"/>
    <w:rsid w:val="002743E4"/>
    <w:rsid w:val="00274973"/>
    <w:rsid w:val="0027507A"/>
    <w:rsid w:val="00275168"/>
    <w:rsid w:val="002754F2"/>
    <w:rsid w:val="002755C9"/>
    <w:rsid w:val="00275707"/>
    <w:rsid w:val="002758BB"/>
    <w:rsid w:val="00275B3F"/>
    <w:rsid w:val="0027616C"/>
    <w:rsid w:val="00276DD4"/>
    <w:rsid w:val="0027757E"/>
    <w:rsid w:val="002776FF"/>
    <w:rsid w:val="00280065"/>
    <w:rsid w:val="002803DA"/>
    <w:rsid w:val="00280F9F"/>
    <w:rsid w:val="002810F3"/>
    <w:rsid w:val="00282256"/>
    <w:rsid w:val="00282C98"/>
    <w:rsid w:val="002839DD"/>
    <w:rsid w:val="00283A6D"/>
    <w:rsid w:val="00283EC4"/>
    <w:rsid w:val="002844AB"/>
    <w:rsid w:val="002847D7"/>
    <w:rsid w:val="00284E88"/>
    <w:rsid w:val="00286372"/>
    <w:rsid w:val="00286421"/>
    <w:rsid w:val="002869CB"/>
    <w:rsid w:val="00287AE1"/>
    <w:rsid w:val="00287F25"/>
    <w:rsid w:val="00290302"/>
    <w:rsid w:val="002903B0"/>
    <w:rsid w:val="0029044E"/>
    <w:rsid w:val="002908B2"/>
    <w:rsid w:val="00290C3B"/>
    <w:rsid w:val="002910BA"/>
    <w:rsid w:val="00291587"/>
    <w:rsid w:val="00291F3D"/>
    <w:rsid w:val="00291F43"/>
    <w:rsid w:val="0029221B"/>
    <w:rsid w:val="002925C0"/>
    <w:rsid w:val="002926FC"/>
    <w:rsid w:val="0029277E"/>
    <w:rsid w:val="002935CE"/>
    <w:rsid w:val="00293DED"/>
    <w:rsid w:val="00295640"/>
    <w:rsid w:val="00295F4E"/>
    <w:rsid w:val="002964CF"/>
    <w:rsid w:val="00296A99"/>
    <w:rsid w:val="00297805"/>
    <w:rsid w:val="00297918"/>
    <w:rsid w:val="002A05CF"/>
    <w:rsid w:val="002A06C1"/>
    <w:rsid w:val="002A0D9D"/>
    <w:rsid w:val="002A0F5C"/>
    <w:rsid w:val="002A250D"/>
    <w:rsid w:val="002A2A80"/>
    <w:rsid w:val="002A2DD4"/>
    <w:rsid w:val="002A2F54"/>
    <w:rsid w:val="002A3F7D"/>
    <w:rsid w:val="002A46D7"/>
    <w:rsid w:val="002A5A72"/>
    <w:rsid w:val="002A658C"/>
    <w:rsid w:val="002A6BAF"/>
    <w:rsid w:val="002A6D57"/>
    <w:rsid w:val="002A71E9"/>
    <w:rsid w:val="002A74D2"/>
    <w:rsid w:val="002A77A8"/>
    <w:rsid w:val="002A7BED"/>
    <w:rsid w:val="002A7D5D"/>
    <w:rsid w:val="002B00AC"/>
    <w:rsid w:val="002B12A3"/>
    <w:rsid w:val="002B2A24"/>
    <w:rsid w:val="002B3E46"/>
    <w:rsid w:val="002B434B"/>
    <w:rsid w:val="002B48EE"/>
    <w:rsid w:val="002B4F73"/>
    <w:rsid w:val="002B5290"/>
    <w:rsid w:val="002B5B72"/>
    <w:rsid w:val="002B5E2E"/>
    <w:rsid w:val="002B6367"/>
    <w:rsid w:val="002B7459"/>
    <w:rsid w:val="002B7706"/>
    <w:rsid w:val="002B7A17"/>
    <w:rsid w:val="002C05C9"/>
    <w:rsid w:val="002C153E"/>
    <w:rsid w:val="002C16C9"/>
    <w:rsid w:val="002C1889"/>
    <w:rsid w:val="002C2272"/>
    <w:rsid w:val="002C3133"/>
    <w:rsid w:val="002C325D"/>
    <w:rsid w:val="002C33D8"/>
    <w:rsid w:val="002C3925"/>
    <w:rsid w:val="002C3CBB"/>
    <w:rsid w:val="002C4885"/>
    <w:rsid w:val="002C4E3C"/>
    <w:rsid w:val="002C5A1F"/>
    <w:rsid w:val="002C6334"/>
    <w:rsid w:val="002C65C3"/>
    <w:rsid w:val="002C67B5"/>
    <w:rsid w:val="002C69A4"/>
    <w:rsid w:val="002C6E16"/>
    <w:rsid w:val="002C75C3"/>
    <w:rsid w:val="002C787C"/>
    <w:rsid w:val="002D213B"/>
    <w:rsid w:val="002D27DB"/>
    <w:rsid w:val="002D2816"/>
    <w:rsid w:val="002D33F6"/>
    <w:rsid w:val="002D3857"/>
    <w:rsid w:val="002D4631"/>
    <w:rsid w:val="002D4818"/>
    <w:rsid w:val="002D4D99"/>
    <w:rsid w:val="002D6A7E"/>
    <w:rsid w:val="002D707B"/>
    <w:rsid w:val="002D75C4"/>
    <w:rsid w:val="002D78FF"/>
    <w:rsid w:val="002D7C5F"/>
    <w:rsid w:val="002D7D01"/>
    <w:rsid w:val="002E1374"/>
    <w:rsid w:val="002E17C3"/>
    <w:rsid w:val="002E23AA"/>
    <w:rsid w:val="002E24E2"/>
    <w:rsid w:val="002E2C96"/>
    <w:rsid w:val="002E321E"/>
    <w:rsid w:val="002E354C"/>
    <w:rsid w:val="002E37E9"/>
    <w:rsid w:val="002E3B92"/>
    <w:rsid w:val="002E465D"/>
    <w:rsid w:val="002E47F9"/>
    <w:rsid w:val="002E5284"/>
    <w:rsid w:val="002E535E"/>
    <w:rsid w:val="002E5C07"/>
    <w:rsid w:val="002E5EEF"/>
    <w:rsid w:val="002E6A44"/>
    <w:rsid w:val="002E6CCA"/>
    <w:rsid w:val="002E7BB4"/>
    <w:rsid w:val="002F0157"/>
    <w:rsid w:val="002F0534"/>
    <w:rsid w:val="002F070F"/>
    <w:rsid w:val="002F095A"/>
    <w:rsid w:val="002F0DFC"/>
    <w:rsid w:val="002F172A"/>
    <w:rsid w:val="002F2398"/>
    <w:rsid w:val="002F26CE"/>
    <w:rsid w:val="002F291C"/>
    <w:rsid w:val="002F2CC0"/>
    <w:rsid w:val="002F2D08"/>
    <w:rsid w:val="002F2D75"/>
    <w:rsid w:val="002F2E90"/>
    <w:rsid w:val="002F33FF"/>
    <w:rsid w:val="002F4413"/>
    <w:rsid w:val="002F5190"/>
    <w:rsid w:val="002F61B7"/>
    <w:rsid w:val="002F650B"/>
    <w:rsid w:val="002F656E"/>
    <w:rsid w:val="002F6920"/>
    <w:rsid w:val="002F6A85"/>
    <w:rsid w:val="002F6D45"/>
    <w:rsid w:val="002F711A"/>
    <w:rsid w:val="002F72FF"/>
    <w:rsid w:val="002F7939"/>
    <w:rsid w:val="002F7B41"/>
    <w:rsid w:val="00300EC3"/>
    <w:rsid w:val="00302004"/>
    <w:rsid w:val="00302575"/>
    <w:rsid w:val="00302B29"/>
    <w:rsid w:val="0030309E"/>
    <w:rsid w:val="00304EB4"/>
    <w:rsid w:val="003056D7"/>
    <w:rsid w:val="003057C6"/>
    <w:rsid w:val="00305FF8"/>
    <w:rsid w:val="00306C63"/>
    <w:rsid w:val="003078AE"/>
    <w:rsid w:val="00307D01"/>
    <w:rsid w:val="0031003F"/>
    <w:rsid w:val="00310373"/>
    <w:rsid w:val="00310625"/>
    <w:rsid w:val="003115EC"/>
    <w:rsid w:val="00311688"/>
    <w:rsid w:val="00311AAA"/>
    <w:rsid w:val="00311CD0"/>
    <w:rsid w:val="003139A8"/>
    <w:rsid w:val="00313E1F"/>
    <w:rsid w:val="00313EEC"/>
    <w:rsid w:val="00314718"/>
    <w:rsid w:val="00314E1A"/>
    <w:rsid w:val="00315BA7"/>
    <w:rsid w:val="00315CF6"/>
    <w:rsid w:val="00315D0D"/>
    <w:rsid w:val="00316539"/>
    <w:rsid w:val="00316A46"/>
    <w:rsid w:val="00316B96"/>
    <w:rsid w:val="00316CED"/>
    <w:rsid w:val="0031706E"/>
    <w:rsid w:val="0031735C"/>
    <w:rsid w:val="003176BE"/>
    <w:rsid w:val="00317740"/>
    <w:rsid w:val="003179D0"/>
    <w:rsid w:val="00320550"/>
    <w:rsid w:val="00320692"/>
    <w:rsid w:val="003207FB"/>
    <w:rsid w:val="00320AB0"/>
    <w:rsid w:val="00320B4E"/>
    <w:rsid w:val="00320CE7"/>
    <w:rsid w:val="0032108A"/>
    <w:rsid w:val="003211C5"/>
    <w:rsid w:val="003216C3"/>
    <w:rsid w:val="003223B5"/>
    <w:rsid w:val="003227CC"/>
    <w:rsid w:val="00322D2B"/>
    <w:rsid w:val="0032305F"/>
    <w:rsid w:val="00324664"/>
    <w:rsid w:val="00325C9B"/>
    <w:rsid w:val="00325EC5"/>
    <w:rsid w:val="003272C5"/>
    <w:rsid w:val="00327A4E"/>
    <w:rsid w:val="00330580"/>
    <w:rsid w:val="00330CDE"/>
    <w:rsid w:val="00332BDD"/>
    <w:rsid w:val="00332C18"/>
    <w:rsid w:val="00332EBF"/>
    <w:rsid w:val="003334A8"/>
    <w:rsid w:val="00333533"/>
    <w:rsid w:val="00333581"/>
    <w:rsid w:val="00334D43"/>
    <w:rsid w:val="00334EB5"/>
    <w:rsid w:val="0033525C"/>
    <w:rsid w:val="00335D5D"/>
    <w:rsid w:val="00335FC2"/>
    <w:rsid w:val="003364FE"/>
    <w:rsid w:val="00337F26"/>
    <w:rsid w:val="00340077"/>
    <w:rsid w:val="0034018C"/>
    <w:rsid w:val="003407B7"/>
    <w:rsid w:val="0034113E"/>
    <w:rsid w:val="00341185"/>
    <w:rsid w:val="00341FED"/>
    <w:rsid w:val="00343D3D"/>
    <w:rsid w:val="00343FB8"/>
    <w:rsid w:val="00344B8A"/>
    <w:rsid w:val="00344C92"/>
    <w:rsid w:val="00344E8B"/>
    <w:rsid w:val="00345011"/>
    <w:rsid w:val="0034536C"/>
    <w:rsid w:val="0034599D"/>
    <w:rsid w:val="00345A7D"/>
    <w:rsid w:val="00345CEE"/>
    <w:rsid w:val="00345D08"/>
    <w:rsid w:val="00346247"/>
    <w:rsid w:val="003463AE"/>
    <w:rsid w:val="00346571"/>
    <w:rsid w:val="003465CE"/>
    <w:rsid w:val="003471F8"/>
    <w:rsid w:val="00347367"/>
    <w:rsid w:val="003475A9"/>
    <w:rsid w:val="00347A14"/>
    <w:rsid w:val="00347C7A"/>
    <w:rsid w:val="0035074F"/>
    <w:rsid w:val="00350869"/>
    <w:rsid w:val="00350DE8"/>
    <w:rsid w:val="00350E12"/>
    <w:rsid w:val="00350E42"/>
    <w:rsid w:val="00351788"/>
    <w:rsid w:val="003526F7"/>
    <w:rsid w:val="00352A6D"/>
    <w:rsid w:val="00352A9D"/>
    <w:rsid w:val="00353609"/>
    <w:rsid w:val="00353E67"/>
    <w:rsid w:val="0035461D"/>
    <w:rsid w:val="003552D7"/>
    <w:rsid w:val="00355867"/>
    <w:rsid w:val="00355E0A"/>
    <w:rsid w:val="00355FA9"/>
    <w:rsid w:val="00356FD6"/>
    <w:rsid w:val="003576E4"/>
    <w:rsid w:val="0036001A"/>
    <w:rsid w:val="00361704"/>
    <w:rsid w:val="00361CDE"/>
    <w:rsid w:val="0036223E"/>
    <w:rsid w:val="003624D6"/>
    <w:rsid w:val="00362B7E"/>
    <w:rsid w:val="00362BC4"/>
    <w:rsid w:val="00362E24"/>
    <w:rsid w:val="00362E77"/>
    <w:rsid w:val="003631DB"/>
    <w:rsid w:val="00363BB5"/>
    <w:rsid w:val="00364249"/>
    <w:rsid w:val="003653FF"/>
    <w:rsid w:val="00365EE2"/>
    <w:rsid w:val="00366E02"/>
    <w:rsid w:val="00367472"/>
    <w:rsid w:val="0037020F"/>
    <w:rsid w:val="003707E2"/>
    <w:rsid w:val="0037092A"/>
    <w:rsid w:val="003709A5"/>
    <w:rsid w:val="00370D6A"/>
    <w:rsid w:val="00370E0C"/>
    <w:rsid w:val="003718B9"/>
    <w:rsid w:val="00372E3E"/>
    <w:rsid w:val="0037329F"/>
    <w:rsid w:val="00373999"/>
    <w:rsid w:val="00373C83"/>
    <w:rsid w:val="00373F54"/>
    <w:rsid w:val="003748D7"/>
    <w:rsid w:val="00374D5E"/>
    <w:rsid w:val="0037602E"/>
    <w:rsid w:val="003773C3"/>
    <w:rsid w:val="00377584"/>
    <w:rsid w:val="0037760F"/>
    <w:rsid w:val="00377907"/>
    <w:rsid w:val="00377995"/>
    <w:rsid w:val="0038064D"/>
    <w:rsid w:val="00380C98"/>
    <w:rsid w:val="00381846"/>
    <w:rsid w:val="00381B40"/>
    <w:rsid w:val="00382146"/>
    <w:rsid w:val="00382B57"/>
    <w:rsid w:val="00383382"/>
    <w:rsid w:val="0038369C"/>
    <w:rsid w:val="00383CF2"/>
    <w:rsid w:val="00383DF2"/>
    <w:rsid w:val="003840F9"/>
    <w:rsid w:val="0038437C"/>
    <w:rsid w:val="00384C9C"/>
    <w:rsid w:val="00386C7A"/>
    <w:rsid w:val="00387652"/>
    <w:rsid w:val="003905A1"/>
    <w:rsid w:val="00390BF8"/>
    <w:rsid w:val="003916D9"/>
    <w:rsid w:val="003918CF"/>
    <w:rsid w:val="00391AD8"/>
    <w:rsid w:val="00391C00"/>
    <w:rsid w:val="00392D09"/>
    <w:rsid w:val="00393AB0"/>
    <w:rsid w:val="00394BA2"/>
    <w:rsid w:val="003951DB"/>
    <w:rsid w:val="00395560"/>
    <w:rsid w:val="00395B38"/>
    <w:rsid w:val="00395CDC"/>
    <w:rsid w:val="0039672C"/>
    <w:rsid w:val="00396ABE"/>
    <w:rsid w:val="003973FF"/>
    <w:rsid w:val="003974E6"/>
    <w:rsid w:val="00397CF6"/>
    <w:rsid w:val="00397FA8"/>
    <w:rsid w:val="003A0DD8"/>
    <w:rsid w:val="003A0E3C"/>
    <w:rsid w:val="003A14F4"/>
    <w:rsid w:val="003A1DAD"/>
    <w:rsid w:val="003A23CC"/>
    <w:rsid w:val="003A2757"/>
    <w:rsid w:val="003A2AB2"/>
    <w:rsid w:val="003A384B"/>
    <w:rsid w:val="003A4187"/>
    <w:rsid w:val="003A4326"/>
    <w:rsid w:val="003A44B0"/>
    <w:rsid w:val="003A47C9"/>
    <w:rsid w:val="003A48F7"/>
    <w:rsid w:val="003A5E70"/>
    <w:rsid w:val="003A5E9E"/>
    <w:rsid w:val="003A6E25"/>
    <w:rsid w:val="003A6FD2"/>
    <w:rsid w:val="003A7F3B"/>
    <w:rsid w:val="003B012C"/>
    <w:rsid w:val="003B0D22"/>
    <w:rsid w:val="003B136E"/>
    <w:rsid w:val="003B1EB2"/>
    <w:rsid w:val="003B2B31"/>
    <w:rsid w:val="003B2F82"/>
    <w:rsid w:val="003B3335"/>
    <w:rsid w:val="003B353F"/>
    <w:rsid w:val="003B3965"/>
    <w:rsid w:val="003B439A"/>
    <w:rsid w:val="003B47CE"/>
    <w:rsid w:val="003B48F4"/>
    <w:rsid w:val="003B50E0"/>
    <w:rsid w:val="003B62D4"/>
    <w:rsid w:val="003B6C19"/>
    <w:rsid w:val="003B6FBF"/>
    <w:rsid w:val="003B74EA"/>
    <w:rsid w:val="003B7777"/>
    <w:rsid w:val="003B793B"/>
    <w:rsid w:val="003B7AB6"/>
    <w:rsid w:val="003C0145"/>
    <w:rsid w:val="003C132E"/>
    <w:rsid w:val="003C266C"/>
    <w:rsid w:val="003C2FA4"/>
    <w:rsid w:val="003C3F75"/>
    <w:rsid w:val="003C4D9C"/>
    <w:rsid w:val="003C549E"/>
    <w:rsid w:val="003C5C24"/>
    <w:rsid w:val="003C666F"/>
    <w:rsid w:val="003C6DE9"/>
    <w:rsid w:val="003C733C"/>
    <w:rsid w:val="003C78AD"/>
    <w:rsid w:val="003C7C65"/>
    <w:rsid w:val="003C7E8F"/>
    <w:rsid w:val="003D061F"/>
    <w:rsid w:val="003D2133"/>
    <w:rsid w:val="003D2F91"/>
    <w:rsid w:val="003D3212"/>
    <w:rsid w:val="003D39DF"/>
    <w:rsid w:val="003D3E34"/>
    <w:rsid w:val="003D4334"/>
    <w:rsid w:val="003D5629"/>
    <w:rsid w:val="003D596B"/>
    <w:rsid w:val="003D5BFA"/>
    <w:rsid w:val="003D6A68"/>
    <w:rsid w:val="003D6B19"/>
    <w:rsid w:val="003D6B27"/>
    <w:rsid w:val="003D6D2E"/>
    <w:rsid w:val="003D6E9C"/>
    <w:rsid w:val="003D7AAC"/>
    <w:rsid w:val="003E0299"/>
    <w:rsid w:val="003E0310"/>
    <w:rsid w:val="003E072E"/>
    <w:rsid w:val="003E0749"/>
    <w:rsid w:val="003E0BB4"/>
    <w:rsid w:val="003E16AB"/>
    <w:rsid w:val="003E1A4A"/>
    <w:rsid w:val="003E1B4E"/>
    <w:rsid w:val="003E1F12"/>
    <w:rsid w:val="003E20B6"/>
    <w:rsid w:val="003E2F70"/>
    <w:rsid w:val="003E3CB9"/>
    <w:rsid w:val="003E47C1"/>
    <w:rsid w:val="003E4AE0"/>
    <w:rsid w:val="003E50F4"/>
    <w:rsid w:val="003E5538"/>
    <w:rsid w:val="003E5761"/>
    <w:rsid w:val="003E6F52"/>
    <w:rsid w:val="003E7B41"/>
    <w:rsid w:val="003E7FCC"/>
    <w:rsid w:val="003F09DF"/>
    <w:rsid w:val="003F0A9F"/>
    <w:rsid w:val="003F0BE3"/>
    <w:rsid w:val="003F3452"/>
    <w:rsid w:val="003F3464"/>
    <w:rsid w:val="003F37D8"/>
    <w:rsid w:val="003F38EC"/>
    <w:rsid w:val="003F5368"/>
    <w:rsid w:val="003F5F3C"/>
    <w:rsid w:val="003F6212"/>
    <w:rsid w:val="003F6E26"/>
    <w:rsid w:val="00400476"/>
    <w:rsid w:val="0040093F"/>
    <w:rsid w:val="00401869"/>
    <w:rsid w:val="00401B39"/>
    <w:rsid w:val="004020AC"/>
    <w:rsid w:val="0040270C"/>
    <w:rsid w:val="004027A3"/>
    <w:rsid w:val="00402C61"/>
    <w:rsid w:val="004034F4"/>
    <w:rsid w:val="004035D4"/>
    <w:rsid w:val="0040397C"/>
    <w:rsid w:val="00403D32"/>
    <w:rsid w:val="0040412D"/>
    <w:rsid w:val="00404255"/>
    <w:rsid w:val="00404D3A"/>
    <w:rsid w:val="0040577E"/>
    <w:rsid w:val="00405923"/>
    <w:rsid w:val="00405CBB"/>
    <w:rsid w:val="0040629F"/>
    <w:rsid w:val="0040666E"/>
    <w:rsid w:val="00406C91"/>
    <w:rsid w:val="00407153"/>
    <w:rsid w:val="00407549"/>
    <w:rsid w:val="0040792F"/>
    <w:rsid w:val="00407EC4"/>
    <w:rsid w:val="00410094"/>
    <w:rsid w:val="004103E9"/>
    <w:rsid w:val="00410AC5"/>
    <w:rsid w:val="0041118D"/>
    <w:rsid w:val="00411555"/>
    <w:rsid w:val="0041195C"/>
    <w:rsid w:val="00411D4B"/>
    <w:rsid w:val="00411F9B"/>
    <w:rsid w:val="004128FF"/>
    <w:rsid w:val="004130DF"/>
    <w:rsid w:val="00416E9F"/>
    <w:rsid w:val="00417363"/>
    <w:rsid w:val="004205F2"/>
    <w:rsid w:val="00420880"/>
    <w:rsid w:val="00420EE4"/>
    <w:rsid w:val="00420F28"/>
    <w:rsid w:val="0042149A"/>
    <w:rsid w:val="004215A2"/>
    <w:rsid w:val="00421739"/>
    <w:rsid w:val="0042257E"/>
    <w:rsid w:val="00422AFF"/>
    <w:rsid w:val="00423051"/>
    <w:rsid w:val="0042328D"/>
    <w:rsid w:val="00423BC1"/>
    <w:rsid w:val="00423D84"/>
    <w:rsid w:val="00423E3A"/>
    <w:rsid w:val="0042495A"/>
    <w:rsid w:val="00424B99"/>
    <w:rsid w:val="00425307"/>
    <w:rsid w:val="00425CE4"/>
    <w:rsid w:val="00426505"/>
    <w:rsid w:val="00426A98"/>
    <w:rsid w:val="004273D1"/>
    <w:rsid w:val="004277CE"/>
    <w:rsid w:val="004305D3"/>
    <w:rsid w:val="00433477"/>
    <w:rsid w:val="004339C5"/>
    <w:rsid w:val="00433C21"/>
    <w:rsid w:val="004345F2"/>
    <w:rsid w:val="0043466D"/>
    <w:rsid w:val="0043522E"/>
    <w:rsid w:val="00435635"/>
    <w:rsid w:val="004362AB"/>
    <w:rsid w:val="004365E4"/>
    <w:rsid w:val="00436693"/>
    <w:rsid w:val="004366A9"/>
    <w:rsid w:val="00436935"/>
    <w:rsid w:val="00436C77"/>
    <w:rsid w:val="0043700E"/>
    <w:rsid w:val="00437730"/>
    <w:rsid w:val="00437CC4"/>
    <w:rsid w:val="00441B2B"/>
    <w:rsid w:val="00441DA2"/>
    <w:rsid w:val="004428A3"/>
    <w:rsid w:val="00443018"/>
    <w:rsid w:val="0044321F"/>
    <w:rsid w:val="00443407"/>
    <w:rsid w:val="00444244"/>
    <w:rsid w:val="00445023"/>
    <w:rsid w:val="00445044"/>
    <w:rsid w:val="00445354"/>
    <w:rsid w:val="00445611"/>
    <w:rsid w:val="004464E3"/>
    <w:rsid w:val="00446A57"/>
    <w:rsid w:val="00447B93"/>
    <w:rsid w:val="0045052F"/>
    <w:rsid w:val="004511EA"/>
    <w:rsid w:val="00451266"/>
    <w:rsid w:val="00451931"/>
    <w:rsid w:val="00453122"/>
    <w:rsid w:val="00453B5C"/>
    <w:rsid w:val="00454506"/>
    <w:rsid w:val="00455113"/>
    <w:rsid w:val="0045642A"/>
    <w:rsid w:val="00456622"/>
    <w:rsid w:val="004567B4"/>
    <w:rsid w:val="00456CA1"/>
    <w:rsid w:val="00456CAE"/>
    <w:rsid w:val="004570D1"/>
    <w:rsid w:val="00457482"/>
    <w:rsid w:val="004574DF"/>
    <w:rsid w:val="004574FF"/>
    <w:rsid w:val="00457B3F"/>
    <w:rsid w:val="00460867"/>
    <w:rsid w:val="00460E3A"/>
    <w:rsid w:val="00460F41"/>
    <w:rsid w:val="0046161E"/>
    <w:rsid w:val="00461698"/>
    <w:rsid w:val="00461912"/>
    <w:rsid w:val="00462890"/>
    <w:rsid w:val="004629D4"/>
    <w:rsid w:val="00462CDD"/>
    <w:rsid w:val="004655C7"/>
    <w:rsid w:val="00465B72"/>
    <w:rsid w:val="00465CEA"/>
    <w:rsid w:val="004665F7"/>
    <w:rsid w:val="004665FB"/>
    <w:rsid w:val="00467988"/>
    <w:rsid w:val="00467999"/>
    <w:rsid w:val="00470383"/>
    <w:rsid w:val="00470783"/>
    <w:rsid w:val="004707F0"/>
    <w:rsid w:val="00470B79"/>
    <w:rsid w:val="00470C4E"/>
    <w:rsid w:val="0047123A"/>
    <w:rsid w:val="004717DF"/>
    <w:rsid w:val="00472E95"/>
    <w:rsid w:val="004731D8"/>
    <w:rsid w:val="004737F5"/>
    <w:rsid w:val="0047383D"/>
    <w:rsid w:val="004745AB"/>
    <w:rsid w:val="00474A07"/>
    <w:rsid w:val="00474EB5"/>
    <w:rsid w:val="00475150"/>
    <w:rsid w:val="00475A5B"/>
    <w:rsid w:val="00475B99"/>
    <w:rsid w:val="0047638D"/>
    <w:rsid w:val="00476496"/>
    <w:rsid w:val="004773AE"/>
    <w:rsid w:val="0047772B"/>
    <w:rsid w:val="00481C80"/>
    <w:rsid w:val="00482789"/>
    <w:rsid w:val="00482FC4"/>
    <w:rsid w:val="004836F2"/>
    <w:rsid w:val="00484E6B"/>
    <w:rsid w:val="00485C04"/>
    <w:rsid w:val="0048623E"/>
    <w:rsid w:val="004865BF"/>
    <w:rsid w:val="00486D2D"/>
    <w:rsid w:val="004878FE"/>
    <w:rsid w:val="00487A7F"/>
    <w:rsid w:val="00487FCD"/>
    <w:rsid w:val="004905FD"/>
    <w:rsid w:val="00491780"/>
    <w:rsid w:val="004926CF"/>
    <w:rsid w:val="00492703"/>
    <w:rsid w:val="0049273B"/>
    <w:rsid w:val="004929EF"/>
    <w:rsid w:val="004943DA"/>
    <w:rsid w:val="004955E6"/>
    <w:rsid w:val="00495EB1"/>
    <w:rsid w:val="00496173"/>
    <w:rsid w:val="004A0BA8"/>
    <w:rsid w:val="004A0BAF"/>
    <w:rsid w:val="004A1713"/>
    <w:rsid w:val="004A18A7"/>
    <w:rsid w:val="004A23B5"/>
    <w:rsid w:val="004A2F2D"/>
    <w:rsid w:val="004A36DD"/>
    <w:rsid w:val="004A4183"/>
    <w:rsid w:val="004A46C3"/>
    <w:rsid w:val="004A46D5"/>
    <w:rsid w:val="004A48DB"/>
    <w:rsid w:val="004A4D48"/>
    <w:rsid w:val="004A56B0"/>
    <w:rsid w:val="004A58D6"/>
    <w:rsid w:val="004A620F"/>
    <w:rsid w:val="004A6F42"/>
    <w:rsid w:val="004A7C07"/>
    <w:rsid w:val="004B0262"/>
    <w:rsid w:val="004B08FB"/>
    <w:rsid w:val="004B0A79"/>
    <w:rsid w:val="004B11D4"/>
    <w:rsid w:val="004B2245"/>
    <w:rsid w:val="004B228D"/>
    <w:rsid w:val="004B246F"/>
    <w:rsid w:val="004B30A2"/>
    <w:rsid w:val="004B31DD"/>
    <w:rsid w:val="004B3346"/>
    <w:rsid w:val="004B4B6D"/>
    <w:rsid w:val="004B52DE"/>
    <w:rsid w:val="004B5AD0"/>
    <w:rsid w:val="004B6B95"/>
    <w:rsid w:val="004B6CCD"/>
    <w:rsid w:val="004B702F"/>
    <w:rsid w:val="004B777D"/>
    <w:rsid w:val="004B77BE"/>
    <w:rsid w:val="004B77CB"/>
    <w:rsid w:val="004C0881"/>
    <w:rsid w:val="004C11D3"/>
    <w:rsid w:val="004C1DC2"/>
    <w:rsid w:val="004C1F30"/>
    <w:rsid w:val="004C2D86"/>
    <w:rsid w:val="004C3EA2"/>
    <w:rsid w:val="004C4273"/>
    <w:rsid w:val="004C5B35"/>
    <w:rsid w:val="004C64D5"/>
    <w:rsid w:val="004C6C7B"/>
    <w:rsid w:val="004C6D55"/>
    <w:rsid w:val="004C6F74"/>
    <w:rsid w:val="004C7244"/>
    <w:rsid w:val="004C747A"/>
    <w:rsid w:val="004C77FB"/>
    <w:rsid w:val="004D0232"/>
    <w:rsid w:val="004D02B9"/>
    <w:rsid w:val="004D0F0D"/>
    <w:rsid w:val="004D2325"/>
    <w:rsid w:val="004D2970"/>
    <w:rsid w:val="004D2BE7"/>
    <w:rsid w:val="004D3785"/>
    <w:rsid w:val="004D41F5"/>
    <w:rsid w:val="004D46CB"/>
    <w:rsid w:val="004D4A73"/>
    <w:rsid w:val="004D56B4"/>
    <w:rsid w:val="004D57AA"/>
    <w:rsid w:val="004D57F1"/>
    <w:rsid w:val="004D5EC7"/>
    <w:rsid w:val="004D686A"/>
    <w:rsid w:val="004E0490"/>
    <w:rsid w:val="004E0593"/>
    <w:rsid w:val="004E05F4"/>
    <w:rsid w:val="004E0DCD"/>
    <w:rsid w:val="004E1127"/>
    <w:rsid w:val="004E134F"/>
    <w:rsid w:val="004E1769"/>
    <w:rsid w:val="004E19D1"/>
    <w:rsid w:val="004E27AC"/>
    <w:rsid w:val="004E33C4"/>
    <w:rsid w:val="004E3FD1"/>
    <w:rsid w:val="004E40E9"/>
    <w:rsid w:val="004E65C9"/>
    <w:rsid w:val="004E67CE"/>
    <w:rsid w:val="004E6F4F"/>
    <w:rsid w:val="004E720F"/>
    <w:rsid w:val="004E74FA"/>
    <w:rsid w:val="004E75E9"/>
    <w:rsid w:val="004E78F0"/>
    <w:rsid w:val="004E7CDC"/>
    <w:rsid w:val="004F1530"/>
    <w:rsid w:val="004F1AE0"/>
    <w:rsid w:val="004F1EAF"/>
    <w:rsid w:val="004F2235"/>
    <w:rsid w:val="004F2367"/>
    <w:rsid w:val="004F2EF7"/>
    <w:rsid w:val="004F34B1"/>
    <w:rsid w:val="004F3779"/>
    <w:rsid w:val="004F3958"/>
    <w:rsid w:val="004F4565"/>
    <w:rsid w:val="004F5957"/>
    <w:rsid w:val="004F5BE4"/>
    <w:rsid w:val="004F609C"/>
    <w:rsid w:val="004F6D1E"/>
    <w:rsid w:val="00500F77"/>
    <w:rsid w:val="00501885"/>
    <w:rsid w:val="0050239A"/>
    <w:rsid w:val="005028A6"/>
    <w:rsid w:val="00502F5C"/>
    <w:rsid w:val="00503345"/>
    <w:rsid w:val="005036BF"/>
    <w:rsid w:val="00503D91"/>
    <w:rsid w:val="00505162"/>
    <w:rsid w:val="00505283"/>
    <w:rsid w:val="0050548E"/>
    <w:rsid w:val="005057F2"/>
    <w:rsid w:val="00506060"/>
    <w:rsid w:val="00506692"/>
    <w:rsid w:val="005067F8"/>
    <w:rsid w:val="0050685F"/>
    <w:rsid w:val="00506E66"/>
    <w:rsid w:val="005078A0"/>
    <w:rsid w:val="0051005C"/>
    <w:rsid w:val="005103B3"/>
    <w:rsid w:val="00511250"/>
    <w:rsid w:val="00511426"/>
    <w:rsid w:val="00511684"/>
    <w:rsid w:val="00511A7A"/>
    <w:rsid w:val="00513667"/>
    <w:rsid w:val="005138C8"/>
    <w:rsid w:val="005139D2"/>
    <w:rsid w:val="00513BD5"/>
    <w:rsid w:val="005155A7"/>
    <w:rsid w:val="00515E25"/>
    <w:rsid w:val="0051626E"/>
    <w:rsid w:val="005166C7"/>
    <w:rsid w:val="00520397"/>
    <w:rsid w:val="00520A31"/>
    <w:rsid w:val="00521746"/>
    <w:rsid w:val="00521CCB"/>
    <w:rsid w:val="00522208"/>
    <w:rsid w:val="0052268A"/>
    <w:rsid w:val="00522DC0"/>
    <w:rsid w:val="00523257"/>
    <w:rsid w:val="00523437"/>
    <w:rsid w:val="005236BF"/>
    <w:rsid w:val="00523A57"/>
    <w:rsid w:val="00524384"/>
    <w:rsid w:val="00524593"/>
    <w:rsid w:val="00524B92"/>
    <w:rsid w:val="00525731"/>
    <w:rsid w:val="00525C0F"/>
    <w:rsid w:val="005263C1"/>
    <w:rsid w:val="00526E93"/>
    <w:rsid w:val="00526E9E"/>
    <w:rsid w:val="00527081"/>
    <w:rsid w:val="0052721D"/>
    <w:rsid w:val="005274B4"/>
    <w:rsid w:val="0052758D"/>
    <w:rsid w:val="0052796B"/>
    <w:rsid w:val="005300E0"/>
    <w:rsid w:val="00530548"/>
    <w:rsid w:val="00530CF7"/>
    <w:rsid w:val="00531B6E"/>
    <w:rsid w:val="00531E67"/>
    <w:rsid w:val="0053235C"/>
    <w:rsid w:val="00533742"/>
    <w:rsid w:val="00534105"/>
    <w:rsid w:val="00535374"/>
    <w:rsid w:val="005353DF"/>
    <w:rsid w:val="005354E2"/>
    <w:rsid w:val="00535DE7"/>
    <w:rsid w:val="00536733"/>
    <w:rsid w:val="00537485"/>
    <w:rsid w:val="0053769E"/>
    <w:rsid w:val="00537C9C"/>
    <w:rsid w:val="00537EB1"/>
    <w:rsid w:val="00540B10"/>
    <w:rsid w:val="00540FD5"/>
    <w:rsid w:val="00541204"/>
    <w:rsid w:val="00542250"/>
    <w:rsid w:val="0054257D"/>
    <w:rsid w:val="0054262B"/>
    <w:rsid w:val="00542875"/>
    <w:rsid w:val="00543329"/>
    <w:rsid w:val="005439D7"/>
    <w:rsid w:val="00543A18"/>
    <w:rsid w:val="0054418D"/>
    <w:rsid w:val="00544570"/>
    <w:rsid w:val="005446B8"/>
    <w:rsid w:val="00544BA6"/>
    <w:rsid w:val="00544FB9"/>
    <w:rsid w:val="005453FD"/>
    <w:rsid w:val="0054585F"/>
    <w:rsid w:val="005469AA"/>
    <w:rsid w:val="00546F4A"/>
    <w:rsid w:val="00550395"/>
    <w:rsid w:val="0055045F"/>
    <w:rsid w:val="00550BAF"/>
    <w:rsid w:val="00550F71"/>
    <w:rsid w:val="00551113"/>
    <w:rsid w:val="005511CD"/>
    <w:rsid w:val="005519A2"/>
    <w:rsid w:val="00552249"/>
    <w:rsid w:val="005523CD"/>
    <w:rsid w:val="0055283A"/>
    <w:rsid w:val="00553831"/>
    <w:rsid w:val="00553976"/>
    <w:rsid w:val="00553A79"/>
    <w:rsid w:val="00554496"/>
    <w:rsid w:val="00554A4F"/>
    <w:rsid w:val="005553D7"/>
    <w:rsid w:val="005559CC"/>
    <w:rsid w:val="005561DB"/>
    <w:rsid w:val="005563DB"/>
    <w:rsid w:val="0055640A"/>
    <w:rsid w:val="00556DAD"/>
    <w:rsid w:val="00556E9E"/>
    <w:rsid w:val="0055702A"/>
    <w:rsid w:val="0055713B"/>
    <w:rsid w:val="00557A94"/>
    <w:rsid w:val="005610C8"/>
    <w:rsid w:val="005613C5"/>
    <w:rsid w:val="0056209E"/>
    <w:rsid w:val="005622B0"/>
    <w:rsid w:val="00562ECA"/>
    <w:rsid w:val="00562FFC"/>
    <w:rsid w:val="00563F1E"/>
    <w:rsid w:val="0056411E"/>
    <w:rsid w:val="005643D2"/>
    <w:rsid w:val="005647D2"/>
    <w:rsid w:val="00564D06"/>
    <w:rsid w:val="00565FD7"/>
    <w:rsid w:val="0056616D"/>
    <w:rsid w:val="005666D6"/>
    <w:rsid w:val="00566A41"/>
    <w:rsid w:val="00566B63"/>
    <w:rsid w:val="0057060B"/>
    <w:rsid w:val="00570BD1"/>
    <w:rsid w:val="00571DE7"/>
    <w:rsid w:val="00571F7D"/>
    <w:rsid w:val="00572A67"/>
    <w:rsid w:val="00573181"/>
    <w:rsid w:val="00573690"/>
    <w:rsid w:val="00573BA6"/>
    <w:rsid w:val="0057413A"/>
    <w:rsid w:val="00574CC6"/>
    <w:rsid w:val="005753B9"/>
    <w:rsid w:val="0057543E"/>
    <w:rsid w:val="005754CF"/>
    <w:rsid w:val="00575A30"/>
    <w:rsid w:val="00575EF2"/>
    <w:rsid w:val="00576626"/>
    <w:rsid w:val="00576644"/>
    <w:rsid w:val="005778D9"/>
    <w:rsid w:val="0058048D"/>
    <w:rsid w:val="005810D4"/>
    <w:rsid w:val="00582415"/>
    <w:rsid w:val="0058254D"/>
    <w:rsid w:val="00582F63"/>
    <w:rsid w:val="00583ABB"/>
    <w:rsid w:val="00583C8C"/>
    <w:rsid w:val="00583E08"/>
    <w:rsid w:val="00584319"/>
    <w:rsid w:val="00584AA7"/>
    <w:rsid w:val="005850EF"/>
    <w:rsid w:val="005853A3"/>
    <w:rsid w:val="00585C8F"/>
    <w:rsid w:val="0058686D"/>
    <w:rsid w:val="0058700B"/>
    <w:rsid w:val="00587360"/>
    <w:rsid w:val="00587E10"/>
    <w:rsid w:val="005905AA"/>
    <w:rsid w:val="0059081D"/>
    <w:rsid w:val="00590FBE"/>
    <w:rsid w:val="005928BE"/>
    <w:rsid w:val="005942F8"/>
    <w:rsid w:val="0059438D"/>
    <w:rsid w:val="00594E6E"/>
    <w:rsid w:val="0059518D"/>
    <w:rsid w:val="00595D54"/>
    <w:rsid w:val="00596385"/>
    <w:rsid w:val="0059666E"/>
    <w:rsid w:val="005975E5"/>
    <w:rsid w:val="00597847"/>
    <w:rsid w:val="005A01EC"/>
    <w:rsid w:val="005A1146"/>
    <w:rsid w:val="005A1B9B"/>
    <w:rsid w:val="005A24F3"/>
    <w:rsid w:val="005A2F5B"/>
    <w:rsid w:val="005A36B1"/>
    <w:rsid w:val="005A3782"/>
    <w:rsid w:val="005A37AB"/>
    <w:rsid w:val="005A441F"/>
    <w:rsid w:val="005A4C18"/>
    <w:rsid w:val="005A4D91"/>
    <w:rsid w:val="005A5AA8"/>
    <w:rsid w:val="005A6005"/>
    <w:rsid w:val="005A6C72"/>
    <w:rsid w:val="005A752E"/>
    <w:rsid w:val="005A7D3F"/>
    <w:rsid w:val="005B0368"/>
    <w:rsid w:val="005B0731"/>
    <w:rsid w:val="005B0929"/>
    <w:rsid w:val="005B142E"/>
    <w:rsid w:val="005B1753"/>
    <w:rsid w:val="005B1859"/>
    <w:rsid w:val="005B1B65"/>
    <w:rsid w:val="005B1E14"/>
    <w:rsid w:val="005B249E"/>
    <w:rsid w:val="005B2582"/>
    <w:rsid w:val="005B3869"/>
    <w:rsid w:val="005B405E"/>
    <w:rsid w:val="005B45E0"/>
    <w:rsid w:val="005B46DA"/>
    <w:rsid w:val="005B48CD"/>
    <w:rsid w:val="005B576C"/>
    <w:rsid w:val="005B6284"/>
    <w:rsid w:val="005B652A"/>
    <w:rsid w:val="005B662F"/>
    <w:rsid w:val="005B6BD1"/>
    <w:rsid w:val="005B6CCD"/>
    <w:rsid w:val="005B7948"/>
    <w:rsid w:val="005B7B55"/>
    <w:rsid w:val="005C02D1"/>
    <w:rsid w:val="005C0363"/>
    <w:rsid w:val="005C113E"/>
    <w:rsid w:val="005C18BF"/>
    <w:rsid w:val="005C18DA"/>
    <w:rsid w:val="005C2EA7"/>
    <w:rsid w:val="005C34BE"/>
    <w:rsid w:val="005C3A05"/>
    <w:rsid w:val="005C3BB2"/>
    <w:rsid w:val="005C3FF8"/>
    <w:rsid w:val="005C4889"/>
    <w:rsid w:val="005C4902"/>
    <w:rsid w:val="005C4A0C"/>
    <w:rsid w:val="005C4B27"/>
    <w:rsid w:val="005C5661"/>
    <w:rsid w:val="005C6A68"/>
    <w:rsid w:val="005C70F0"/>
    <w:rsid w:val="005C72CE"/>
    <w:rsid w:val="005D0808"/>
    <w:rsid w:val="005D135E"/>
    <w:rsid w:val="005D2315"/>
    <w:rsid w:val="005D23EB"/>
    <w:rsid w:val="005D31C1"/>
    <w:rsid w:val="005D3805"/>
    <w:rsid w:val="005D3BB6"/>
    <w:rsid w:val="005D4594"/>
    <w:rsid w:val="005D487B"/>
    <w:rsid w:val="005D514C"/>
    <w:rsid w:val="005D573F"/>
    <w:rsid w:val="005D6330"/>
    <w:rsid w:val="005D66FD"/>
    <w:rsid w:val="005D6842"/>
    <w:rsid w:val="005D78AC"/>
    <w:rsid w:val="005D7AEA"/>
    <w:rsid w:val="005D7D18"/>
    <w:rsid w:val="005E0134"/>
    <w:rsid w:val="005E0179"/>
    <w:rsid w:val="005E0B82"/>
    <w:rsid w:val="005E1341"/>
    <w:rsid w:val="005E13FF"/>
    <w:rsid w:val="005E1AA8"/>
    <w:rsid w:val="005E1CA1"/>
    <w:rsid w:val="005E32D0"/>
    <w:rsid w:val="005E3DD4"/>
    <w:rsid w:val="005E4596"/>
    <w:rsid w:val="005E492B"/>
    <w:rsid w:val="005E4DC5"/>
    <w:rsid w:val="005E4E62"/>
    <w:rsid w:val="005E5061"/>
    <w:rsid w:val="005E5658"/>
    <w:rsid w:val="005E59DA"/>
    <w:rsid w:val="005E59DE"/>
    <w:rsid w:val="005E5B33"/>
    <w:rsid w:val="005E5BBE"/>
    <w:rsid w:val="005E5C0F"/>
    <w:rsid w:val="005E6148"/>
    <w:rsid w:val="005E6FBB"/>
    <w:rsid w:val="005E7DD5"/>
    <w:rsid w:val="005E7FDE"/>
    <w:rsid w:val="005F01D9"/>
    <w:rsid w:val="005F0606"/>
    <w:rsid w:val="005F0BF7"/>
    <w:rsid w:val="005F137D"/>
    <w:rsid w:val="005F15F7"/>
    <w:rsid w:val="005F17B9"/>
    <w:rsid w:val="005F26F1"/>
    <w:rsid w:val="005F2A26"/>
    <w:rsid w:val="005F3D24"/>
    <w:rsid w:val="005F42A8"/>
    <w:rsid w:val="005F4BEA"/>
    <w:rsid w:val="005F5112"/>
    <w:rsid w:val="005F53DA"/>
    <w:rsid w:val="005F586D"/>
    <w:rsid w:val="005F5BBF"/>
    <w:rsid w:val="005F61B3"/>
    <w:rsid w:val="005F6844"/>
    <w:rsid w:val="005F6E99"/>
    <w:rsid w:val="005F769A"/>
    <w:rsid w:val="00600536"/>
    <w:rsid w:val="0060105F"/>
    <w:rsid w:val="00601186"/>
    <w:rsid w:val="0060255A"/>
    <w:rsid w:val="006025A9"/>
    <w:rsid w:val="00602855"/>
    <w:rsid w:val="00604493"/>
    <w:rsid w:val="00604AE1"/>
    <w:rsid w:val="00604D01"/>
    <w:rsid w:val="00605536"/>
    <w:rsid w:val="0060678D"/>
    <w:rsid w:val="00606A45"/>
    <w:rsid w:val="00606D4A"/>
    <w:rsid w:val="0060710B"/>
    <w:rsid w:val="00607459"/>
    <w:rsid w:val="00607A59"/>
    <w:rsid w:val="00607ED7"/>
    <w:rsid w:val="00610134"/>
    <w:rsid w:val="0061087F"/>
    <w:rsid w:val="006114EB"/>
    <w:rsid w:val="006115AE"/>
    <w:rsid w:val="006117E7"/>
    <w:rsid w:val="00611C37"/>
    <w:rsid w:val="00611D42"/>
    <w:rsid w:val="00611E03"/>
    <w:rsid w:val="00612098"/>
    <w:rsid w:val="00612947"/>
    <w:rsid w:val="006130FE"/>
    <w:rsid w:val="00613455"/>
    <w:rsid w:val="006142EB"/>
    <w:rsid w:val="00614B9E"/>
    <w:rsid w:val="00614FEC"/>
    <w:rsid w:val="00615BB6"/>
    <w:rsid w:val="00615E9E"/>
    <w:rsid w:val="0061610D"/>
    <w:rsid w:val="006179B4"/>
    <w:rsid w:val="00617D45"/>
    <w:rsid w:val="00617D64"/>
    <w:rsid w:val="00617DF5"/>
    <w:rsid w:val="00620A8B"/>
    <w:rsid w:val="00622EC9"/>
    <w:rsid w:val="006242A9"/>
    <w:rsid w:val="0062432B"/>
    <w:rsid w:val="006244C6"/>
    <w:rsid w:val="00624FA6"/>
    <w:rsid w:val="00625B1C"/>
    <w:rsid w:val="00625BDB"/>
    <w:rsid w:val="00626932"/>
    <w:rsid w:val="00626A3D"/>
    <w:rsid w:val="00626FCE"/>
    <w:rsid w:val="00627089"/>
    <w:rsid w:val="006271D8"/>
    <w:rsid w:val="006272B6"/>
    <w:rsid w:val="00627304"/>
    <w:rsid w:val="0063090E"/>
    <w:rsid w:val="00630C45"/>
    <w:rsid w:val="00630E37"/>
    <w:rsid w:val="006313DD"/>
    <w:rsid w:val="00631990"/>
    <w:rsid w:val="00631E7F"/>
    <w:rsid w:val="00633225"/>
    <w:rsid w:val="006337D2"/>
    <w:rsid w:val="00633EF7"/>
    <w:rsid w:val="00634AD2"/>
    <w:rsid w:val="006353F0"/>
    <w:rsid w:val="0063572B"/>
    <w:rsid w:val="006357FE"/>
    <w:rsid w:val="00635B86"/>
    <w:rsid w:val="006367ED"/>
    <w:rsid w:val="0063698C"/>
    <w:rsid w:val="00636F1F"/>
    <w:rsid w:val="00637769"/>
    <w:rsid w:val="00637F1A"/>
    <w:rsid w:val="00640CD0"/>
    <w:rsid w:val="00640FC6"/>
    <w:rsid w:val="00641984"/>
    <w:rsid w:val="00642D9A"/>
    <w:rsid w:val="00644496"/>
    <w:rsid w:val="006445EB"/>
    <w:rsid w:val="00644D80"/>
    <w:rsid w:val="00645195"/>
    <w:rsid w:val="0064538F"/>
    <w:rsid w:val="00645B32"/>
    <w:rsid w:val="00646142"/>
    <w:rsid w:val="00647268"/>
    <w:rsid w:val="006475BD"/>
    <w:rsid w:val="00647730"/>
    <w:rsid w:val="00650939"/>
    <w:rsid w:val="00650CE6"/>
    <w:rsid w:val="00651186"/>
    <w:rsid w:val="006513FF"/>
    <w:rsid w:val="00651609"/>
    <w:rsid w:val="00651871"/>
    <w:rsid w:val="00652F26"/>
    <w:rsid w:val="00653943"/>
    <w:rsid w:val="00653B08"/>
    <w:rsid w:val="00654408"/>
    <w:rsid w:val="00654A40"/>
    <w:rsid w:val="00654C6E"/>
    <w:rsid w:val="00655715"/>
    <w:rsid w:val="00656034"/>
    <w:rsid w:val="006577FD"/>
    <w:rsid w:val="006579EE"/>
    <w:rsid w:val="00657BA5"/>
    <w:rsid w:val="00657EC9"/>
    <w:rsid w:val="0066047F"/>
    <w:rsid w:val="00660483"/>
    <w:rsid w:val="00660604"/>
    <w:rsid w:val="00660A1B"/>
    <w:rsid w:val="00660D28"/>
    <w:rsid w:val="00660E29"/>
    <w:rsid w:val="006614B1"/>
    <w:rsid w:val="0066276E"/>
    <w:rsid w:val="006628C0"/>
    <w:rsid w:val="006637C4"/>
    <w:rsid w:val="00664407"/>
    <w:rsid w:val="006644B2"/>
    <w:rsid w:val="00664938"/>
    <w:rsid w:val="006652FA"/>
    <w:rsid w:val="00665CC2"/>
    <w:rsid w:val="00665E7D"/>
    <w:rsid w:val="0066715B"/>
    <w:rsid w:val="00667C69"/>
    <w:rsid w:val="00667CAC"/>
    <w:rsid w:val="00667F5D"/>
    <w:rsid w:val="00670CE3"/>
    <w:rsid w:val="00670E5A"/>
    <w:rsid w:val="006711C0"/>
    <w:rsid w:val="006717C2"/>
    <w:rsid w:val="006719DA"/>
    <w:rsid w:val="00671F69"/>
    <w:rsid w:val="0067283C"/>
    <w:rsid w:val="006734DE"/>
    <w:rsid w:val="00674877"/>
    <w:rsid w:val="0067635A"/>
    <w:rsid w:val="006763C8"/>
    <w:rsid w:val="0067718C"/>
    <w:rsid w:val="00681F07"/>
    <w:rsid w:val="006835DF"/>
    <w:rsid w:val="0068390B"/>
    <w:rsid w:val="00683C77"/>
    <w:rsid w:val="006841E4"/>
    <w:rsid w:val="00685F80"/>
    <w:rsid w:val="00686099"/>
    <w:rsid w:val="006868BA"/>
    <w:rsid w:val="00687265"/>
    <w:rsid w:val="00690073"/>
    <w:rsid w:val="0069120A"/>
    <w:rsid w:val="00691A6A"/>
    <w:rsid w:val="0069219B"/>
    <w:rsid w:val="006924C8"/>
    <w:rsid w:val="0069261A"/>
    <w:rsid w:val="006936EF"/>
    <w:rsid w:val="006938F5"/>
    <w:rsid w:val="0069420A"/>
    <w:rsid w:val="006950FD"/>
    <w:rsid w:val="0069551D"/>
    <w:rsid w:val="006955FA"/>
    <w:rsid w:val="006961F0"/>
    <w:rsid w:val="00696249"/>
    <w:rsid w:val="00696408"/>
    <w:rsid w:val="006966B1"/>
    <w:rsid w:val="006968CE"/>
    <w:rsid w:val="00696A4C"/>
    <w:rsid w:val="00696DD9"/>
    <w:rsid w:val="00697467"/>
    <w:rsid w:val="006A0ED2"/>
    <w:rsid w:val="006A14DE"/>
    <w:rsid w:val="006A164A"/>
    <w:rsid w:val="006A16F6"/>
    <w:rsid w:val="006A24DB"/>
    <w:rsid w:val="006A256A"/>
    <w:rsid w:val="006A2D13"/>
    <w:rsid w:val="006A2DD8"/>
    <w:rsid w:val="006A35D5"/>
    <w:rsid w:val="006A405D"/>
    <w:rsid w:val="006A4240"/>
    <w:rsid w:val="006A4A71"/>
    <w:rsid w:val="006A524E"/>
    <w:rsid w:val="006B00D8"/>
    <w:rsid w:val="006B0683"/>
    <w:rsid w:val="006B0FC2"/>
    <w:rsid w:val="006B0FC7"/>
    <w:rsid w:val="006B1731"/>
    <w:rsid w:val="006B199D"/>
    <w:rsid w:val="006B1A1B"/>
    <w:rsid w:val="006B1F56"/>
    <w:rsid w:val="006B1F9B"/>
    <w:rsid w:val="006B222E"/>
    <w:rsid w:val="006B2442"/>
    <w:rsid w:val="006B2C09"/>
    <w:rsid w:val="006B2C5A"/>
    <w:rsid w:val="006B3C32"/>
    <w:rsid w:val="006B4898"/>
    <w:rsid w:val="006B50C4"/>
    <w:rsid w:val="006B5396"/>
    <w:rsid w:val="006B53B9"/>
    <w:rsid w:val="006B5DBE"/>
    <w:rsid w:val="006B5E03"/>
    <w:rsid w:val="006B6658"/>
    <w:rsid w:val="006B761C"/>
    <w:rsid w:val="006C0597"/>
    <w:rsid w:val="006C06A2"/>
    <w:rsid w:val="006C08E7"/>
    <w:rsid w:val="006C12C5"/>
    <w:rsid w:val="006C35A8"/>
    <w:rsid w:val="006C372E"/>
    <w:rsid w:val="006C4157"/>
    <w:rsid w:val="006C4EE7"/>
    <w:rsid w:val="006C5165"/>
    <w:rsid w:val="006C546F"/>
    <w:rsid w:val="006C58AC"/>
    <w:rsid w:val="006C5D36"/>
    <w:rsid w:val="006C6431"/>
    <w:rsid w:val="006C6C7A"/>
    <w:rsid w:val="006C6DE5"/>
    <w:rsid w:val="006C6EA9"/>
    <w:rsid w:val="006C718D"/>
    <w:rsid w:val="006C7B58"/>
    <w:rsid w:val="006D0624"/>
    <w:rsid w:val="006D06EA"/>
    <w:rsid w:val="006D097E"/>
    <w:rsid w:val="006D1C74"/>
    <w:rsid w:val="006D2701"/>
    <w:rsid w:val="006D2A16"/>
    <w:rsid w:val="006D3079"/>
    <w:rsid w:val="006D3853"/>
    <w:rsid w:val="006D47C3"/>
    <w:rsid w:val="006D5996"/>
    <w:rsid w:val="006D5A1D"/>
    <w:rsid w:val="006D5D34"/>
    <w:rsid w:val="006D5ED9"/>
    <w:rsid w:val="006D670E"/>
    <w:rsid w:val="006D7287"/>
    <w:rsid w:val="006D7DB9"/>
    <w:rsid w:val="006D7E57"/>
    <w:rsid w:val="006E0016"/>
    <w:rsid w:val="006E0825"/>
    <w:rsid w:val="006E0AEF"/>
    <w:rsid w:val="006E0C68"/>
    <w:rsid w:val="006E1181"/>
    <w:rsid w:val="006E1E3E"/>
    <w:rsid w:val="006E221D"/>
    <w:rsid w:val="006E2313"/>
    <w:rsid w:val="006E2F49"/>
    <w:rsid w:val="006E3709"/>
    <w:rsid w:val="006E38B4"/>
    <w:rsid w:val="006E4A72"/>
    <w:rsid w:val="006E4D5F"/>
    <w:rsid w:val="006E524B"/>
    <w:rsid w:val="006E5962"/>
    <w:rsid w:val="006E637B"/>
    <w:rsid w:val="006E63FC"/>
    <w:rsid w:val="006E6504"/>
    <w:rsid w:val="006E7368"/>
    <w:rsid w:val="006E75F5"/>
    <w:rsid w:val="006E7AB8"/>
    <w:rsid w:val="006F0E34"/>
    <w:rsid w:val="006F19A5"/>
    <w:rsid w:val="006F3085"/>
    <w:rsid w:val="006F34A3"/>
    <w:rsid w:val="006F3A56"/>
    <w:rsid w:val="006F3B7D"/>
    <w:rsid w:val="006F41C9"/>
    <w:rsid w:val="006F54D3"/>
    <w:rsid w:val="006F5B2B"/>
    <w:rsid w:val="006F5C84"/>
    <w:rsid w:val="006F657F"/>
    <w:rsid w:val="006F6605"/>
    <w:rsid w:val="006F67B6"/>
    <w:rsid w:val="006F6864"/>
    <w:rsid w:val="006F7111"/>
    <w:rsid w:val="006F73B7"/>
    <w:rsid w:val="006F7AC1"/>
    <w:rsid w:val="006F7D73"/>
    <w:rsid w:val="006F7DAB"/>
    <w:rsid w:val="007000FF"/>
    <w:rsid w:val="007003FA"/>
    <w:rsid w:val="00700A97"/>
    <w:rsid w:val="00700CFE"/>
    <w:rsid w:val="00701542"/>
    <w:rsid w:val="00701845"/>
    <w:rsid w:val="0070189C"/>
    <w:rsid w:val="00701DC6"/>
    <w:rsid w:val="007037F4"/>
    <w:rsid w:val="00703F1F"/>
    <w:rsid w:val="00705772"/>
    <w:rsid w:val="00706843"/>
    <w:rsid w:val="00707296"/>
    <w:rsid w:val="0070783E"/>
    <w:rsid w:val="00707B32"/>
    <w:rsid w:val="00710045"/>
    <w:rsid w:val="00710F3F"/>
    <w:rsid w:val="007124BE"/>
    <w:rsid w:val="00712930"/>
    <w:rsid w:val="00712965"/>
    <w:rsid w:val="00712C84"/>
    <w:rsid w:val="00712D3C"/>
    <w:rsid w:val="007133A7"/>
    <w:rsid w:val="00713C52"/>
    <w:rsid w:val="007152D1"/>
    <w:rsid w:val="007153BA"/>
    <w:rsid w:val="00720213"/>
    <w:rsid w:val="007206F9"/>
    <w:rsid w:val="007211EA"/>
    <w:rsid w:val="007217C3"/>
    <w:rsid w:val="00721C7C"/>
    <w:rsid w:val="00721E8F"/>
    <w:rsid w:val="00722278"/>
    <w:rsid w:val="00722B8B"/>
    <w:rsid w:val="00723FAA"/>
    <w:rsid w:val="007240A9"/>
    <w:rsid w:val="007241D3"/>
    <w:rsid w:val="00724E97"/>
    <w:rsid w:val="00724F36"/>
    <w:rsid w:val="00725033"/>
    <w:rsid w:val="00725115"/>
    <w:rsid w:val="0072555E"/>
    <w:rsid w:val="007257D0"/>
    <w:rsid w:val="00727A44"/>
    <w:rsid w:val="00727C7B"/>
    <w:rsid w:val="00732721"/>
    <w:rsid w:val="00733C65"/>
    <w:rsid w:val="0073411F"/>
    <w:rsid w:val="00734995"/>
    <w:rsid w:val="00734C14"/>
    <w:rsid w:val="00736423"/>
    <w:rsid w:val="00736527"/>
    <w:rsid w:val="00736B8A"/>
    <w:rsid w:val="007376E3"/>
    <w:rsid w:val="0073795D"/>
    <w:rsid w:val="00737ADA"/>
    <w:rsid w:val="00737B63"/>
    <w:rsid w:val="00737E20"/>
    <w:rsid w:val="00740650"/>
    <w:rsid w:val="00740CB2"/>
    <w:rsid w:val="007412A9"/>
    <w:rsid w:val="00741C27"/>
    <w:rsid w:val="00741EAF"/>
    <w:rsid w:val="00742F52"/>
    <w:rsid w:val="007432E5"/>
    <w:rsid w:val="00743F8D"/>
    <w:rsid w:val="0074426E"/>
    <w:rsid w:val="007448DE"/>
    <w:rsid w:val="00744B1D"/>
    <w:rsid w:val="00744B64"/>
    <w:rsid w:val="007451C8"/>
    <w:rsid w:val="007452F9"/>
    <w:rsid w:val="007460DC"/>
    <w:rsid w:val="0074773C"/>
    <w:rsid w:val="0074795F"/>
    <w:rsid w:val="00747FCF"/>
    <w:rsid w:val="007515E6"/>
    <w:rsid w:val="007519EC"/>
    <w:rsid w:val="00751B6F"/>
    <w:rsid w:val="0075289A"/>
    <w:rsid w:val="00752D35"/>
    <w:rsid w:val="00753A12"/>
    <w:rsid w:val="0075404A"/>
    <w:rsid w:val="007547A9"/>
    <w:rsid w:val="00755287"/>
    <w:rsid w:val="00755613"/>
    <w:rsid w:val="007563A7"/>
    <w:rsid w:val="00756C64"/>
    <w:rsid w:val="0075794D"/>
    <w:rsid w:val="00757D2C"/>
    <w:rsid w:val="0076169A"/>
    <w:rsid w:val="007616E1"/>
    <w:rsid w:val="00761834"/>
    <w:rsid w:val="00761C2D"/>
    <w:rsid w:val="00761FC6"/>
    <w:rsid w:val="007624BF"/>
    <w:rsid w:val="00765778"/>
    <w:rsid w:val="00765F7B"/>
    <w:rsid w:val="007668F1"/>
    <w:rsid w:val="00766930"/>
    <w:rsid w:val="00766AFD"/>
    <w:rsid w:val="00766DDA"/>
    <w:rsid w:val="00766FDF"/>
    <w:rsid w:val="007671CD"/>
    <w:rsid w:val="00767CA7"/>
    <w:rsid w:val="0077010C"/>
    <w:rsid w:val="00770F82"/>
    <w:rsid w:val="00771D85"/>
    <w:rsid w:val="007726A5"/>
    <w:rsid w:val="00772A48"/>
    <w:rsid w:val="00772CA7"/>
    <w:rsid w:val="00772DB2"/>
    <w:rsid w:val="00773211"/>
    <w:rsid w:val="00773583"/>
    <w:rsid w:val="007735DB"/>
    <w:rsid w:val="00773B39"/>
    <w:rsid w:val="00773CC0"/>
    <w:rsid w:val="00775050"/>
    <w:rsid w:val="00775196"/>
    <w:rsid w:val="007753F9"/>
    <w:rsid w:val="00775871"/>
    <w:rsid w:val="00775DEB"/>
    <w:rsid w:val="00776790"/>
    <w:rsid w:val="007803BD"/>
    <w:rsid w:val="007804A8"/>
    <w:rsid w:val="00780BB5"/>
    <w:rsid w:val="00780DFA"/>
    <w:rsid w:val="00781806"/>
    <w:rsid w:val="00782E02"/>
    <w:rsid w:val="007843B2"/>
    <w:rsid w:val="0078514D"/>
    <w:rsid w:val="007857AF"/>
    <w:rsid w:val="00786400"/>
    <w:rsid w:val="00787252"/>
    <w:rsid w:val="007872D3"/>
    <w:rsid w:val="007874F6"/>
    <w:rsid w:val="00787CC4"/>
    <w:rsid w:val="00787DEF"/>
    <w:rsid w:val="00790745"/>
    <w:rsid w:val="007914BF"/>
    <w:rsid w:val="0079171D"/>
    <w:rsid w:val="00792136"/>
    <w:rsid w:val="00792873"/>
    <w:rsid w:val="00794002"/>
    <w:rsid w:val="0079491E"/>
    <w:rsid w:val="00794ED9"/>
    <w:rsid w:val="00795271"/>
    <w:rsid w:val="00795290"/>
    <w:rsid w:val="00795AD5"/>
    <w:rsid w:val="00795F93"/>
    <w:rsid w:val="0079618F"/>
    <w:rsid w:val="007969F4"/>
    <w:rsid w:val="0079767F"/>
    <w:rsid w:val="007A0460"/>
    <w:rsid w:val="007A13E1"/>
    <w:rsid w:val="007A199F"/>
    <w:rsid w:val="007A19C2"/>
    <w:rsid w:val="007A1BC3"/>
    <w:rsid w:val="007A1F3C"/>
    <w:rsid w:val="007A2028"/>
    <w:rsid w:val="007A22F5"/>
    <w:rsid w:val="007A242D"/>
    <w:rsid w:val="007A2612"/>
    <w:rsid w:val="007A2CA3"/>
    <w:rsid w:val="007A329A"/>
    <w:rsid w:val="007A3925"/>
    <w:rsid w:val="007A3BFE"/>
    <w:rsid w:val="007A4FB1"/>
    <w:rsid w:val="007A52A8"/>
    <w:rsid w:val="007A564C"/>
    <w:rsid w:val="007A59E1"/>
    <w:rsid w:val="007A63A4"/>
    <w:rsid w:val="007A6912"/>
    <w:rsid w:val="007A6CDC"/>
    <w:rsid w:val="007B00D1"/>
    <w:rsid w:val="007B04F9"/>
    <w:rsid w:val="007B1063"/>
    <w:rsid w:val="007B1985"/>
    <w:rsid w:val="007B326D"/>
    <w:rsid w:val="007B36DD"/>
    <w:rsid w:val="007B3FE4"/>
    <w:rsid w:val="007B4185"/>
    <w:rsid w:val="007B4377"/>
    <w:rsid w:val="007B44D1"/>
    <w:rsid w:val="007B45F5"/>
    <w:rsid w:val="007B4F24"/>
    <w:rsid w:val="007B5F3A"/>
    <w:rsid w:val="007B7125"/>
    <w:rsid w:val="007B783B"/>
    <w:rsid w:val="007B79D8"/>
    <w:rsid w:val="007C01B6"/>
    <w:rsid w:val="007C021C"/>
    <w:rsid w:val="007C114D"/>
    <w:rsid w:val="007C17D0"/>
    <w:rsid w:val="007C28D9"/>
    <w:rsid w:val="007C2EC1"/>
    <w:rsid w:val="007C2FDC"/>
    <w:rsid w:val="007C32F0"/>
    <w:rsid w:val="007C436F"/>
    <w:rsid w:val="007C490D"/>
    <w:rsid w:val="007C5CE2"/>
    <w:rsid w:val="007C60DE"/>
    <w:rsid w:val="007C631D"/>
    <w:rsid w:val="007C64AD"/>
    <w:rsid w:val="007C6D9E"/>
    <w:rsid w:val="007C74B4"/>
    <w:rsid w:val="007C7AAC"/>
    <w:rsid w:val="007C7AEE"/>
    <w:rsid w:val="007C7B77"/>
    <w:rsid w:val="007D0485"/>
    <w:rsid w:val="007D04CA"/>
    <w:rsid w:val="007D075A"/>
    <w:rsid w:val="007D1C43"/>
    <w:rsid w:val="007D2368"/>
    <w:rsid w:val="007D2560"/>
    <w:rsid w:val="007D2975"/>
    <w:rsid w:val="007D2DCF"/>
    <w:rsid w:val="007D34FF"/>
    <w:rsid w:val="007D37CB"/>
    <w:rsid w:val="007D3C6F"/>
    <w:rsid w:val="007D4108"/>
    <w:rsid w:val="007D45ED"/>
    <w:rsid w:val="007D49D4"/>
    <w:rsid w:val="007D4C84"/>
    <w:rsid w:val="007D5633"/>
    <w:rsid w:val="007D61BA"/>
    <w:rsid w:val="007D63D5"/>
    <w:rsid w:val="007D67F1"/>
    <w:rsid w:val="007D76FB"/>
    <w:rsid w:val="007D78CC"/>
    <w:rsid w:val="007E1020"/>
    <w:rsid w:val="007E1B98"/>
    <w:rsid w:val="007E1C50"/>
    <w:rsid w:val="007E1EE4"/>
    <w:rsid w:val="007E2111"/>
    <w:rsid w:val="007E25CB"/>
    <w:rsid w:val="007E2633"/>
    <w:rsid w:val="007E2740"/>
    <w:rsid w:val="007E28D3"/>
    <w:rsid w:val="007E2D7D"/>
    <w:rsid w:val="007E3246"/>
    <w:rsid w:val="007E325B"/>
    <w:rsid w:val="007E3793"/>
    <w:rsid w:val="007E3B04"/>
    <w:rsid w:val="007E3B05"/>
    <w:rsid w:val="007E3EE5"/>
    <w:rsid w:val="007E4F75"/>
    <w:rsid w:val="007E5413"/>
    <w:rsid w:val="007E5488"/>
    <w:rsid w:val="007E55CB"/>
    <w:rsid w:val="007E5B46"/>
    <w:rsid w:val="007E745B"/>
    <w:rsid w:val="007E765F"/>
    <w:rsid w:val="007E7769"/>
    <w:rsid w:val="007E7B4B"/>
    <w:rsid w:val="007F061C"/>
    <w:rsid w:val="007F0CF5"/>
    <w:rsid w:val="007F118C"/>
    <w:rsid w:val="007F13FC"/>
    <w:rsid w:val="007F1A23"/>
    <w:rsid w:val="007F2931"/>
    <w:rsid w:val="007F2F5F"/>
    <w:rsid w:val="007F405E"/>
    <w:rsid w:val="007F5525"/>
    <w:rsid w:val="007F55E0"/>
    <w:rsid w:val="007F563D"/>
    <w:rsid w:val="007F5701"/>
    <w:rsid w:val="007F57B5"/>
    <w:rsid w:val="007F76D6"/>
    <w:rsid w:val="007F76FD"/>
    <w:rsid w:val="0080006F"/>
    <w:rsid w:val="00800291"/>
    <w:rsid w:val="00800660"/>
    <w:rsid w:val="008006AC"/>
    <w:rsid w:val="00800836"/>
    <w:rsid w:val="00800DDE"/>
    <w:rsid w:val="00800EA5"/>
    <w:rsid w:val="008017A0"/>
    <w:rsid w:val="00801A26"/>
    <w:rsid w:val="00801F2F"/>
    <w:rsid w:val="008023D9"/>
    <w:rsid w:val="0080241E"/>
    <w:rsid w:val="00802E06"/>
    <w:rsid w:val="008031D9"/>
    <w:rsid w:val="0080452D"/>
    <w:rsid w:val="00805F8F"/>
    <w:rsid w:val="00806C4E"/>
    <w:rsid w:val="008076F6"/>
    <w:rsid w:val="00810769"/>
    <w:rsid w:val="00811ACD"/>
    <w:rsid w:val="00812B04"/>
    <w:rsid w:val="008134D3"/>
    <w:rsid w:val="0081350F"/>
    <w:rsid w:val="0081370F"/>
    <w:rsid w:val="008137D3"/>
    <w:rsid w:val="008139BC"/>
    <w:rsid w:val="00813A7F"/>
    <w:rsid w:val="00814475"/>
    <w:rsid w:val="008151BA"/>
    <w:rsid w:val="0081526A"/>
    <w:rsid w:val="00816F2D"/>
    <w:rsid w:val="0081737A"/>
    <w:rsid w:val="00817A76"/>
    <w:rsid w:val="00817ADA"/>
    <w:rsid w:val="00820448"/>
    <w:rsid w:val="00820619"/>
    <w:rsid w:val="00820725"/>
    <w:rsid w:val="008207F8"/>
    <w:rsid w:val="00820817"/>
    <w:rsid w:val="00821EC6"/>
    <w:rsid w:val="00822115"/>
    <w:rsid w:val="00822A20"/>
    <w:rsid w:val="00822D86"/>
    <w:rsid w:val="0082309E"/>
    <w:rsid w:val="008236D8"/>
    <w:rsid w:val="0082456B"/>
    <w:rsid w:val="008249F5"/>
    <w:rsid w:val="00824D42"/>
    <w:rsid w:val="008258EE"/>
    <w:rsid w:val="00825D88"/>
    <w:rsid w:val="00826B0B"/>
    <w:rsid w:val="00827828"/>
    <w:rsid w:val="008309D4"/>
    <w:rsid w:val="00832CC8"/>
    <w:rsid w:val="00834658"/>
    <w:rsid w:val="008349C5"/>
    <w:rsid w:val="008358FC"/>
    <w:rsid w:val="00835E56"/>
    <w:rsid w:val="00836028"/>
    <w:rsid w:val="008360B4"/>
    <w:rsid w:val="00837128"/>
    <w:rsid w:val="008372E3"/>
    <w:rsid w:val="008376EC"/>
    <w:rsid w:val="0084068C"/>
    <w:rsid w:val="00840BC9"/>
    <w:rsid w:val="00841EBB"/>
    <w:rsid w:val="008425DC"/>
    <w:rsid w:val="00842E81"/>
    <w:rsid w:val="00843D51"/>
    <w:rsid w:val="00844F42"/>
    <w:rsid w:val="008450A2"/>
    <w:rsid w:val="00845702"/>
    <w:rsid w:val="00846182"/>
    <w:rsid w:val="00846B0E"/>
    <w:rsid w:val="00847025"/>
    <w:rsid w:val="00847320"/>
    <w:rsid w:val="008475E8"/>
    <w:rsid w:val="00847CFE"/>
    <w:rsid w:val="00847DE0"/>
    <w:rsid w:val="00850239"/>
    <w:rsid w:val="0085049A"/>
    <w:rsid w:val="008504DD"/>
    <w:rsid w:val="00850A2E"/>
    <w:rsid w:val="00850CD7"/>
    <w:rsid w:val="00850E5A"/>
    <w:rsid w:val="00851389"/>
    <w:rsid w:val="00851CD7"/>
    <w:rsid w:val="00851F8C"/>
    <w:rsid w:val="00851FC4"/>
    <w:rsid w:val="0085201F"/>
    <w:rsid w:val="00852502"/>
    <w:rsid w:val="00852950"/>
    <w:rsid w:val="008532FE"/>
    <w:rsid w:val="00853430"/>
    <w:rsid w:val="0085557D"/>
    <w:rsid w:val="00855EF4"/>
    <w:rsid w:val="0085602A"/>
    <w:rsid w:val="008563C9"/>
    <w:rsid w:val="00860937"/>
    <w:rsid w:val="00861507"/>
    <w:rsid w:val="00861988"/>
    <w:rsid w:val="008623AB"/>
    <w:rsid w:val="00862E8E"/>
    <w:rsid w:val="00863647"/>
    <w:rsid w:val="00863CF6"/>
    <w:rsid w:val="00863E22"/>
    <w:rsid w:val="00864C2F"/>
    <w:rsid w:val="008658FB"/>
    <w:rsid w:val="00866734"/>
    <w:rsid w:val="0086705A"/>
    <w:rsid w:val="00867C08"/>
    <w:rsid w:val="00867F94"/>
    <w:rsid w:val="0087016B"/>
    <w:rsid w:val="00870828"/>
    <w:rsid w:val="00870CCD"/>
    <w:rsid w:val="00870ED4"/>
    <w:rsid w:val="008713A6"/>
    <w:rsid w:val="00871442"/>
    <w:rsid w:val="00871F11"/>
    <w:rsid w:val="00872629"/>
    <w:rsid w:val="008731D8"/>
    <w:rsid w:val="00873328"/>
    <w:rsid w:val="008737AB"/>
    <w:rsid w:val="00873BF8"/>
    <w:rsid w:val="00873DD4"/>
    <w:rsid w:val="0087406D"/>
    <w:rsid w:val="008742C6"/>
    <w:rsid w:val="00874945"/>
    <w:rsid w:val="008758EF"/>
    <w:rsid w:val="00875A4A"/>
    <w:rsid w:val="00875B64"/>
    <w:rsid w:val="00875F33"/>
    <w:rsid w:val="008763D1"/>
    <w:rsid w:val="008764B3"/>
    <w:rsid w:val="008765C3"/>
    <w:rsid w:val="008766F8"/>
    <w:rsid w:val="008775EF"/>
    <w:rsid w:val="00877EB7"/>
    <w:rsid w:val="00880BE0"/>
    <w:rsid w:val="008811C3"/>
    <w:rsid w:val="00882AFF"/>
    <w:rsid w:val="00882CAB"/>
    <w:rsid w:val="00882D48"/>
    <w:rsid w:val="00882FA7"/>
    <w:rsid w:val="008841F5"/>
    <w:rsid w:val="0088524D"/>
    <w:rsid w:val="00885958"/>
    <w:rsid w:val="00885F31"/>
    <w:rsid w:val="008863C2"/>
    <w:rsid w:val="00887A19"/>
    <w:rsid w:val="00887C17"/>
    <w:rsid w:val="00887C2B"/>
    <w:rsid w:val="00887D15"/>
    <w:rsid w:val="00887FE1"/>
    <w:rsid w:val="008901B3"/>
    <w:rsid w:val="008921E3"/>
    <w:rsid w:val="00892EB1"/>
    <w:rsid w:val="008934BA"/>
    <w:rsid w:val="00893DB2"/>
    <w:rsid w:val="0089459D"/>
    <w:rsid w:val="00894A96"/>
    <w:rsid w:val="00895835"/>
    <w:rsid w:val="00896704"/>
    <w:rsid w:val="00896756"/>
    <w:rsid w:val="008971E0"/>
    <w:rsid w:val="008977F2"/>
    <w:rsid w:val="008979C2"/>
    <w:rsid w:val="008A054F"/>
    <w:rsid w:val="008A12F5"/>
    <w:rsid w:val="008A15CE"/>
    <w:rsid w:val="008A164C"/>
    <w:rsid w:val="008A229A"/>
    <w:rsid w:val="008A2C05"/>
    <w:rsid w:val="008A2D93"/>
    <w:rsid w:val="008A2DAD"/>
    <w:rsid w:val="008A3126"/>
    <w:rsid w:val="008A3423"/>
    <w:rsid w:val="008A376E"/>
    <w:rsid w:val="008A3F5B"/>
    <w:rsid w:val="008A45CE"/>
    <w:rsid w:val="008A5DFF"/>
    <w:rsid w:val="008A6B68"/>
    <w:rsid w:val="008A6E89"/>
    <w:rsid w:val="008A7150"/>
    <w:rsid w:val="008A71E8"/>
    <w:rsid w:val="008A7589"/>
    <w:rsid w:val="008A7A71"/>
    <w:rsid w:val="008B152B"/>
    <w:rsid w:val="008B1D18"/>
    <w:rsid w:val="008B2122"/>
    <w:rsid w:val="008B233C"/>
    <w:rsid w:val="008B2404"/>
    <w:rsid w:val="008B2A30"/>
    <w:rsid w:val="008B2BF4"/>
    <w:rsid w:val="008B2E9F"/>
    <w:rsid w:val="008B2F7D"/>
    <w:rsid w:val="008B3D8D"/>
    <w:rsid w:val="008B47B6"/>
    <w:rsid w:val="008B4ED2"/>
    <w:rsid w:val="008B509B"/>
    <w:rsid w:val="008B51FA"/>
    <w:rsid w:val="008B5858"/>
    <w:rsid w:val="008B636F"/>
    <w:rsid w:val="008B6719"/>
    <w:rsid w:val="008B686C"/>
    <w:rsid w:val="008B6919"/>
    <w:rsid w:val="008B7437"/>
    <w:rsid w:val="008B78F0"/>
    <w:rsid w:val="008C0D65"/>
    <w:rsid w:val="008C0E16"/>
    <w:rsid w:val="008C142C"/>
    <w:rsid w:val="008C15E9"/>
    <w:rsid w:val="008C1C2D"/>
    <w:rsid w:val="008C1C47"/>
    <w:rsid w:val="008C1C59"/>
    <w:rsid w:val="008C219A"/>
    <w:rsid w:val="008C2C58"/>
    <w:rsid w:val="008C2D2C"/>
    <w:rsid w:val="008C2F3D"/>
    <w:rsid w:val="008C38AD"/>
    <w:rsid w:val="008C3F21"/>
    <w:rsid w:val="008C4DF3"/>
    <w:rsid w:val="008C4F62"/>
    <w:rsid w:val="008C5AD5"/>
    <w:rsid w:val="008C60EF"/>
    <w:rsid w:val="008C6275"/>
    <w:rsid w:val="008C7092"/>
    <w:rsid w:val="008C734F"/>
    <w:rsid w:val="008C73CB"/>
    <w:rsid w:val="008C7AC9"/>
    <w:rsid w:val="008D10CA"/>
    <w:rsid w:val="008D168F"/>
    <w:rsid w:val="008D23BA"/>
    <w:rsid w:val="008D2890"/>
    <w:rsid w:val="008D29E8"/>
    <w:rsid w:val="008D3072"/>
    <w:rsid w:val="008D31D7"/>
    <w:rsid w:val="008D337C"/>
    <w:rsid w:val="008D415F"/>
    <w:rsid w:val="008D4330"/>
    <w:rsid w:val="008D433D"/>
    <w:rsid w:val="008D4445"/>
    <w:rsid w:val="008D4647"/>
    <w:rsid w:val="008D48C9"/>
    <w:rsid w:val="008D5716"/>
    <w:rsid w:val="008D5DCE"/>
    <w:rsid w:val="008D6A2F"/>
    <w:rsid w:val="008E168A"/>
    <w:rsid w:val="008E1D4D"/>
    <w:rsid w:val="008E310F"/>
    <w:rsid w:val="008E3819"/>
    <w:rsid w:val="008E4282"/>
    <w:rsid w:val="008E4B31"/>
    <w:rsid w:val="008E4E30"/>
    <w:rsid w:val="008E61D5"/>
    <w:rsid w:val="008E6474"/>
    <w:rsid w:val="008E6754"/>
    <w:rsid w:val="008E6BD6"/>
    <w:rsid w:val="008E6DEC"/>
    <w:rsid w:val="008E7A8C"/>
    <w:rsid w:val="008F0508"/>
    <w:rsid w:val="008F0C17"/>
    <w:rsid w:val="008F1856"/>
    <w:rsid w:val="008F1F5F"/>
    <w:rsid w:val="008F25A7"/>
    <w:rsid w:val="008F25E8"/>
    <w:rsid w:val="008F26CB"/>
    <w:rsid w:val="008F31B5"/>
    <w:rsid w:val="008F388A"/>
    <w:rsid w:val="008F4853"/>
    <w:rsid w:val="008F48D7"/>
    <w:rsid w:val="008F5484"/>
    <w:rsid w:val="008F5655"/>
    <w:rsid w:val="008F5A0D"/>
    <w:rsid w:val="008F5C89"/>
    <w:rsid w:val="008F6952"/>
    <w:rsid w:val="008F740B"/>
    <w:rsid w:val="008F75D5"/>
    <w:rsid w:val="008F794B"/>
    <w:rsid w:val="00900713"/>
    <w:rsid w:val="00902293"/>
    <w:rsid w:val="0090272E"/>
    <w:rsid w:val="00902743"/>
    <w:rsid w:val="0090274D"/>
    <w:rsid w:val="00903241"/>
    <w:rsid w:val="00903387"/>
    <w:rsid w:val="00903DC2"/>
    <w:rsid w:val="00904025"/>
    <w:rsid w:val="00904AC3"/>
    <w:rsid w:val="00904D3C"/>
    <w:rsid w:val="009050AF"/>
    <w:rsid w:val="009052F1"/>
    <w:rsid w:val="00905BB2"/>
    <w:rsid w:val="00906381"/>
    <w:rsid w:val="00906559"/>
    <w:rsid w:val="00906CAB"/>
    <w:rsid w:val="00907B01"/>
    <w:rsid w:val="00907F27"/>
    <w:rsid w:val="00910902"/>
    <w:rsid w:val="00910F65"/>
    <w:rsid w:val="009113B5"/>
    <w:rsid w:val="009116A7"/>
    <w:rsid w:val="00911977"/>
    <w:rsid w:val="0091322F"/>
    <w:rsid w:val="00915189"/>
    <w:rsid w:val="009169E3"/>
    <w:rsid w:val="00916F35"/>
    <w:rsid w:val="00917C75"/>
    <w:rsid w:val="009203DB"/>
    <w:rsid w:val="00920654"/>
    <w:rsid w:val="009206FB"/>
    <w:rsid w:val="009208CC"/>
    <w:rsid w:val="0092096E"/>
    <w:rsid w:val="009213B1"/>
    <w:rsid w:val="009219CC"/>
    <w:rsid w:val="00921FD9"/>
    <w:rsid w:val="00922317"/>
    <w:rsid w:val="00922778"/>
    <w:rsid w:val="0092347B"/>
    <w:rsid w:val="00923845"/>
    <w:rsid w:val="00923F9D"/>
    <w:rsid w:val="00924170"/>
    <w:rsid w:val="00924314"/>
    <w:rsid w:val="00924D0C"/>
    <w:rsid w:val="0092505A"/>
    <w:rsid w:val="009250AA"/>
    <w:rsid w:val="00925616"/>
    <w:rsid w:val="00926A2B"/>
    <w:rsid w:val="0092714A"/>
    <w:rsid w:val="00927803"/>
    <w:rsid w:val="00930403"/>
    <w:rsid w:val="00930553"/>
    <w:rsid w:val="00930C2B"/>
    <w:rsid w:val="00930EC1"/>
    <w:rsid w:val="0093180E"/>
    <w:rsid w:val="00931DDE"/>
    <w:rsid w:val="0093302E"/>
    <w:rsid w:val="009330B7"/>
    <w:rsid w:val="0093317F"/>
    <w:rsid w:val="0093383B"/>
    <w:rsid w:val="009338D5"/>
    <w:rsid w:val="00934F23"/>
    <w:rsid w:val="00935C47"/>
    <w:rsid w:val="00935D63"/>
    <w:rsid w:val="00936458"/>
    <w:rsid w:val="00936B46"/>
    <w:rsid w:val="00936C47"/>
    <w:rsid w:val="00936D9A"/>
    <w:rsid w:val="00937DCE"/>
    <w:rsid w:val="009401FC"/>
    <w:rsid w:val="009403D2"/>
    <w:rsid w:val="00940560"/>
    <w:rsid w:val="0094063C"/>
    <w:rsid w:val="00941096"/>
    <w:rsid w:val="00942149"/>
    <w:rsid w:val="00942344"/>
    <w:rsid w:val="009423AC"/>
    <w:rsid w:val="00942A5A"/>
    <w:rsid w:val="00943034"/>
    <w:rsid w:val="0094315F"/>
    <w:rsid w:val="00943FBF"/>
    <w:rsid w:val="009449BE"/>
    <w:rsid w:val="009451C1"/>
    <w:rsid w:val="00946130"/>
    <w:rsid w:val="00946C80"/>
    <w:rsid w:val="00946E60"/>
    <w:rsid w:val="00947289"/>
    <w:rsid w:val="00950015"/>
    <w:rsid w:val="00950DB0"/>
    <w:rsid w:val="00951184"/>
    <w:rsid w:val="0095168A"/>
    <w:rsid w:val="0095215D"/>
    <w:rsid w:val="009537A7"/>
    <w:rsid w:val="00953F19"/>
    <w:rsid w:val="00953FA0"/>
    <w:rsid w:val="0095409D"/>
    <w:rsid w:val="00954E69"/>
    <w:rsid w:val="00955357"/>
    <w:rsid w:val="0095584C"/>
    <w:rsid w:val="00956300"/>
    <w:rsid w:val="0095670D"/>
    <w:rsid w:val="00957648"/>
    <w:rsid w:val="00960E2F"/>
    <w:rsid w:val="00961912"/>
    <w:rsid w:val="00961FD3"/>
    <w:rsid w:val="009625C5"/>
    <w:rsid w:val="00962CFB"/>
    <w:rsid w:val="00964074"/>
    <w:rsid w:val="00964155"/>
    <w:rsid w:val="00964C37"/>
    <w:rsid w:val="009650BA"/>
    <w:rsid w:val="009658AE"/>
    <w:rsid w:val="009664CC"/>
    <w:rsid w:val="00966615"/>
    <w:rsid w:val="00966EAF"/>
    <w:rsid w:val="00966EF3"/>
    <w:rsid w:val="00966F89"/>
    <w:rsid w:val="0096792D"/>
    <w:rsid w:val="00967AA3"/>
    <w:rsid w:val="009707FC"/>
    <w:rsid w:val="00971018"/>
    <w:rsid w:val="00971503"/>
    <w:rsid w:val="009716F8"/>
    <w:rsid w:val="00971ACB"/>
    <w:rsid w:val="00971E63"/>
    <w:rsid w:val="00972935"/>
    <w:rsid w:val="00973349"/>
    <w:rsid w:val="0097361A"/>
    <w:rsid w:val="009736F6"/>
    <w:rsid w:val="009738FF"/>
    <w:rsid w:val="009749A1"/>
    <w:rsid w:val="00974DE7"/>
    <w:rsid w:val="0097538B"/>
    <w:rsid w:val="009766E6"/>
    <w:rsid w:val="0097674A"/>
    <w:rsid w:val="00976BB9"/>
    <w:rsid w:val="0097720E"/>
    <w:rsid w:val="009777EB"/>
    <w:rsid w:val="00980A57"/>
    <w:rsid w:val="00982F4F"/>
    <w:rsid w:val="00982F7E"/>
    <w:rsid w:val="00985663"/>
    <w:rsid w:val="00985DAB"/>
    <w:rsid w:val="00985F56"/>
    <w:rsid w:val="00986412"/>
    <w:rsid w:val="009866EF"/>
    <w:rsid w:val="009870FB"/>
    <w:rsid w:val="00987434"/>
    <w:rsid w:val="00987C56"/>
    <w:rsid w:val="00990CAE"/>
    <w:rsid w:val="009912CD"/>
    <w:rsid w:val="0099189B"/>
    <w:rsid w:val="009921C1"/>
    <w:rsid w:val="00993387"/>
    <w:rsid w:val="009945E4"/>
    <w:rsid w:val="00994993"/>
    <w:rsid w:val="00995CAA"/>
    <w:rsid w:val="00995DB5"/>
    <w:rsid w:val="0099624E"/>
    <w:rsid w:val="009962BB"/>
    <w:rsid w:val="009965DF"/>
    <w:rsid w:val="009967A8"/>
    <w:rsid w:val="00997373"/>
    <w:rsid w:val="009A15B3"/>
    <w:rsid w:val="009A18AF"/>
    <w:rsid w:val="009A2BDF"/>
    <w:rsid w:val="009A2D7D"/>
    <w:rsid w:val="009A2E64"/>
    <w:rsid w:val="009A2FE4"/>
    <w:rsid w:val="009A5075"/>
    <w:rsid w:val="009A6343"/>
    <w:rsid w:val="009A7A3B"/>
    <w:rsid w:val="009A7AF9"/>
    <w:rsid w:val="009A7F37"/>
    <w:rsid w:val="009B02B6"/>
    <w:rsid w:val="009B0802"/>
    <w:rsid w:val="009B1094"/>
    <w:rsid w:val="009B1139"/>
    <w:rsid w:val="009B14B5"/>
    <w:rsid w:val="009B2067"/>
    <w:rsid w:val="009B2415"/>
    <w:rsid w:val="009B2BCB"/>
    <w:rsid w:val="009B2C29"/>
    <w:rsid w:val="009B3368"/>
    <w:rsid w:val="009B4A7E"/>
    <w:rsid w:val="009B56EE"/>
    <w:rsid w:val="009B5C17"/>
    <w:rsid w:val="009B6759"/>
    <w:rsid w:val="009B7973"/>
    <w:rsid w:val="009B7F51"/>
    <w:rsid w:val="009C001D"/>
    <w:rsid w:val="009C068E"/>
    <w:rsid w:val="009C0DE9"/>
    <w:rsid w:val="009C13BC"/>
    <w:rsid w:val="009C16B7"/>
    <w:rsid w:val="009C17E6"/>
    <w:rsid w:val="009C1BB0"/>
    <w:rsid w:val="009C23CD"/>
    <w:rsid w:val="009C296D"/>
    <w:rsid w:val="009C3B4A"/>
    <w:rsid w:val="009C3BF4"/>
    <w:rsid w:val="009C3DFA"/>
    <w:rsid w:val="009C4AA9"/>
    <w:rsid w:val="009C5C1B"/>
    <w:rsid w:val="009C5E3C"/>
    <w:rsid w:val="009C5FDB"/>
    <w:rsid w:val="009C698D"/>
    <w:rsid w:val="009C77EE"/>
    <w:rsid w:val="009C7AE3"/>
    <w:rsid w:val="009D1BB4"/>
    <w:rsid w:val="009D1D4D"/>
    <w:rsid w:val="009D2422"/>
    <w:rsid w:val="009D2B2E"/>
    <w:rsid w:val="009D3535"/>
    <w:rsid w:val="009D3625"/>
    <w:rsid w:val="009D3BAB"/>
    <w:rsid w:val="009D3DF0"/>
    <w:rsid w:val="009D3E39"/>
    <w:rsid w:val="009D4058"/>
    <w:rsid w:val="009D4BCE"/>
    <w:rsid w:val="009D4BFE"/>
    <w:rsid w:val="009D4CAC"/>
    <w:rsid w:val="009D5141"/>
    <w:rsid w:val="009D524C"/>
    <w:rsid w:val="009D55FB"/>
    <w:rsid w:val="009D5B43"/>
    <w:rsid w:val="009D6AEA"/>
    <w:rsid w:val="009D6FDB"/>
    <w:rsid w:val="009D726B"/>
    <w:rsid w:val="009D72B7"/>
    <w:rsid w:val="009D7C04"/>
    <w:rsid w:val="009E0348"/>
    <w:rsid w:val="009E1094"/>
    <w:rsid w:val="009E200E"/>
    <w:rsid w:val="009E23D8"/>
    <w:rsid w:val="009E3D62"/>
    <w:rsid w:val="009E42B1"/>
    <w:rsid w:val="009E4543"/>
    <w:rsid w:val="009E4ABD"/>
    <w:rsid w:val="009E4F4D"/>
    <w:rsid w:val="009E50F2"/>
    <w:rsid w:val="009E583C"/>
    <w:rsid w:val="009E5D39"/>
    <w:rsid w:val="009E6194"/>
    <w:rsid w:val="009E658D"/>
    <w:rsid w:val="009E7A0A"/>
    <w:rsid w:val="009E7BF6"/>
    <w:rsid w:val="009E7EAA"/>
    <w:rsid w:val="009F01DE"/>
    <w:rsid w:val="009F02D1"/>
    <w:rsid w:val="009F0336"/>
    <w:rsid w:val="009F0686"/>
    <w:rsid w:val="009F07C6"/>
    <w:rsid w:val="009F0B5E"/>
    <w:rsid w:val="009F2107"/>
    <w:rsid w:val="009F2198"/>
    <w:rsid w:val="009F40B3"/>
    <w:rsid w:val="009F48EF"/>
    <w:rsid w:val="009F4BB3"/>
    <w:rsid w:val="009F50B2"/>
    <w:rsid w:val="009F54F9"/>
    <w:rsid w:val="009F5A1E"/>
    <w:rsid w:val="009F6CC5"/>
    <w:rsid w:val="00A009F5"/>
    <w:rsid w:val="00A009FD"/>
    <w:rsid w:val="00A00F4C"/>
    <w:rsid w:val="00A01627"/>
    <w:rsid w:val="00A01B2F"/>
    <w:rsid w:val="00A01F1E"/>
    <w:rsid w:val="00A0305F"/>
    <w:rsid w:val="00A03791"/>
    <w:rsid w:val="00A04732"/>
    <w:rsid w:val="00A05607"/>
    <w:rsid w:val="00A059DE"/>
    <w:rsid w:val="00A05F4E"/>
    <w:rsid w:val="00A06227"/>
    <w:rsid w:val="00A0654F"/>
    <w:rsid w:val="00A07E5F"/>
    <w:rsid w:val="00A07FDB"/>
    <w:rsid w:val="00A106DE"/>
    <w:rsid w:val="00A114A0"/>
    <w:rsid w:val="00A11C2A"/>
    <w:rsid w:val="00A1286E"/>
    <w:rsid w:val="00A13098"/>
    <w:rsid w:val="00A130E9"/>
    <w:rsid w:val="00A134C6"/>
    <w:rsid w:val="00A14480"/>
    <w:rsid w:val="00A1526B"/>
    <w:rsid w:val="00A16091"/>
    <w:rsid w:val="00A16698"/>
    <w:rsid w:val="00A16DA2"/>
    <w:rsid w:val="00A16DE3"/>
    <w:rsid w:val="00A17A08"/>
    <w:rsid w:val="00A20C29"/>
    <w:rsid w:val="00A20CE9"/>
    <w:rsid w:val="00A211FA"/>
    <w:rsid w:val="00A21591"/>
    <w:rsid w:val="00A21AB7"/>
    <w:rsid w:val="00A22DF5"/>
    <w:rsid w:val="00A23F7E"/>
    <w:rsid w:val="00A2490C"/>
    <w:rsid w:val="00A2613A"/>
    <w:rsid w:val="00A27EDC"/>
    <w:rsid w:val="00A301F3"/>
    <w:rsid w:val="00A30653"/>
    <w:rsid w:val="00A30BB7"/>
    <w:rsid w:val="00A31342"/>
    <w:rsid w:val="00A316A0"/>
    <w:rsid w:val="00A320C4"/>
    <w:rsid w:val="00A323E0"/>
    <w:rsid w:val="00A3240F"/>
    <w:rsid w:val="00A32B82"/>
    <w:rsid w:val="00A3331C"/>
    <w:rsid w:val="00A33532"/>
    <w:rsid w:val="00A33F72"/>
    <w:rsid w:val="00A34063"/>
    <w:rsid w:val="00A34B9A"/>
    <w:rsid w:val="00A35410"/>
    <w:rsid w:val="00A358A3"/>
    <w:rsid w:val="00A36268"/>
    <w:rsid w:val="00A36EA3"/>
    <w:rsid w:val="00A374D4"/>
    <w:rsid w:val="00A37712"/>
    <w:rsid w:val="00A37BA1"/>
    <w:rsid w:val="00A40431"/>
    <w:rsid w:val="00A40AB3"/>
    <w:rsid w:val="00A41E68"/>
    <w:rsid w:val="00A420BC"/>
    <w:rsid w:val="00A4269A"/>
    <w:rsid w:val="00A42EED"/>
    <w:rsid w:val="00A43315"/>
    <w:rsid w:val="00A435EC"/>
    <w:rsid w:val="00A44CB6"/>
    <w:rsid w:val="00A44E85"/>
    <w:rsid w:val="00A45DB3"/>
    <w:rsid w:val="00A45F16"/>
    <w:rsid w:val="00A462CE"/>
    <w:rsid w:val="00A469E2"/>
    <w:rsid w:val="00A469F8"/>
    <w:rsid w:val="00A472A2"/>
    <w:rsid w:val="00A47396"/>
    <w:rsid w:val="00A473A9"/>
    <w:rsid w:val="00A473AF"/>
    <w:rsid w:val="00A47894"/>
    <w:rsid w:val="00A47CB9"/>
    <w:rsid w:val="00A502FE"/>
    <w:rsid w:val="00A508CD"/>
    <w:rsid w:val="00A52BB2"/>
    <w:rsid w:val="00A532D0"/>
    <w:rsid w:val="00A537CE"/>
    <w:rsid w:val="00A542C3"/>
    <w:rsid w:val="00A554F5"/>
    <w:rsid w:val="00A5562B"/>
    <w:rsid w:val="00A55C30"/>
    <w:rsid w:val="00A55E49"/>
    <w:rsid w:val="00A56C82"/>
    <w:rsid w:val="00A56CAE"/>
    <w:rsid w:val="00A577DE"/>
    <w:rsid w:val="00A6000F"/>
    <w:rsid w:val="00A60325"/>
    <w:rsid w:val="00A60AC2"/>
    <w:rsid w:val="00A6171B"/>
    <w:rsid w:val="00A6173A"/>
    <w:rsid w:val="00A6195F"/>
    <w:rsid w:val="00A623D5"/>
    <w:rsid w:val="00A62554"/>
    <w:rsid w:val="00A625FD"/>
    <w:rsid w:val="00A62DD6"/>
    <w:rsid w:val="00A6319B"/>
    <w:rsid w:val="00A63F34"/>
    <w:rsid w:val="00A64392"/>
    <w:rsid w:val="00A6451C"/>
    <w:rsid w:val="00A64C63"/>
    <w:rsid w:val="00A64F88"/>
    <w:rsid w:val="00A6546E"/>
    <w:rsid w:val="00A65A0B"/>
    <w:rsid w:val="00A65CE6"/>
    <w:rsid w:val="00A65F0F"/>
    <w:rsid w:val="00A65FFF"/>
    <w:rsid w:val="00A66352"/>
    <w:rsid w:val="00A6660B"/>
    <w:rsid w:val="00A66C17"/>
    <w:rsid w:val="00A675B4"/>
    <w:rsid w:val="00A67E0C"/>
    <w:rsid w:val="00A70C29"/>
    <w:rsid w:val="00A70D48"/>
    <w:rsid w:val="00A70E91"/>
    <w:rsid w:val="00A71B69"/>
    <w:rsid w:val="00A71BD5"/>
    <w:rsid w:val="00A71E2D"/>
    <w:rsid w:val="00A727AA"/>
    <w:rsid w:val="00A72DBC"/>
    <w:rsid w:val="00A7437D"/>
    <w:rsid w:val="00A74B6B"/>
    <w:rsid w:val="00A758B5"/>
    <w:rsid w:val="00A75ABE"/>
    <w:rsid w:val="00A75E01"/>
    <w:rsid w:val="00A76A05"/>
    <w:rsid w:val="00A772BC"/>
    <w:rsid w:val="00A773D7"/>
    <w:rsid w:val="00A77896"/>
    <w:rsid w:val="00A80287"/>
    <w:rsid w:val="00A803D7"/>
    <w:rsid w:val="00A807F4"/>
    <w:rsid w:val="00A8143D"/>
    <w:rsid w:val="00A81736"/>
    <w:rsid w:val="00A8176B"/>
    <w:rsid w:val="00A81B54"/>
    <w:rsid w:val="00A81F45"/>
    <w:rsid w:val="00A822A8"/>
    <w:rsid w:val="00A82D7D"/>
    <w:rsid w:val="00A8333C"/>
    <w:rsid w:val="00A83B48"/>
    <w:rsid w:val="00A84083"/>
    <w:rsid w:val="00A84D0E"/>
    <w:rsid w:val="00A84DB9"/>
    <w:rsid w:val="00A84DF7"/>
    <w:rsid w:val="00A855F7"/>
    <w:rsid w:val="00A85C06"/>
    <w:rsid w:val="00A86267"/>
    <w:rsid w:val="00A86770"/>
    <w:rsid w:val="00A86893"/>
    <w:rsid w:val="00A8712C"/>
    <w:rsid w:val="00A87BCE"/>
    <w:rsid w:val="00A90484"/>
    <w:rsid w:val="00A90FB0"/>
    <w:rsid w:val="00A911B7"/>
    <w:rsid w:val="00A92B26"/>
    <w:rsid w:val="00A92F06"/>
    <w:rsid w:val="00A93EAB"/>
    <w:rsid w:val="00A94900"/>
    <w:rsid w:val="00A9513D"/>
    <w:rsid w:val="00A953C1"/>
    <w:rsid w:val="00A9558E"/>
    <w:rsid w:val="00A957D5"/>
    <w:rsid w:val="00A95816"/>
    <w:rsid w:val="00A958A0"/>
    <w:rsid w:val="00A96724"/>
    <w:rsid w:val="00A97070"/>
    <w:rsid w:val="00A971AF"/>
    <w:rsid w:val="00A97DB2"/>
    <w:rsid w:val="00A97E80"/>
    <w:rsid w:val="00AA095F"/>
    <w:rsid w:val="00AA11D0"/>
    <w:rsid w:val="00AA1924"/>
    <w:rsid w:val="00AA1F20"/>
    <w:rsid w:val="00AA1F4A"/>
    <w:rsid w:val="00AA2982"/>
    <w:rsid w:val="00AA4049"/>
    <w:rsid w:val="00AA4766"/>
    <w:rsid w:val="00AA4E0C"/>
    <w:rsid w:val="00AA5E79"/>
    <w:rsid w:val="00AA724C"/>
    <w:rsid w:val="00AB0278"/>
    <w:rsid w:val="00AB18EA"/>
    <w:rsid w:val="00AB1B55"/>
    <w:rsid w:val="00AB21B9"/>
    <w:rsid w:val="00AB35CB"/>
    <w:rsid w:val="00AB392A"/>
    <w:rsid w:val="00AB44F6"/>
    <w:rsid w:val="00AB507C"/>
    <w:rsid w:val="00AB522F"/>
    <w:rsid w:val="00AB530A"/>
    <w:rsid w:val="00AB73F7"/>
    <w:rsid w:val="00AB763B"/>
    <w:rsid w:val="00AB76A3"/>
    <w:rsid w:val="00AC0187"/>
    <w:rsid w:val="00AC094C"/>
    <w:rsid w:val="00AC0BB1"/>
    <w:rsid w:val="00AC0DE7"/>
    <w:rsid w:val="00AC1048"/>
    <w:rsid w:val="00AC3335"/>
    <w:rsid w:val="00AC33E3"/>
    <w:rsid w:val="00AC4307"/>
    <w:rsid w:val="00AC443E"/>
    <w:rsid w:val="00AC48D4"/>
    <w:rsid w:val="00AC4909"/>
    <w:rsid w:val="00AC4C6B"/>
    <w:rsid w:val="00AC5EC3"/>
    <w:rsid w:val="00AC69B5"/>
    <w:rsid w:val="00AC6C4C"/>
    <w:rsid w:val="00AD09F7"/>
    <w:rsid w:val="00AD0E41"/>
    <w:rsid w:val="00AD0E61"/>
    <w:rsid w:val="00AD146B"/>
    <w:rsid w:val="00AD19E6"/>
    <w:rsid w:val="00AD2056"/>
    <w:rsid w:val="00AD24BC"/>
    <w:rsid w:val="00AD27C6"/>
    <w:rsid w:val="00AD37FA"/>
    <w:rsid w:val="00AD5B5D"/>
    <w:rsid w:val="00AD69E2"/>
    <w:rsid w:val="00AD729E"/>
    <w:rsid w:val="00AE012F"/>
    <w:rsid w:val="00AE051D"/>
    <w:rsid w:val="00AE060B"/>
    <w:rsid w:val="00AE082F"/>
    <w:rsid w:val="00AE0FDD"/>
    <w:rsid w:val="00AE1AD6"/>
    <w:rsid w:val="00AE2313"/>
    <w:rsid w:val="00AE2D0B"/>
    <w:rsid w:val="00AE474B"/>
    <w:rsid w:val="00AE4C81"/>
    <w:rsid w:val="00AE4D10"/>
    <w:rsid w:val="00AE5AD5"/>
    <w:rsid w:val="00AE5AF4"/>
    <w:rsid w:val="00AE5FD0"/>
    <w:rsid w:val="00AE600A"/>
    <w:rsid w:val="00AE6FEF"/>
    <w:rsid w:val="00AF1683"/>
    <w:rsid w:val="00AF201E"/>
    <w:rsid w:val="00AF252C"/>
    <w:rsid w:val="00AF2C31"/>
    <w:rsid w:val="00AF313F"/>
    <w:rsid w:val="00AF3292"/>
    <w:rsid w:val="00AF3479"/>
    <w:rsid w:val="00AF3C40"/>
    <w:rsid w:val="00AF3FF1"/>
    <w:rsid w:val="00AF4054"/>
    <w:rsid w:val="00AF4E2E"/>
    <w:rsid w:val="00AF605F"/>
    <w:rsid w:val="00AF60A4"/>
    <w:rsid w:val="00B00D50"/>
    <w:rsid w:val="00B010F9"/>
    <w:rsid w:val="00B01A34"/>
    <w:rsid w:val="00B01FFD"/>
    <w:rsid w:val="00B022C9"/>
    <w:rsid w:val="00B02ECE"/>
    <w:rsid w:val="00B03239"/>
    <w:rsid w:val="00B03A29"/>
    <w:rsid w:val="00B04C0F"/>
    <w:rsid w:val="00B05284"/>
    <w:rsid w:val="00B05325"/>
    <w:rsid w:val="00B056A9"/>
    <w:rsid w:val="00B0579C"/>
    <w:rsid w:val="00B05CF3"/>
    <w:rsid w:val="00B066BA"/>
    <w:rsid w:val="00B07D3C"/>
    <w:rsid w:val="00B07E79"/>
    <w:rsid w:val="00B10472"/>
    <w:rsid w:val="00B1073A"/>
    <w:rsid w:val="00B10F42"/>
    <w:rsid w:val="00B123BD"/>
    <w:rsid w:val="00B12795"/>
    <w:rsid w:val="00B129B3"/>
    <w:rsid w:val="00B12D4E"/>
    <w:rsid w:val="00B135FF"/>
    <w:rsid w:val="00B159BC"/>
    <w:rsid w:val="00B17B0E"/>
    <w:rsid w:val="00B20062"/>
    <w:rsid w:val="00B203D5"/>
    <w:rsid w:val="00B21AE0"/>
    <w:rsid w:val="00B21AEA"/>
    <w:rsid w:val="00B21FD8"/>
    <w:rsid w:val="00B22241"/>
    <w:rsid w:val="00B224BA"/>
    <w:rsid w:val="00B22A05"/>
    <w:rsid w:val="00B22C26"/>
    <w:rsid w:val="00B22E0B"/>
    <w:rsid w:val="00B236EB"/>
    <w:rsid w:val="00B23754"/>
    <w:rsid w:val="00B23FDE"/>
    <w:rsid w:val="00B23FFC"/>
    <w:rsid w:val="00B250C0"/>
    <w:rsid w:val="00B2591F"/>
    <w:rsid w:val="00B25F49"/>
    <w:rsid w:val="00B26352"/>
    <w:rsid w:val="00B26DC6"/>
    <w:rsid w:val="00B27692"/>
    <w:rsid w:val="00B27FC2"/>
    <w:rsid w:val="00B30F9A"/>
    <w:rsid w:val="00B316D0"/>
    <w:rsid w:val="00B31790"/>
    <w:rsid w:val="00B31F84"/>
    <w:rsid w:val="00B32094"/>
    <w:rsid w:val="00B33958"/>
    <w:rsid w:val="00B33C0B"/>
    <w:rsid w:val="00B342B4"/>
    <w:rsid w:val="00B342F1"/>
    <w:rsid w:val="00B35933"/>
    <w:rsid w:val="00B36170"/>
    <w:rsid w:val="00B361C5"/>
    <w:rsid w:val="00B36F4D"/>
    <w:rsid w:val="00B3738A"/>
    <w:rsid w:val="00B3765F"/>
    <w:rsid w:val="00B37E75"/>
    <w:rsid w:val="00B403D3"/>
    <w:rsid w:val="00B405C0"/>
    <w:rsid w:val="00B40A1C"/>
    <w:rsid w:val="00B41340"/>
    <w:rsid w:val="00B41760"/>
    <w:rsid w:val="00B41A5F"/>
    <w:rsid w:val="00B41D5B"/>
    <w:rsid w:val="00B41E29"/>
    <w:rsid w:val="00B41F32"/>
    <w:rsid w:val="00B423D4"/>
    <w:rsid w:val="00B4266A"/>
    <w:rsid w:val="00B42AD3"/>
    <w:rsid w:val="00B42D5B"/>
    <w:rsid w:val="00B4387F"/>
    <w:rsid w:val="00B43B8D"/>
    <w:rsid w:val="00B44FB9"/>
    <w:rsid w:val="00B452AA"/>
    <w:rsid w:val="00B461EF"/>
    <w:rsid w:val="00B46340"/>
    <w:rsid w:val="00B464B3"/>
    <w:rsid w:val="00B46D09"/>
    <w:rsid w:val="00B5028C"/>
    <w:rsid w:val="00B503AE"/>
    <w:rsid w:val="00B50E4F"/>
    <w:rsid w:val="00B51461"/>
    <w:rsid w:val="00B52495"/>
    <w:rsid w:val="00B53AE0"/>
    <w:rsid w:val="00B55334"/>
    <w:rsid w:val="00B5728F"/>
    <w:rsid w:val="00B610A9"/>
    <w:rsid w:val="00B6123A"/>
    <w:rsid w:val="00B613D6"/>
    <w:rsid w:val="00B61981"/>
    <w:rsid w:val="00B62875"/>
    <w:rsid w:val="00B629D0"/>
    <w:rsid w:val="00B62FC7"/>
    <w:rsid w:val="00B633A8"/>
    <w:rsid w:val="00B63DB1"/>
    <w:rsid w:val="00B641B5"/>
    <w:rsid w:val="00B64395"/>
    <w:rsid w:val="00B64E2D"/>
    <w:rsid w:val="00B65BF7"/>
    <w:rsid w:val="00B65E96"/>
    <w:rsid w:val="00B66461"/>
    <w:rsid w:val="00B66A57"/>
    <w:rsid w:val="00B72E81"/>
    <w:rsid w:val="00B73330"/>
    <w:rsid w:val="00B74BD5"/>
    <w:rsid w:val="00B74F28"/>
    <w:rsid w:val="00B75034"/>
    <w:rsid w:val="00B7569F"/>
    <w:rsid w:val="00B75D08"/>
    <w:rsid w:val="00B767A4"/>
    <w:rsid w:val="00B76AB8"/>
    <w:rsid w:val="00B77B3D"/>
    <w:rsid w:val="00B77CEC"/>
    <w:rsid w:val="00B8065E"/>
    <w:rsid w:val="00B80E9F"/>
    <w:rsid w:val="00B81213"/>
    <w:rsid w:val="00B812DD"/>
    <w:rsid w:val="00B816E9"/>
    <w:rsid w:val="00B83E9B"/>
    <w:rsid w:val="00B840BE"/>
    <w:rsid w:val="00B85160"/>
    <w:rsid w:val="00B853CC"/>
    <w:rsid w:val="00B853F2"/>
    <w:rsid w:val="00B85449"/>
    <w:rsid w:val="00B8621B"/>
    <w:rsid w:val="00B8668D"/>
    <w:rsid w:val="00B86D19"/>
    <w:rsid w:val="00B86EB0"/>
    <w:rsid w:val="00B87450"/>
    <w:rsid w:val="00B87744"/>
    <w:rsid w:val="00B87AB9"/>
    <w:rsid w:val="00B87E03"/>
    <w:rsid w:val="00B90BE1"/>
    <w:rsid w:val="00B91A57"/>
    <w:rsid w:val="00B9295C"/>
    <w:rsid w:val="00B92BA0"/>
    <w:rsid w:val="00B92F36"/>
    <w:rsid w:val="00B92F44"/>
    <w:rsid w:val="00B94157"/>
    <w:rsid w:val="00B944F0"/>
    <w:rsid w:val="00B94F1C"/>
    <w:rsid w:val="00B95185"/>
    <w:rsid w:val="00B95476"/>
    <w:rsid w:val="00B95624"/>
    <w:rsid w:val="00B95C53"/>
    <w:rsid w:val="00B96D43"/>
    <w:rsid w:val="00B97E15"/>
    <w:rsid w:val="00BA082B"/>
    <w:rsid w:val="00BA18F1"/>
    <w:rsid w:val="00BA27F7"/>
    <w:rsid w:val="00BA3700"/>
    <w:rsid w:val="00BA3C43"/>
    <w:rsid w:val="00BA3FD3"/>
    <w:rsid w:val="00BA4633"/>
    <w:rsid w:val="00BA52E5"/>
    <w:rsid w:val="00BA5D91"/>
    <w:rsid w:val="00BA5DE9"/>
    <w:rsid w:val="00BA5FF9"/>
    <w:rsid w:val="00BA7841"/>
    <w:rsid w:val="00BB0558"/>
    <w:rsid w:val="00BB088F"/>
    <w:rsid w:val="00BB0891"/>
    <w:rsid w:val="00BB143A"/>
    <w:rsid w:val="00BB16B4"/>
    <w:rsid w:val="00BB1969"/>
    <w:rsid w:val="00BB1C4D"/>
    <w:rsid w:val="00BB2721"/>
    <w:rsid w:val="00BB305B"/>
    <w:rsid w:val="00BB3A10"/>
    <w:rsid w:val="00BB3AFD"/>
    <w:rsid w:val="00BB3BF8"/>
    <w:rsid w:val="00BB458E"/>
    <w:rsid w:val="00BB47E9"/>
    <w:rsid w:val="00BB4832"/>
    <w:rsid w:val="00BB4D5A"/>
    <w:rsid w:val="00BB5E49"/>
    <w:rsid w:val="00BB6463"/>
    <w:rsid w:val="00BB6FC2"/>
    <w:rsid w:val="00BC0877"/>
    <w:rsid w:val="00BC0D7E"/>
    <w:rsid w:val="00BC17F1"/>
    <w:rsid w:val="00BC2716"/>
    <w:rsid w:val="00BC2892"/>
    <w:rsid w:val="00BC3A45"/>
    <w:rsid w:val="00BC4FBC"/>
    <w:rsid w:val="00BC51CA"/>
    <w:rsid w:val="00BC54E6"/>
    <w:rsid w:val="00BC5EAB"/>
    <w:rsid w:val="00BC6703"/>
    <w:rsid w:val="00BC7A1E"/>
    <w:rsid w:val="00BC7AF4"/>
    <w:rsid w:val="00BC7D18"/>
    <w:rsid w:val="00BD010E"/>
    <w:rsid w:val="00BD02BD"/>
    <w:rsid w:val="00BD0381"/>
    <w:rsid w:val="00BD0588"/>
    <w:rsid w:val="00BD05D8"/>
    <w:rsid w:val="00BD0AE1"/>
    <w:rsid w:val="00BD0F77"/>
    <w:rsid w:val="00BD1049"/>
    <w:rsid w:val="00BD10B3"/>
    <w:rsid w:val="00BD14EE"/>
    <w:rsid w:val="00BD1CBC"/>
    <w:rsid w:val="00BD21FA"/>
    <w:rsid w:val="00BD227F"/>
    <w:rsid w:val="00BD2713"/>
    <w:rsid w:val="00BD27C8"/>
    <w:rsid w:val="00BD2A54"/>
    <w:rsid w:val="00BD3687"/>
    <w:rsid w:val="00BD37C2"/>
    <w:rsid w:val="00BD421C"/>
    <w:rsid w:val="00BD5543"/>
    <w:rsid w:val="00BD5F8D"/>
    <w:rsid w:val="00BD6383"/>
    <w:rsid w:val="00BD650D"/>
    <w:rsid w:val="00BD6D7D"/>
    <w:rsid w:val="00BD76E2"/>
    <w:rsid w:val="00BD78F6"/>
    <w:rsid w:val="00BD7C23"/>
    <w:rsid w:val="00BD7DFD"/>
    <w:rsid w:val="00BE0265"/>
    <w:rsid w:val="00BE03BE"/>
    <w:rsid w:val="00BE07AC"/>
    <w:rsid w:val="00BE1066"/>
    <w:rsid w:val="00BE12EB"/>
    <w:rsid w:val="00BE2061"/>
    <w:rsid w:val="00BE2142"/>
    <w:rsid w:val="00BE23CE"/>
    <w:rsid w:val="00BE259C"/>
    <w:rsid w:val="00BE285C"/>
    <w:rsid w:val="00BE2EB3"/>
    <w:rsid w:val="00BE34FE"/>
    <w:rsid w:val="00BE3F1F"/>
    <w:rsid w:val="00BE4FA2"/>
    <w:rsid w:val="00BE4FAA"/>
    <w:rsid w:val="00BE54FB"/>
    <w:rsid w:val="00BE563B"/>
    <w:rsid w:val="00BE60A5"/>
    <w:rsid w:val="00BE6847"/>
    <w:rsid w:val="00BE68F7"/>
    <w:rsid w:val="00BE6A93"/>
    <w:rsid w:val="00BE6B38"/>
    <w:rsid w:val="00BE707D"/>
    <w:rsid w:val="00BE71E1"/>
    <w:rsid w:val="00BE789B"/>
    <w:rsid w:val="00BE7F71"/>
    <w:rsid w:val="00BF03D6"/>
    <w:rsid w:val="00BF0959"/>
    <w:rsid w:val="00BF139C"/>
    <w:rsid w:val="00BF13B4"/>
    <w:rsid w:val="00BF1B49"/>
    <w:rsid w:val="00BF275A"/>
    <w:rsid w:val="00BF2A7C"/>
    <w:rsid w:val="00BF411C"/>
    <w:rsid w:val="00BF443C"/>
    <w:rsid w:val="00BF4980"/>
    <w:rsid w:val="00BF4B7F"/>
    <w:rsid w:val="00BF53BF"/>
    <w:rsid w:val="00BF5F34"/>
    <w:rsid w:val="00BF61DB"/>
    <w:rsid w:val="00BF7501"/>
    <w:rsid w:val="00BF759A"/>
    <w:rsid w:val="00BF7807"/>
    <w:rsid w:val="00BF7A59"/>
    <w:rsid w:val="00C00B9C"/>
    <w:rsid w:val="00C01F0E"/>
    <w:rsid w:val="00C02CC3"/>
    <w:rsid w:val="00C04C80"/>
    <w:rsid w:val="00C04E31"/>
    <w:rsid w:val="00C05166"/>
    <w:rsid w:val="00C073AF"/>
    <w:rsid w:val="00C074B3"/>
    <w:rsid w:val="00C075CD"/>
    <w:rsid w:val="00C07ECF"/>
    <w:rsid w:val="00C100C8"/>
    <w:rsid w:val="00C1045E"/>
    <w:rsid w:val="00C1103B"/>
    <w:rsid w:val="00C11067"/>
    <w:rsid w:val="00C11A78"/>
    <w:rsid w:val="00C12472"/>
    <w:rsid w:val="00C12AED"/>
    <w:rsid w:val="00C12E1D"/>
    <w:rsid w:val="00C13566"/>
    <w:rsid w:val="00C13C1E"/>
    <w:rsid w:val="00C13DA1"/>
    <w:rsid w:val="00C14227"/>
    <w:rsid w:val="00C14258"/>
    <w:rsid w:val="00C15741"/>
    <w:rsid w:val="00C158C6"/>
    <w:rsid w:val="00C16A9E"/>
    <w:rsid w:val="00C16EEC"/>
    <w:rsid w:val="00C17140"/>
    <w:rsid w:val="00C1725D"/>
    <w:rsid w:val="00C175DE"/>
    <w:rsid w:val="00C17784"/>
    <w:rsid w:val="00C2054D"/>
    <w:rsid w:val="00C206FC"/>
    <w:rsid w:val="00C2152B"/>
    <w:rsid w:val="00C21B82"/>
    <w:rsid w:val="00C21C5D"/>
    <w:rsid w:val="00C21EC4"/>
    <w:rsid w:val="00C21F8B"/>
    <w:rsid w:val="00C2221A"/>
    <w:rsid w:val="00C224AC"/>
    <w:rsid w:val="00C22697"/>
    <w:rsid w:val="00C228D3"/>
    <w:rsid w:val="00C22F0C"/>
    <w:rsid w:val="00C23909"/>
    <w:rsid w:val="00C23C27"/>
    <w:rsid w:val="00C23D1C"/>
    <w:rsid w:val="00C24CFA"/>
    <w:rsid w:val="00C25475"/>
    <w:rsid w:val="00C267FD"/>
    <w:rsid w:val="00C272DA"/>
    <w:rsid w:val="00C276CE"/>
    <w:rsid w:val="00C27747"/>
    <w:rsid w:val="00C278E5"/>
    <w:rsid w:val="00C30FA7"/>
    <w:rsid w:val="00C30FB0"/>
    <w:rsid w:val="00C3153B"/>
    <w:rsid w:val="00C3154F"/>
    <w:rsid w:val="00C32E5D"/>
    <w:rsid w:val="00C333DD"/>
    <w:rsid w:val="00C33FAC"/>
    <w:rsid w:val="00C345C3"/>
    <w:rsid w:val="00C3462E"/>
    <w:rsid w:val="00C34AB6"/>
    <w:rsid w:val="00C351DF"/>
    <w:rsid w:val="00C360D3"/>
    <w:rsid w:val="00C36CA6"/>
    <w:rsid w:val="00C3740D"/>
    <w:rsid w:val="00C37B64"/>
    <w:rsid w:val="00C40CDD"/>
    <w:rsid w:val="00C412E0"/>
    <w:rsid w:val="00C41740"/>
    <w:rsid w:val="00C41AA0"/>
    <w:rsid w:val="00C42312"/>
    <w:rsid w:val="00C42496"/>
    <w:rsid w:val="00C424D8"/>
    <w:rsid w:val="00C425C6"/>
    <w:rsid w:val="00C4277B"/>
    <w:rsid w:val="00C42A81"/>
    <w:rsid w:val="00C42CFB"/>
    <w:rsid w:val="00C43A79"/>
    <w:rsid w:val="00C45481"/>
    <w:rsid w:val="00C45777"/>
    <w:rsid w:val="00C457E6"/>
    <w:rsid w:val="00C459F9"/>
    <w:rsid w:val="00C45BB1"/>
    <w:rsid w:val="00C45E6D"/>
    <w:rsid w:val="00C4738B"/>
    <w:rsid w:val="00C47ADB"/>
    <w:rsid w:val="00C47FBE"/>
    <w:rsid w:val="00C47FC7"/>
    <w:rsid w:val="00C505D5"/>
    <w:rsid w:val="00C513DB"/>
    <w:rsid w:val="00C516C1"/>
    <w:rsid w:val="00C51D9A"/>
    <w:rsid w:val="00C51DC2"/>
    <w:rsid w:val="00C51EBB"/>
    <w:rsid w:val="00C52E11"/>
    <w:rsid w:val="00C52F1A"/>
    <w:rsid w:val="00C541E6"/>
    <w:rsid w:val="00C5433D"/>
    <w:rsid w:val="00C5450F"/>
    <w:rsid w:val="00C54804"/>
    <w:rsid w:val="00C548CD"/>
    <w:rsid w:val="00C55328"/>
    <w:rsid w:val="00C55BAE"/>
    <w:rsid w:val="00C56DB8"/>
    <w:rsid w:val="00C5735A"/>
    <w:rsid w:val="00C5778B"/>
    <w:rsid w:val="00C57D92"/>
    <w:rsid w:val="00C61530"/>
    <w:rsid w:val="00C61A4E"/>
    <w:rsid w:val="00C61F45"/>
    <w:rsid w:val="00C623CA"/>
    <w:rsid w:val="00C6249B"/>
    <w:rsid w:val="00C62D5E"/>
    <w:rsid w:val="00C6361B"/>
    <w:rsid w:val="00C63A5F"/>
    <w:rsid w:val="00C63CE4"/>
    <w:rsid w:val="00C64563"/>
    <w:rsid w:val="00C64649"/>
    <w:rsid w:val="00C65946"/>
    <w:rsid w:val="00C65E32"/>
    <w:rsid w:val="00C6660E"/>
    <w:rsid w:val="00C67978"/>
    <w:rsid w:val="00C70231"/>
    <w:rsid w:val="00C7040B"/>
    <w:rsid w:val="00C70BAF"/>
    <w:rsid w:val="00C7140E"/>
    <w:rsid w:val="00C71C30"/>
    <w:rsid w:val="00C72242"/>
    <w:rsid w:val="00C73C0D"/>
    <w:rsid w:val="00C73D5E"/>
    <w:rsid w:val="00C73DD2"/>
    <w:rsid w:val="00C743FC"/>
    <w:rsid w:val="00C76607"/>
    <w:rsid w:val="00C7725F"/>
    <w:rsid w:val="00C7750B"/>
    <w:rsid w:val="00C800AE"/>
    <w:rsid w:val="00C807FC"/>
    <w:rsid w:val="00C81672"/>
    <w:rsid w:val="00C81B25"/>
    <w:rsid w:val="00C82F03"/>
    <w:rsid w:val="00C8449A"/>
    <w:rsid w:val="00C844F1"/>
    <w:rsid w:val="00C85226"/>
    <w:rsid w:val="00C86032"/>
    <w:rsid w:val="00C863D4"/>
    <w:rsid w:val="00C867EF"/>
    <w:rsid w:val="00C872F5"/>
    <w:rsid w:val="00C8770D"/>
    <w:rsid w:val="00C87BEA"/>
    <w:rsid w:val="00C900D8"/>
    <w:rsid w:val="00C91196"/>
    <w:rsid w:val="00C91C82"/>
    <w:rsid w:val="00C9227C"/>
    <w:rsid w:val="00C9283E"/>
    <w:rsid w:val="00C933EB"/>
    <w:rsid w:val="00C93A5A"/>
    <w:rsid w:val="00C94564"/>
    <w:rsid w:val="00C94586"/>
    <w:rsid w:val="00C946B4"/>
    <w:rsid w:val="00C94855"/>
    <w:rsid w:val="00C9493F"/>
    <w:rsid w:val="00C94950"/>
    <w:rsid w:val="00C94D0A"/>
    <w:rsid w:val="00C9565C"/>
    <w:rsid w:val="00C95DFC"/>
    <w:rsid w:val="00C95E80"/>
    <w:rsid w:val="00C96446"/>
    <w:rsid w:val="00C965CB"/>
    <w:rsid w:val="00C9671E"/>
    <w:rsid w:val="00C96729"/>
    <w:rsid w:val="00C96A57"/>
    <w:rsid w:val="00C96F5E"/>
    <w:rsid w:val="00C97314"/>
    <w:rsid w:val="00C9771D"/>
    <w:rsid w:val="00C97881"/>
    <w:rsid w:val="00CA064E"/>
    <w:rsid w:val="00CA074A"/>
    <w:rsid w:val="00CA0D02"/>
    <w:rsid w:val="00CA0DF7"/>
    <w:rsid w:val="00CA0E0C"/>
    <w:rsid w:val="00CA1079"/>
    <w:rsid w:val="00CA10C5"/>
    <w:rsid w:val="00CA117B"/>
    <w:rsid w:val="00CA122D"/>
    <w:rsid w:val="00CA1253"/>
    <w:rsid w:val="00CA2CE3"/>
    <w:rsid w:val="00CA37A1"/>
    <w:rsid w:val="00CA4069"/>
    <w:rsid w:val="00CA409C"/>
    <w:rsid w:val="00CA44E2"/>
    <w:rsid w:val="00CA4A6C"/>
    <w:rsid w:val="00CA50D1"/>
    <w:rsid w:val="00CA6781"/>
    <w:rsid w:val="00CB0B0B"/>
    <w:rsid w:val="00CB1655"/>
    <w:rsid w:val="00CB23E7"/>
    <w:rsid w:val="00CB2C2F"/>
    <w:rsid w:val="00CB2DCF"/>
    <w:rsid w:val="00CB3028"/>
    <w:rsid w:val="00CB3051"/>
    <w:rsid w:val="00CB33EC"/>
    <w:rsid w:val="00CB3C82"/>
    <w:rsid w:val="00CB55F9"/>
    <w:rsid w:val="00CB685E"/>
    <w:rsid w:val="00CB6B86"/>
    <w:rsid w:val="00CC14AD"/>
    <w:rsid w:val="00CC1813"/>
    <w:rsid w:val="00CC1E3E"/>
    <w:rsid w:val="00CC1FDB"/>
    <w:rsid w:val="00CC209A"/>
    <w:rsid w:val="00CC2738"/>
    <w:rsid w:val="00CC2D1B"/>
    <w:rsid w:val="00CC384C"/>
    <w:rsid w:val="00CC38DA"/>
    <w:rsid w:val="00CC38E6"/>
    <w:rsid w:val="00CC3EF9"/>
    <w:rsid w:val="00CC4118"/>
    <w:rsid w:val="00CC433B"/>
    <w:rsid w:val="00CC45FA"/>
    <w:rsid w:val="00CC58EC"/>
    <w:rsid w:val="00CC6172"/>
    <w:rsid w:val="00CC68F1"/>
    <w:rsid w:val="00CC69FD"/>
    <w:rsid w:val="00CC706A"/>
    <w:rsid w:val="00CD08BF"/>
    <w:rsid w:val="00CD0BDF"/>
    <w:rsid w:val="00CD10C8"/>
    <w:rsid w:val="00CD11FC"/>
    <w:rsid w:val="00CD14AE"/>
    <w:rsid w:val="00CD378E"/>
    <w:rsid w:val="00CD3973"/>
    <w:rsid w:val="00CD3D86"/>
    <w:rsid w:val="00CD3EB9"/>
    <w:rsid w:val="00CD4195"/>
    <w:rsid w:val="00CD5D99"/>
    <w:rsid w:val="00CD7C88"/>
    <w:rsid w:val="00CE037C"/>
    <w:rsid w:val="00CE0DB1"/>
    <w:rsid w:val="00CE0FFC"/>
    <w:rsid w:val="00CE192A"/>
    <w:rsid w:val="00CE1A74"/>
    <w:rsid w:val="00CE2150"/>
    <w:rsid w:val="00CE351D"/>
    <w:rsid w:val="00CE3A89"/>
    <w:rsid w:val="00CE48ED"/>
    <w:rsid w:val="00CE5005"/>
    <w:rsid w:val="00CE5474"/>
    <w:rsid w:val="00CE54FB"/>
    <w:rsid w:val="00CE5BEA"/>
    <w:rsid w:val="00CE5D73"/>
    <w:rsid w:val="00CE60EC"/>
    <w:rsid w:val="00CE689B"/>
    <w:rsid w:val="00CE6B36"/>
    <w:rsid w:val="00CE730C"/>
    <w:rsid w:val="00CF03DD"/>
    <w:rsid w:val="00CF06CE"/>
    <w:rsid w:val="00CF109E"/>
    <w:rsid w:val="00CF13D9"/>
    <w:rsid w:val="00CF144D"/>
    <w:rsid w:val="00CF29D1"/>
    <w:rsid w:val="00CF2EA6"/>
    <w:rsid w:val="00CF3916"/>
    <w:rsid w:val="00CF3C9F"/>
    <w:rsid w:val="00CF4188"/>
    <w:rsid w:val="00CF4C1F"/>
    <w:rsid w:val="00CF4D7A"/>
    <w:rsid w:val="00CF4E00"/>
    <w:rsid w:val="00CF4F3B"/>
    <w:rsid w:val="00CF5030"/>
    <w:rsid w:val="00CF52F9"/>
    <w:rsid w:val="00CF533E"/>
    <w:rsid w:val="00CF6479"/>
    <w:rsid w:val="00CF6B3B"/>
    <w:rsid w:val="00CF6D23"/>
    <w:rsid w:val="00CF6FC5"/>
    <w:rsid w:val="00CF72EC"/>
    <w:rsid w:val="00CF7332"/>
    <w:rsid w:val="00D02379"/>
    <w:rsid w:val="00D025D0"/>
    <w:rsid w:val="00D02F15"/>
    <w:rsid w:val="00D0343E"/>
    <w:rsid w:val="00D03757"/>
    <w:rsid w:val="00D03FFF"/>
    <w:rsid w:val="00D0457D"/>
    <w:rsid w:val="00D04D1A"/>
    <w:rsid w:val="00D0508C"/>
    <w:rsid w:val="00D051F1"/>
    <w:rsid w:val="00D0553B"/>
    <w:rsid w:val="00D0562C"/>
    <w:rsid w:val="00D05D44"/>
    <w:rsid w:val="00D0610C"/>
    <w:rsid w:val="00D0612E"/>
    <w:rsid w:val="00D0719F"/>
    <w:rsid w:val="00D074E0"/>
    <w:rsid w:val="00D07F61"/>
    <w:rsid w:val="00D10011"/>
    <w:rsid w:val="00D100BA"/>
    <w:rsid w:val="00D10ADF"/>
    <w:rsid w:val="00D10DC2"/>
    <w:rsid w:val="00D111C7"/>
    <w:rsid w:val="00D1211C"/>
    <w:rsid w:val="00D1266A"/>
    <w:rsid w:val="00D12EDF"/>
    <w:rsid w:val="00D1376A"/>
    <w:rsid w:val="00D13CD8"/>
    <w:rsid w:val="00D1453A"/>
    <w:rsid w:val="00D151FD"/>
    <w:rsid w:val="00D15BAD"/>
    <w:rsid w:val="00D15E50"/>
    <w:rsid w:val="00D16284"/>
    <w:rsid w:val="00D167D8"/>
    <w:rsid w:val="00D173F0"/>
    <w:rsid w:val="00D17918"/>
    <w:rsid w:val="00D17B7D"/>
    <w:rsid w:val="00D20A0F"/>
    <w:rsid w:val="00D22102"/>
    <w:rsid w:val="00D22163"/>
    <w:rsid w:val="00D22BF4"/>
    <w:rsid w:val="00D23352"/>
    <w:rsid w:val="00D235BB"/>
    <w:rsid w:val="00D23B5C"/>
    <w:rsid w:val="00D23C2A"/>
    <w:rsid w:val="00D23DF7"/>
    <w:rsid w:val="00D24AE7"/>
    <w:rsid w:val="00D24C4D"/>
    <w:rsid w:val="00D25221"/>
    <w:rsid w:val="00D2550F"/>
    <w:rsid w:val="00D25540"/>
    <w:rsid w:val="00D256D9"/>
    <w:rsid w:val="00D2591D"/>
    <w:rsid w:val="00D25DD9"/>
    <w:rsid w:val="00D26203"/>
    <w:rsid w:val="00D26370"/>
    <w:rsid w:val="00D26799"/>
    <w:rsid w:val="00D3013C"/>
    <w:rsid w:val="00D30171"/>
    <w:rsid w:val="00D302CC"/>
    <w:rsid w:val="00D30941"/>
    <w:rsid w:val="00D30ABF"/>
    <w:rsid w:val="00D30CA4"/>
    <w:rsid w:val="00D30D4A"/>
    <w:rsid w:val="00D311DB"/>
    <w:rsid w:val="00D3124A"/>
    <w:rsid w:val="00D31C0E"/>
    <w:rsid w:val="00D31E70"/>
    <w:rsid w:val="00D32991"/>
    <w:rsid w:val="00D32EBD"/>
    <w:rsid w:val="00D338C8"/>
    <w:rsid w:val="00D339DA"/>
    <w:rsid w:val="00D33BFC"/>
    <w:rsid w:val="00D36927"/>
    <w:rsid w:val="00D36A2A"/>
    <w:rsid w:val="00D36DDA"/>
    <w:rsid w:val="00D37531"/>
    <w:rsid w:val="00D37C01"/>
    <w:rsid w:val="00D40145"/>
    <w:rsid w:val="00D40D37"/>
    <w:rsid w:val="00D41813"/>
    <w:rsid w:val="00D41B33"/>
    <w:rsid w:val="00D41E85"/>
    <w:rsid w:val="00D42671"/>
    <w:rsid w:val="00D42C10"/>
    <w:rsid w:val="00D42EB0"/>
    <w:rsid w:val="00D4322D"/>
    <w:rsid w:val="00D43A79"/>
    <w:rsid w:val="00D43CEB"/>
    <w:rsid w:val="00D447FA"/>
    <w:rsid w:val="00D4522F"/>
    <w:rsid w:val="00D47779"/>
    <w:rsid w:val="00D47C3C"/>
    <w:rsid w:val="00D47E41"/>
    <w:rsid w:val="00D5035D"/>
    <w:rsid w:val="00D50415"/>
    <w:rsid w:val="00D51227"/>
    <w:rsid w:val="00D5183C"/>
    <w:rsid w:val="00D51B86"/>
    <w:rsid w:val="00D51D13"/>
    <w:rsid w:val="00D51DF5"/>
    <w:rsid w:val="00D51F46"/>
    <w:rsid w:val="00D51FB3"/>
    <w:rsid w:val="00D52037"/>
    <w:rsid w:val="00D525B6"/>
    <w:rsid w:val="00D52C18"/>
    <w:rsid w:val="00D52D65"/>
    <w:rsid w:val="00D5308C"/>
    <w:rsid w:val="00D530DD"/>
    <w:rsid w:val="00D5381B"/>
    <w:rsid w:val="00D541B0"/>
    <w:rsid w:val="00D5529A"/>
    <w:rsid w:val="00D55CCD"/>
    <w:rsid w:val="00D5609D"/>
    <w:rsid w:val="00D56C40"/>
    <w:rsid w:val="00D575E5"/>
    <w:rsid w:val="00D578C7"/>
    <w:rsid w:val="00D57C94"/>
    <w:rsid w:val="00D609AF"/>
    <w:rsid w:val="00D619C2"/>
    <w:rsid w:val="00D61AC3"/>
    <w:rsid w:val="00D61DDF"/>
    <w:rsid w:val="00D62232"/>
    <w:rsid w:val="00D62280"/>
    <w:rsid w:val="00D62426"/>
    <w:rsid w:val="00D62790"/>
    <w:rsid w:val="00D62C16"/>
    <w:rsid w:val="00D6340E"/>
    <w:rsid w:val="00D637E4"/>
    <w:rsid w:val="00D64AE0"/>
    <w:rsid w:val="00D64F19"/>
    <w:rsid w:val="00D653FE"/>
    <w:rsid w:val="00D65A52"/>
    <w:rsid w:val="00D666F4"/>
    <w:rsid w:val="00D671CA"/>
    <w:rsid w:val="00D701D7"/>
    <w:rsid w:val="00D7021D"/>
    <w:rsid w:val="00D702E0"/>
    <w:rsid w:val="00D70BB7"/>
    <w:rsid w:val="00D71AF8"/>
    <w:rsid w:val="00D71E40"/>
    <w:rsid w:val="00D727C9"/>
    <w:rsid w:val="00D72FDB"/>
    <w:rsid w:val="00D73B3C"/>
    <w:rsid w:val="00D74E83"/>
    <w:rsid w:val="00D75D64"/>
    <w:rsid w:val="00D77431"/>
    <w:rsid w:val="00D7747A"/>
    <w:rsid w:val="00D77723"/>
    <w:rsid w:val="00D77AB5"/>
    <w:rsid w:val="00D80100"/>
    <w:rsid w:val="00D8056E"/>
    <w:rsid w:val="00D81DB3"/>
    <w:rsid w:val="00D8285E"/>
    <w:rsid w:val="00D83585"/>
    <w:rsid w:val="00D84344"/>
    <w:rsid w:val="00D8596A"/>
    <w:rsid w:val="00D86736"/>
    <w:rsid w:val="00D901E7"/>
    <w:rsid w:val="00D9033A"/>
    <w:rsid w:val="00D9054C"/>
    <w:rsid w:val="00D908D3"/>
    <w:rsid w:val="00D91559"/>
    <w:rsid w:val="00D9172E"/>
    <w:rsid w:val="00D91C6B"/>
    <w:rsid w:val="00D920BA"/>
    <w:rsid w:val="00D92A78"/>
    <w:rsid w:val="00D93226"/>
    <w:rsid w:val="00D938BF"/>
    <w:rsid w:val="00D94314"/>
    <w:rsid w:val="00D943C1"/>
    <w:rsid w:val="00D961AB"/>
    <w:rsid w:val="00D974A9"/>
    <w:rsid w:val="00D9781E"/>
    <w:rsid w:val="00DA1C36"/>
    <w:rsid w:val="00DA1D0C"/>
    <w:rsid w:val="00DA2460"/>
    <w:rsid w:val="00DA3434"/>
    <w:rsid w:val="00DA3895"/>
    <w:rsid w:val="00DA406A"/>
    <w:rsid w:val="00DA4099"/>
    <w:rsid w:val="00DA477C"/>
    <w:rsid w:val="00DA614C"/>
    <w:rsid w:val="00DA7314"/>
    <w:rsid w:val="00DA7467"/>
    <w:rsid w:val="00DB02D7"/>
    <w:rsid w:val="00DB0D3E"/>
    <w:rsid w:val="00DB12FB"/>
    <w:rsid w:val="00DB1E6D"/>
    <w:rsid w:val="00DB3183"/>
    <w:rsid w:val="00DB34E8"/>
    <w:rsid w:val="00DB38DE"/>
    <w:rsid w:val="00DB4022"/>
    <w:rsid w:val="00DB4141"/>
    <w:rsid w:val="00DB45C3"/>
    <w:rsid w:val="00DB4AD1"/>
    <w:rsid w:val="00DB4BFD"/>
    <w:rsid w:val="00DB4F0E"/>
    <w:rsid w:val="00DB5240"/>
    <w:rsid w:val="00DB56A7"/>
    <w:rsid w:val="00DB5C72"/>
    <w:rsid w:val="00DB62CE"/>
    <w:rsid w:val="00DB6329"/>
    <w:rsid w:val="00DB6971"/>
    <w:rsid w:val="00DC08AE"/>
    <w:rsid w:val="00DC1AC5"/>
    <w:rsid w:val="00DC1B85"/>
    <w:rsid w:val="00DC22C5"/>
    <w:rsid w:val="00DC2A53"/>
    <w:rsid w:val="00DC3B0A"/>
    <w:rsid w:val="00DC3CAF"/>
    <w:rsid w:val="00DC3CCF"/>
    <w:rsid w:val="00DC3F58"/>
    <w:rsid w:val="00DC485D"/>
    <w:rsid w:val="00DC5461"/>
    <w:rsid w:val="00DC5952"/>
    <w:rsid w:val="00DC5A5B"/>
    <w:rsid w:val="00DC6643"/>
    <w:rsid w:val="00DC6BF0"/>
    <w:rsid w:val="00DC75FC"/>
    <w:rsid w:val="00DD0470"/>
    <w:rsid w:val="00DD2359"/>
    <w:rsid w:val="00DD27F7"/>
    <w:rsid w:val="00DD31AC"/>
    <w:rsid w:val="00DD3398"/>
    <w:rsid w:val="00DD49CE"/>
    <w:rsid w:val="00DD4D31"/>
    <w:rsid w:val="00DD637A"/>
    <w:rsid w:val="00DD715F"/>
    <w:rsid w:val="00DD7B05"/>
    <w:rsid w:val="00DD7B60"/>
    <w:rsid w:val="00DD7DE6"/>
    <w:rsid w:val="00DD7E98"/>
    <w:rsid w:val="00DE083C"/>
    <w:rsid w:val="00DE0AFE"/>
    <w:rsid w:val="00DE0C67"/>
    <w:rsid w:val="00DE1A09"/>
    <w:rsid w:val="00DE1EB1"/>
    <w:rsid w:val="00DE25ED"/>
    <w:rsid w:val="00DE2E52"/>
    <w:rsid w:val="00DE3166"/>
    <w:rsid w:val="00DE3658"/>
    <w:rsid w:val="00DE3A62"/>
    <w:rsid w:val="00DE4063"/>
    <w:rsid w:val="00DE6199"/>
    <w:rsid w:val="00DE62B5"/>
    <w:rsid w:val="00DE6601"/>
    <w:rsid w:val="00DE6794"/>
    <w:rsid w:val="00DE6FBE"/>
    <w:rsid w:val="00DE7BAD"/>
    <w:rsid w:val="00DE7CBE"/>
    <w:rsid w:val="00DF06A3"/>
    <w:rsid w:val="00DF0E03"/>
    <w:rsid w:val="00DF1997"/>
    <w:rsid w:val="00DF24BE"/>
    <w:rsid w:val="00DF2B50"/>
    <w:rsid w:val="00DF34B0"/>
    <w:rsid w:val="00DF39F8"/>
    <w:rsid w:val="00DF4F2E"/>
    <w:rsid w:val="00DF5C98"/>
    <w:rsid w:val="00DF67DE"/>
    <w:rsid w:val="00DF7229"/>
    <w:rsid w:val="00DF7C2E"/>
    <w:rsid w:val="00E00277"/>
    <w:rsid w:val="00E0083B"/>
    <w:rsid w:val="00E00CCB"/>
    <w:rsid w:val="00E00E05"/>
    <w:rsid w:val="00E01C2B"/>
    <w:rsid w:val="00E01EC7"/>
    <w:rsid w:val="00E01FFC"/>
    <w:rsid w:val="00E0241E"/>
    <w:rsid w:val="00E024CC"/>
    <w:rsid w:val="00E024E4"/>
    <w:rsid w:val="00E02669"/>
    <w:rsid w:val="00E02EB8"/>
    <w:rsid w:val="00E03407"/>
    <w:rsid w:val="00E03460"/>
    <w:rsid w:val="00E03517"/>
    <w:rsid w:val="00E04517"/>
    <w:rsid w:val="00E0462A"/>
    <w:rsid w:val="00E04C1A"/>
    <w:rsid w:val="00E06050"/>
    <w:rsid w:val="00E065BF"/>
    <w:rsid w:val="00E06D65"/>
    <w:rsid w:val="00E07519"/>
    <w:rsid w:val="00E07841"/>
    <w:rsid w:val="00E100C6"/>
    <w:rsid w:val="00E10B03"/>
    <w:rsid w:val="00E10B2E"/>
    <w:rsid w:val="00E132AF"/>
    <w:rsid w:val="00E134F6"/>
    <w:rsid w:val="00E13CF8"/>
    <w:rsid w:val="00E13DFA"/>
    <w:rsid w:val="00E15DD7"/>
    <w:rsid w:val="00E16999"/>
    <w:rsid w:val="00E16D3A"/>
    <w:rsid w:val="00E1723E"/>
    <w:rsid w:val="00E176F4"/>
    <w:rsid w:val="00E218A1"/>
    <w:rsid w:val="00E2199F"/>
    <w:rsid w:val="00E21C7F"/>
    <w:rsid w:val="00E22111"/>
    <w:rsid w:val="00E22631"/>
    <w:rsid w:val="00E22B45"/>
    <w:rsid w:val="00E22C38"/>
    <w:rsid w:val="00E22FFB"/>
    <w:rsid w:val="00E2357A"/>
    <w:rsid w:val="00E23946"/>
    <w:rsid w:val="00E241A2"/>
    <w:rsid w:val="00E24332"/>
    <w:rsid w:val="00E244D5"/>
    <w:rsid w:val="00E2565C"/>
    <w:rsid w:val="00E25D27"/>
    <w:rsid w:val="00E26B5F"/>
    <w:rsid w:val="00E26D8E"/>
    <w:rsid w:val="00E27AC8"/>
    <w:rsid w:val="00E27CC3"/>
    <w:rsid w:val="00E301C5"/>
    <w:rsid w:val="00E30500"/>
    <w:rsid w:val="00E30B29"/>
    <w:rsid w:val="00E31B67"/>
    <w:rsid w:val="00E31C9B"/>
    <w:rsid w:val="00E32325"/>
    <w:rsid w:val="00E3267A"/>
    <w:rsid w:val="00E32836"/>
    <w:rsid w:val="00E32BB1"/>
    <w:rsid w:val="00E331A5"/>
    <w:rsid w:val="00E33ADB"/>
    <w:rsid w:val="00E35A7D"/>
    <w:rsid w:val="00E35FAF"/>
    <w:rsid w:val="00E36242"/>
    <w:rsid w:val="00E36AE2"/>
    <w:rsid w:val="00E36EA1"/>
    <w:rsid w:val="00E3719F"/>
    <w:rsid w:val="00E371C7"/>
    <w:rsid w:val="00E375BB"/>
    <w:rsid w:val="00E4054A"/>
    <w:rsid w:val="00E40844"/>
    <w:rsid w:val="00E40B0B"/>
    <w:rsid w:val="00E41242"/>
    <w:rsid w:val="00E41315"/>
    <w:rsid w:val="00E41D88"/>
    <w:rsid w:val="00E423E2"/>
    <w:rsid w:val="00E42947"/>
    <w:rsid w:val="00E43349"/>
    <w:rsid w:val="00E4351E"/>
    <w:rsid w:val="00E43BCD"/>
    <w:rsid w:val="00E4459E"/>
    <w:rsid w:val="00E456C8"/>
    <w:rsid w:val="00E460B2"/>
    <w:rsid w:val="00E47334"/>
    <w:rsid w:val="00E47555"/>
    <w:rsid w:val="00E50269"/>
    <w:rsid w:val="00E5047B"/>
    <w:rsid w:val="00E51DC9"/>
    <w:rsid w:val="00E5231D"/>
    <w:rsid w:val="00E53470"/>
    <w:rsid w:val="00E53EE1"/>
    <w:rsid w:val="00E54536"/>
    <w:rsid w:val="00E54B0E"/>
    <w:rsid w:val="00E54FC1"/>
    <w:rsid w:val="00E5501D"/>
    <w:rsid w:val="00E55204"/>
    <w:rsid w:val="00E5560D"/>
    <w:rsid w:val="00E55777"/>
    <w:rsid w:val="00E55FEC"/>
    <w:rsid w:val="00E56B6A"/>
    <w:rsid w:val="00E56B97"/>
    <w:rsid w:val="00E573AD"/>
    <w:rsid w:val="00E57506"/>
    <w:rsid w:val="00E57EA0"/>
    <w:rsid w:val="00E612A6"/>
    <w:rsid w:val="00E61546"/>
    <w:rsid w:val="00E61C58"/>
    <w:rsid w:val="00E61E8B"/>
    <w:rsid w:val="00E624B9"/>
    <w:rsid w:val="00E6276D"/>
    <w:rsid w:val="00E627AB"/>
    <w:rsid w:val="00E62FF6"/>
    <w:rsid w:val="00E63039"/>
    <w:rsid w:val="00E638F5"/>
    <w:rsid w:val="00E63B75"/>
    <w:rsid w:val="00E63F94"/>
    <w:rsid w:val="00E6468E"/>
    <w:rsid w:val="00E649A3"/>
    <w:rsid w:val="00E64A24"/>
    <w:rsid w:val="00E64F5C"/>
    <w:rsid w:val="00E658C7"/>
    <w:rsid w:val="00E6696B"/>
    <w:rsid w:val="00E66B1A"/>
    <w:rsid w:val="00E6791D"/>
    <w:rsid w:val="00E70E36"/>
    <w:rsid w:val="00E70F8C"/>
    <w:rsid w:val="00E7157E"/>
    <w:rsid w:val="00E7159D"/>
    <w:rsid w:val="00E72148"/>
    <w:rsid w:val="00E72EC4"/>
    <w:rsid w:val="00E72F2A"/>
    <w:rsid w:val="00E745CA"/>
    <w:rsid w:val="00E74B49"/>
    <w:rsid w:val="00E74E97"/>
    <w:rsid w:val="00E74F00"/>
    <w:rsid w:val="00E74F12"/>
    <w:rsid w:val="00E75C97"/>
    <w:rsid w:val="00E76ACE"/>
    <w:rsid w:val="00E770D8"/>
    <w:rsid w:val="00E77344"/>
    <w:rsid w:val="00E77C61"/>
    <w:rsid w:val="00E81490"/>
    <w:rsid w:val="00E81A88"/>
    <w:rsid w:val="00E81F3D"/>
    <w:rsid w:val="00E81F62"/>
    <w:rsid w:val="00E830FE"/>
    <w:rsid w:val="00E8316E"/>
    <w:rsid w:val="00E836EA"/>
    <w:rsid w:val="00E83757"/>
    <w:rsid w:val="00E837FB"/>
    <w:rsid w:val="00E8394C"/>
    <w:rsid w:val="00E83A63"/>
    <w:rsid w:val="00E845EA"/>
    <w:rsid w:val="00E84A70"/>
    <w:rsid w:val="00E85089"/>
    <w:rsid w:val="00E85321"/>
    <w:rsid w:val="00E85BA1"/>
    <w:rsid w:val="00E85C94"/>
    <w:rsid w:val="00E85D95"/>
    <w:rsid w:val="00E8653C"/>
    <w:rsid w:val="00E90231"/>
    <w:rsid w:val="00E90666"/>
    <w:rsid w:val="00E917FC"/>
    <w:rsid w:val="00E91C8C"/>
    <w:rsid w:val="00E91F15"/>
    <w:rsid w:val="00E9262D"/>
    <w:rsid w:val="00E927EB"/>
    <w:rsid w:val="00E94CAE"/>
    <w:rsid w:val="00E95AA2"/>
    <w:rsid w:val="00E962B7"/>
    <w:rsid w:val="00E9636A"/>
    <w:rsid w:val="00E96FAF"/>
    <w:rsid w:val="00E97903"/>
    <w:rsid w:val="00EA04CC"/>
    <w:rsid w:val="00EA05AB"/>
    <w:rsid w:val="00EA13CF"/>
    <w:rsid w:val="00EA222A"/>
    <w:rsid w:val="00EA29F8"/>
    <w:rsid w:val="00EA4594"/>
    <w:rsid w:val="00EA4647"/>
    <w:rsid w:val="00EA4733"/>
    <w:rsid w:val="00EA72E0"/>
    <w:rsid w:val="00EA7862"/>
    <w:rsid w:val="00EA7951"/>
    <w:rsid w:val="00EA7E48"/>
    <w:rsid w:val="00EB0384"/>
    <w:rsid w:val="00EB0628"/>
    <w:rsid w:val="00EB065A"/>
    <w:rsid w:val="00EB0EFA"/>
    <w:rsid w:val="00EB101A"/>
    <w:rsid w:val="00EB2E3C"/>
    <w:rsid w:val="00EB382A"/>
    <w:rsid w:val="00EB47D0"/>
    <w:rsid w:val="00EB5E8F"/>
    <w:rsid w:val="00EB6B54"/>
    <w:rsid w:val="00EB726A"/>
    <w:rsid w:val="00EB7D4C"/>
    <w:rsid w:val="00EC0110"/>
    <w:rsid w:val="00EC0682"/>
    <w:rsid w:val="00EC1378"/>
    <w:rsid w:val="00EC2B8D"/>
    <w:rsid w:val="00EC2F7A"/>
    <w:rsid w:val="00EC3A17"/>
    <w:rsid w:val="00EC3E64"/>
    <w:rsid w:val="00EC4FDA"/>
    <w:rsid w:val="00EC54D3"/>
    <w:rsid w:val="00EC625C"/>
    <w:rsid w:val="00EC660C"/>
    <w:rsid w:val="00EC67DE"/>
    <w:rsid w:val="00EC6988"/>
    <w:rsid w:val="00EC7E33"/>
    <w:rsid w:val="00EC7E60"/>
    <w:rsid w:val="00ED01E2"/>
    <w:rsid w:val="00ED045F"/>
    <w:rsid w:val="00ED135D"/>
    <w:rsid w:val="00ED182C"/>
    <w:rsid w:val="00ED1C4C"/>
    <w:rsid w:val="00ED2941"/>
    <w:rsid w:val="00ED29D0"/>
    <w:rsid w:val="00ED2D6F"/>
    <w:rsid w:val="00ED3733"/>
    <w:rsid w:val="00ED3E32"/>
    <w:rsid w:val="00ED43B9"/>
    <w:rsid w:val="00ED4D62"/>
    <w:rsid w:val="00ED57BB"/>
    <w:rsid w:val="00ED61E0"/>
    <w:rsid w:val="00ED682B"/>
    <w:rsid w:val="00ED747F"/>
    <w:rsid w:val="00ED7712"/>
    <w:rsid w:val="00ED7C3A"/>
    <w:rsid w:val="00EE0080"/>
    <w:rsid w:val="00EE0161"/>
    <w:rsid w:val="00EE0730"/>
    <w:rsid w:val="00EE0B60"/>
    <w:rsid w:val="00EE0F62"/>
    <w:rsid w:val="00EE160D"/>
    <w:rsid w:val="00EE162A"/>
    <w:rsid w:val="00EE20DB"/>
    <w:rsid w:val="00EE23B1"/>
    <w:rsid w:val="00EE31BB"/>
    <w:rsid w:val="00EE321F"/>
    <w:rsid w:val="00EE44D3"/>
    <w:rsid w:val="00EE458E"/>
    <w:rsid w:val="00EE488E"/>
    <w:rsid w:val="00EE4DE3"/>
    <w:rsid w:val="00EE4ED0"/>
    <w:rsid w:val="00EE568B"/>
    <w:rsid w:val="00EE5D0C"/>
    <w:rsid w:val="00EE5E63"/>
    <w:rsid w:val="00EE642B"/>
    <w:rsid w:val="00EE70C4"/>
    <w:rsid w:val="00EF01DB"/>
    <w:rsid w:val="00EF0349"/>
    <w:rsid w:val="00EF07E2"/>
    <w:rsid w:val="00EF0949"/>
    <w:rsid w:val="00EF0A57"/>
    <w:rsid w:val="00EF1C0C"/>
    <w:rsid w:val="00EF1FC9"/>
    <w:rsid w:val="00EF223D"/>
    <w:rsid w:val="00EF2D33"/>
    <w:rsid w:val="00EF3994"/>
    <w:rsid w:val="00EF3FBC"/>
    <w:rsid w:val="00EF41A9"/>
    <w:rsid w:val="00EF4257"/>
    <w:rsid w:val="00EF53F6"/>
    <w:rsid w:val="00EF5A62"/>
    <w:rsid w:val="00EF6942"/>
    <w:rsid w:val="00EF6A29"/>
    <w:rsid w:val="00EF6C22"/>
    <w:rsid w:val="00EF740C"/>
    <w:rsid w:val="00EF76B2"/>
    <w:rsid w:val="00EF77E4"/>
    <w:rsid w:val="00EF7BB2"/>
    <w:rsid w:val="00EF7ECC"/>
    <w:rsid w:val="00F007E0"/>
    <w:rsid w:val="00F00EDE"/>
    <w:rsid w:val="00F010F1"/>
    <w:rsid w:val="00F01564"/>
    <w:rsid w:val="00F018CA"/>
    <w:rsid w:val="00F01C48"/>
    <w:rsid w:val="00F028C0"/>
    <w:rsid w:val="00F0455E"/>
    <w:rsid w:val="00F04F23"/>
    <w:rsid w:val="00F05157"/>
    <w:rsid w:val="00F055FE"/>
    <w:rsid w:val="00F07452"/>
    <w:rsid w:val="00F075EF"/>
    <w:rsid w:val="00F07A05"/>
    <w:rsid w:val="00F07DED"/>
    <w:rsid w:val="00F10248"/>
    <w:rsid w:val="00F10654"/>
    <w:rsid w:val="00F10E06"/>
    <w:rsid w:val="00F10ECD"/>
    <w:rsid w:val="00F1148E"/>
    <w:rsid w:val="00F1169A"/>
    <w:rsid w:val="00F12DFF"/>
    <w:rsid w:val="00F130E6"/>
    <w:rsid w:val="00F13871"/>
    <w:rsid w:val="00F148D9"/>
    <w:rsid w:val="00F14CFF"/>
    <w:rsid w:val="00F15821"/>
    <w:rsid w:val="00F15D62"/>
    <w:rsid w:val="00F15D9B"/>
    <w:rsid w:val="00F1759F"/>
    <w:rsid w:val="00F20B77"/>
    <w:rsid w:val="00F2102A"/>
    <w:rsid w:val="00F21242"/>
    <w:rsid w:val="00F21FA1"/>
    <w:rsid w:val="00F2223B"/>
    <w:rsid w:val="00F23A2A"/>
    <w:rsid w:val="00F23C7C"/>
    <w:rsid w:val="00F23DD2"/>
    <w:rsid w:val="00F24240"/>
    <w:rsid w:val="00F249D8"/>
    <w:rsid w:val="00F24E9C"/>
    <w:rsid w:val="00F2641F"/>
    <w:rsid w:val="00F2643F"/>
    <w:rsid w:val="00F273E9"/>
    <w:rsid w:val="00F27811"/>
    <w:rsid w:val="00F30105"/>
    <w:rsid w:val="00F3049A"/>
    <w:rsid w:val="00F31606"/>
    <w:rsid w:val="00F3255D"/>
    <w:rsid w:val="00F32650"/>
    <w:rsid w:val="00F336FA"/>
    <w:rsid w:val="00F33C38"/>
    <w:rsid w:val="00F3463D"/>
    <w:rsid w:val="00F34743"/>
    <w:rsid w:val="00F35F64"/>
    <w:rsid w:val="00F3625E"/>
    <w:rsid w:val="00F400E9"/>
    <w:rsid w:val="00F407F3"/>
    <w:rsid w:val="00F40FD8"/>
    <w:rsid w:val="00F4186B"/>
    <w:rsid w:val="00F41D6D"/>
    <w:rsid w:val="00F41DE1"/>
    <w:rsid w:val="00F42E86"/>
    <w:rsid w:val="00F432FB"/>
    <w:rsid w:val="00F434DD"/>
    <w:rsid w:val="00F44C7B"/>
    <w:rsid w:val="00F451DB"/>
    <w:rsid w:val="00F45585"/>
    <w:rsid w:val="00F45FF1"/>
    <w:rsid w:val="00F460D6"/>
    <w:rsid w:val="00F464DC"/>
    <w:rsid w:val="00F4701B"/>
    <w:rsid w:val="00F47927"/>
    <w:rsid w:val="00F479AC"/>
    <w:rsid w:val="00F5185D"/>
    <w:rsid w:val="00F51AB1"/>
    <w:rsid w:val="00F527A0"/>
    <w:rsid w:val="00F52D8E"/>
    <w:rsid w:val="00F533F0"/>
    <w:rsid w:val="00F53726"/>
    <w:rsid w:val="00F53789"/>
    <w:rsid w:val="00F540D2"/>
    <w:rsid w:val="00F5412D"/>
    <w:rsid w:val="00F5539F"/>
    <w:rsid w:val="00F5589D"/>
    <w:rsid w:val="00F55ADB"/>
    <w:rsid w:val="00F56024"/>
    <w:rsid w:val="00F5654A"/>
    <w:rsid w:val="00F567D1"/>
    <w:rsid w:val="00F56952"/>
    <w:rsid w:val="00F606B3"/>
    <w:rsid w:val="00F60D3B"/>
    <w:rsid w:val="00F60E2A"/>
    <w:rsid w:val="00F60F1C"/>
    <w:rsid w:val="00F60F3D"/>
    <w:rsid w:val="00F6104B"/>
    <w:rsid w:val="00F61345"/>
    <w:rsid w:val="00F61C21"/>
    <w:rsid w:val="00F6206E"/>
    <w:rsid w:val="00F62B67"/>
    <w:rsid w:val="00F64556"/>
    <w:rsid w:val="00F656BA"/>
    <w:rsid w:val="00F6612C"/>
    <w:rsid w:val="00F66225"/>
    <w:rsid w:val="00F662E0"/>
    <w:rsid w:val="00F670E0"/>
    <w:rsid w:val="00F67354"/>
    <w:rsid w:val="00F67915"/>
    <w:rsid w:val="00F70A3B"/>
    <w:rsid w:val="00F7146F"/>
    <w:rsid w:val="00F715CA"/>
    <w:rsid w:val="00F7171F"/>
    <w:rsid w:val="00F7224F"/>
    <w:rsid w:val="00F72DAB"/>
    <w:rsid w:val="00F72E51"/>
    <w:rsid w:val="00F73621"/>
    <w:rsid w:val="00F73C93"/>
    <w:rsid w:val="00F73D56"/>
    <w:rsid w:val="00F7479C"/>
    <w:rsid w:val="00F75B99"/>
    <w:rsid w:val="00F762E8"/>
    <w:rsid w:val="00F772A8"/>
    <w:rsid w:val="00F77842"/>
    <w:rsid w:val="00F80567"/>
    <w:rsid w:val="00F81222"/>
    <w:rsid w:val="00F81570"/>
    <w:rsid w:val="00F81E50"/>
    <w:rsid w:val="00F825C8"/>
    <w:rsid w:val="00F82E5C"/>
    <w:rsid w:val="00F8318D"/>
    <w:rsid w:val="00F835F2"/>
    <w:rsid w:val="00F8498A"/>
    <w:rsid w:val="00F85D29"/>
    <w:rsid w:val="00F85FA3"/>
    <w:rsid w:val="00F86172"/>
    <w:rsid w:val="00F86860"/>
    <w:rsid w:val="00F8727F"/>
    <w:rsid w:val="00F87852"/>
    <w:rsid w:val="00F878AE"/>
    <w:rsid w:val="00F90414"/>
    <w:rsid w:val="00F90869"/>
    <w:rsid w:val="00F91318"/>
    <w:rsid w:val="00F91D79"/>
    <w:rsid w:val="00F91E33"/>
    <w:rsid w:val="00F92C43"/>
    <w:rsid w:val="00F92ECB"/>
    <w:rsid w:val="00F93140"/>
    <w:rsid w:val="00F932C9"/>
    <w:rsid w:val="00F9409C"/>
    <w:rsid w:val="00F943AE"/>
    <w:rsid w:val="00F948B1"/>
    <w:rsid w:val="00F94E09"/>
    <w:rsid w:val="00F95268"/>
    <w:rsid w:val="00F958C3"/>
    <w:rsid w:val="00F95BE8"/>
    <w:rsid w:val="00F96AD1"/>
    <w:rsid w:val="00F97512"/>
    <w:rsid w:val="00F978CB"/>
    <w:rsid w:val="00F97E06"/>
    <w:rsid w:val="00FA03AC"/>
    <w:rsid w:val="00FA176B"/>
    <w:rsid w:val="00FA1C49"/>
    <w:rsid w:val="00FA2234"/>
    <w:rsid w:val="00FA237B"/>
    <w:rsid w:val="00FA2504"/>
    <w:rsid w:val="00FA2A9D"/>
    <w:rsid w:val="00FA3482"/>
    <w:rsid w:val="00FA40C3"/>
    <w:rsid w:val="00FA41D7"/>
    <w:rsid w:val="00FA51BD"/>
    <w:rsid w:val="00FA6051"/>
    <w:rsid w:val="00FA6485"/>
    <w:rsid w:val="00FA79C9"/>
    <w:rsid w:val="00FB0323"/>
    <w:rsid w:val="00FB083E"/>
    <w:rsid w:val="00FB0F6C"/>
    <w:rsid w:val="00FB24E1"/>
    <w:rsid w:val="00FB2BDE"/>
    <w:rsid w:val="00FB439D"/>
    <w:rsid w:val="00FB4734"/>
    <w:rsid w:val="00FB4BA4"/>
    <w:rsid w:val="00FB53D4"/>
    <w:rsid w:val="00FB5576"/>
    <w:rsid w:val="00FB61A2"/>
    <w:rsid w:val="00FB69C5"/>
    <w:rsid w:val="00FB71B9"/>
    <w:rsid w:val="00FC07AF"/>
    <w:rsid w:val="00FC22F9"/>
    <w:rsid w:val="00FC287E"/>
    <w:rsid w:val="00FC33C5"/>
    <w:rsid w:val="00FC43E6"/>
    <w:rsid w:val="00FC4740"/>
    <w:rsid w:val="00FC50CE"/>
    <w:rsid w:val="00FC5198"/>
    <w:rsid w:val="00FC526C"/>
    <w:rsid w:val="00FC75A3"/>
    <w:rsid w:val="00FC7E14"/>
    <w:rsid w:val="00FC7E66"/>
    <w:rsid w:val="00FD03AE"/>
    <w:rsid w:val="00FD091E"/>
    <w:rsid w:val="00FD0D0D"/>
    <w:rsid w:val="00FD114E"/>
    <w:rsid w:val="00FD17B6"/>
    <w:rsid w:val="00FD1DFD"/>
    <w:rsid w:val="00FD2807"/>
    <w:rsid w:val="00FD31B6"/>
    <w:rsid w:val="00FD3841"/>
    <w:rsid w:val="00FD38CE"/>
    <w:rsid w:val="00FD3EE0"/>
    <w:rsid w:val="00FD4326"/>
    <w:rsid w:val="00FD5014"/>
    <w:rsid w:val="00FD53D3"/>
    <w:rsid w:val="00FD5AD3"/>
    <w:rsid w:val="00FD5D80"/>
    <w:rsid w:val="00FD63EE"/>
    <w:rsid w:val="00FD6448"/>
    <w:rsid w:val="00FD7A58"/>
    <w:rsid w:val="00FE0B14"/>
    <w:rsid w:val="00FE0D0F"/>
    <w:rsid w:val="00FE1178"/>
    <w:rsid w:val="00FE2C41"/>
    <w:rsid w:val="00FE2D6C"/>
    <w:rsid w:val="00FE3232"/>
    <w:rsid w:val="00FE3641"/>
    <w:rsid w:val="00FE3988"/>
    <w:rsid w:val="00FE3E85"/>
    <w:rsid w:val="00FE4702"/>
    <w:rsid w:val="00FE4DC2"/>
    <w:rsid w:val="00FE640B"/>
    <w:rsid w:val="00FE7510"/>
    <w:rsid w:val="00FE7C21"/>
    <w:rsid w:val="00FE7C69"/>
    <w:rsid w:val="00FF0015"/>
    <w:rsid w:val="00FF01F1"/>
    <w:rsid w:val="00FF0542"/>
    <w:rsid w:val="00FF0608"/>
    <w:rsid w:val="00FF0B3A"/>
    <w:rsid w:val="00FF0D7E"/>
    <w:rsid w:val="00FF0F0F"/>
    <w:rsid w:val="00FF14E1"/>
    <w:rsid w:val="00FF273A"/>
    <w:rsid w:val="00FF277A"/>
    <w:rsid w:val="00FF2C11"/>
    <w:rsid w:val="00FF2C26"/>
    <w:rsid w:val="00FF4438"/>
    <w:rsid w:val="00FF5CAB"/>
    <w:rsid w:val="00FF616F"/>
    <w:rsid w:val="00FF62B6"/>
    <w:rsid w:val="00FF710B"/>
    <w:rsid w:val="00FF77C0"/>
    <w:rsid w:val="0CE10CED"/>
    <w:rsid w:val="147AA8D3"/>
    <w:rsid w:val="14CD80EC"/>
    <w:rsid w:val="280623FF"/>
    <w:rsid w:val="29D0EDBA"/>
    <w:rsid w:val="3150F9B3"/>
    <w:rsid w:val="400A8926"/>
    <w:rsid w:val="40B6DB61"/>
    <w:rsid w:val="48B28DC1"/>
    <w:rsid w:val="4A0DDFE0"/>
    <w:rsid w:val="4C3CA484"/>
    <w:rsid w:val="4DC69D79"/>
    <w:rsid w:val="4E55D606"/>
    <w:rsid w:val="53870BFB"/>
    <w:rsid w:val="574AA292"/>
    <w:rsid w:val="583B9D88"/>
    <w:rsid w:val="6645C6DC"/>
    <w:rsid w:val="7ABD95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198F04"/>
  <w15:chartTrackingRefBased/>
  <w15:docId w15:val="{8527546B-B3EA-4CEA-A3E8-E1BCC4D01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7A7F"/>
    <w:pPr>
      <w:spacing w:after="0" w:line="240" w:lineRule="auto"/>
    </w:pPr>
    <w:rPr>
      <w:rFonts w:ascii="Century Gothic" w:eastAsia="PMingLiU" w:hAnsi="Century Gothic" w:cs="Times New Roman"/>
      <w:color w:val="000000"/>
      <w:kern w:val="0"/>
      <w:szCs w:val="20"/>
      <w:lang w:bidi="ar-DZ"/>
      <w14:ligatures w14:val="none"/>
    </w:rPr>
  </w:style>
  <w:style w:type="paragraph" w:styleId="Heading1">
    <w:name w:val="heading 1"/>
    <w:next w:val="BodyText"/>
    <w:link w:val="Heading1Char"/>
    <w:qFormat/>
    <w:rsid w:val="00487A7F"/>
    <w:pPr>
      <w:keepNext/>
      <w:pageBreakBefore/>
      <w:numPr>
        <w:numId w:val="27"/>
      </w:numPr>
      <w:pBdr>
        <w:bottom w:val="single" w:sz="8" w:space="1" w:color="00EEAE"/>
      </w:pBdr>
      <w:spacing w:after="120" w:line="240" w:lineRule="auto"/>
      <w:ind w:left="1080" w:hanging="1080"/>
      <w:outlineLvl w:val="0"/>
    </w:pPr>
    <w:rPr>
      <w:rFonts w:ascii="Century Gothic" w:eastAsia="PMingLiU" w:hAnsi="Century Gothic" w:cs="Arial"/>
      <w:b/>
      <w:bCs/>
      <w:color w:val="2B3A44"/>
      <w:kern w:val="32"/>
      <w:sz w:val="48"/>
      <w:szCs w:val="32"/>
      <w:lang w:bidi="ar-DZ"/>
      <w14:ligatures w14:val="none"/>
    </w:rPr>
  </w:style>
  <w:style w:type="paragraph" w:styleId="Heading2">
    <w:name w:val="heading 2"/>
    <w:next w:val="BodyText"/>
    <w:link w:val="Heading2Char"/>
    <w:qFormat/>
    <w:rsid w:val="00487A7F"/>
    <w:pPr>
      <w:keepNext/>
      <w:numPr>
        <w:ilvl w:val="1"/>
        <w:numId w:val="27"/>
      </w:numPr>
      <w:pBdr>
        <w:bottom w:val="single" w:sz="8" w:space="1" w:color="00EEAE"/>
      </w:pBdr>
      <w:spacing w:before="240" w:after="120" w:line="240" w:lineRule="auto"/>
      <w:ind w:left="1080" w:hanging="1080"/>
      <w:outlineLvl w:val="1"/>
    </w:pPr>
    <w:rPr>
      <w:rFonts w:ascii="Century Gothic" w:eastAsia="PMingLiU" w:hAnsi="Century Gothic" w:cs="Arial"/>
      <w:b/>
      <w:bCs/>
      <w:iCs/>
      <w:color w:val="2B3A44"/>
      <w:kern w:val="0"/>
      <w:sz w:val="44"/>
      <w:szCs w:val="28"/>
      <w:lang w:bidi="ar-DZ"/>
      <w14:ligatures w14:val="none"/>
    </w:rPr>
  </w:style>
  <w:style w:type="paragraph" w:styleId="Heading3">
    <w:name w:val="heading 3"/>
    <w:next w:val="BodyText"/>
    <w:link w:val="Heading3Char"/>
    <w:qFormat/>
    <w:rsid w:val="00487A7F"/>
    <w:pPr>
      <w:keepNext/>
      <w:numPr>
        <w:ilvl w:val="2"/>
        <w:numId w:val="27"/>
      </w:numPr>
      <w:spacing w:before="240" w:after="120" w:line="240" w:lineRule="auto"/>
      <w:ind w:left="1440" w:hanging="1440"/>
      <w:outlineLvl w:val="2"/>
    </w:pPr>
    <w:rPr>
      <w:rFonts w:ascii="Century Gothic" w:eastAsia="PMingLiU" w:hAnsi="Century Gothic" w:cs="Arial"/>
      <w:b/>
      <w:bCs/>
      <w:color w:val="2B3A44"/>
      <w:kern w:val="0"/>
      <w:sz w:val="40"/>
      <w:szCs w:val="26"/>
      <w:lang w:bidi="ar-DZ"/>
      <w14:ligatures w14:val="none"/>
    </w:rPr>
  </w:style>
  <w:style w:type="paragraph" w:styleId="Heading4">
    <w:name w:val="heading 4"/>
    <w:next w:val="BodyText"/>
    <w:link w:val="Heading4Char"/>
    <w:qFormat/>
    <w:rsid w:val="00487A7F"/>
    <w:pPr>
      <w:keepNext/>
      <w:keepLines/>
      <w:numPr>
        <w:ilvl w:val="3"/>
        <w:numId w:val="27"/>
      </w:numPr>
      <w:tabs>
        <w:tab w:val="left" w:pos="1440"/>
      </w:tabs>
      <w:spacing w:before="240" w:after="120" w:line="240" w:lineRule="auto"/>
      <w:ind w:left="1440" w:hanging="1440"/>
      <w:outlineLvl w:val="3"/>
    </w:pPr>
    <w:rPr>
      <w:rFonts w:ascii="Century Gothic" w:eastAsia="PMingLiU" w:hAnsi="Century Gothic" w:cs="Times New Roman"/>
      <w:b/>
      <w:bCs/>
      <w:color w:val="2B3A44"/>
      <w:kern w:val="0"/>
      <w:sz w:val="36"/>
      <w:szCs w:val="28"/>
      <w:lang w:bidi="ar-DZ"/>
      <w14:ligatures w14:val="none"/>
    </w:rPr>
  </w:style>
  <w:style w:type="paragraph" w:styleId="Heading5">
    <w:name w:val="heading 5"/>
    <w:next w:val="BodyText"/>
    <w:link w:val="Heading5Char"/>
    <w:qFormat/>
    <w:rsid w:val="00487A7F"/>
    <w:pPr>
      <w:keepNext/>
      <w:keepLines/>
      <w:numPr>
        <w:ilvl w:val="4"/>
        <w:numId w:val="27"/>
      </w:numPr>
      <w:spacing w:before="240" w:after="120" w:line="240" w:lineRule="auto"/>
      <w:ind w:left="1728" w:hanging="1728"/>
      <w:outlineLvl w:val="4"/>
    </w:pPr>
    <w:rPr>
      <w:rFonts w:ascii="Century Gothic" w:eastAsia="PMingLiU" w:hAnsi="Century Gothic" w:cs="Times New Roman"/>
      <w:b/>
      <w:bCs/>
      <w:iCs/>
      <w:color w:val="2B3A44"/>
      <w:kern w:val="0"/>
      <w:sz w:val="32"/>
      <w:szCs w:val="26"/>
      <w:lang w:bidi="ar-DZ"/>
      <w14:ligatures w14:val="none"/>
    </w:rPr>
  </w:style>
  <w:style w:type="paragraph" w:styleId="Heading6">
    <w:name w:val="heading 6"/>
    <w:next w:val="BodyText"/>
    <w:link w:val="Heading6Char"/>
    <w:qFormat/>
    <w:rsid w:val="00487A7F"/>
    <w:pPr>
      <w:keepNext/>
      <w:keepLines/>
      <w:numPr>
        <w:ilvl w:val="5"/>
        <w:numId w:val="27"/>
      </w:numPr>
      <w:spacing w:before="240" w:after="120" w:line="240" w:lineRule="auto"/>
      <w:ind w:left="1728" w:hanging="1728"/>
      <w:outlineLvl w:val="5"/>
    </w:pPr>
    <w:rPr>
      <w:rFonts w:ascii="Century Gothic" w:eastAsia="PMingLiU" w:hAnsi="Century Gothic" w:cs="Times New Roman"/>
      <w:b/>
      <w:bCs/>
      <w:color w:val="2B3A44"/>
      <w:kern w:val="0"/>
      <w:sz w:val="28"/>
      <w:lang w:bidi="ar-DZ"/>
      <w14:ligatures w14:val="none"/>
    </w:rPr>
  </w:style>
  <w:style w:type="paragraph" w:styleId="Heading7">
    <w:name w:val="heading 7"/>
    <w:basedOn w:val="Normal"/>
    <w:next w:val="Normal"/>
    <w:link w:val="Heading7Char"/>
    <w:semiHidden/>
    <w:qFormat/>
    <w:rsid w:val="00487A7F"/>
    <w:pPr>
      <w:numPr>
        <w:ilvl w:val="6"/>
        <w:numId w:val="27"/>
      </w:numPr>
      <w:spacing w:before="240" w:after="60"/>
      <w:outlineLvl w:val="6"/>
    </w:pPr>
    <w:rPr>
      <w:rFonts w:ascii="Times New Roman" w:hAnsi="Times New Roman"/>
      <w:sz w:val="24"/>
      <w:szCs w:val="24"/>
    </w:rPr>
  </w:style>
  <w:style w:type="paragraph" w:styleId="Heading8">
    <w:name w:val="heading 8"/>
    <w:basedOn w:val="Normal"/>
    <w:next w:val="Normal"/>
    <w:link w:val="Heading8Char"/>
    <w:semiHidden/>
    <w:qFormat/>
    <w:rsid w:val="00487A7F"/>
    <w:pPr>
      <w:numPr>
        <w:ilvl w:val="7"/>
        <w:numId w:val="27"/>
      </w:numPr>
      <w:spacing w:before="240" w:after="60"/>
      <w:outlineLvl w:val="7"/>
    </w:pPr>
    <w:rPr>
      <w:rFonts w:ascii="Times New Roman" w:hAnsi="Times New Roman"/>
      <w:i/>
      <w:iCs/>
      <w:sz w:val="24"/>
      <w:szCs w:val="24"/>
    </w:rPr>
  </w:style>
  <w:style w:type="paragraph" w:styleId="Heading9">
    <w:name w:val="heading 9"/>
    <w:basedOn w:val="Normal"/>
    <w:next w:val="Normal"/>
    <w:link w:val="Heading9Char"/>
    <w:semiHidden/>
    <w:qFormat/>
    <w:rsid w:val="00487A7F"/>
    <w:pPr>
      <w:numPr>
        <w:ilvl w:val="8"/>
        <w:numId w:val="27"/>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87A7F"/>
    <w:rPr>
      <w:rFonts w:ascii="Century Gothic" w:eastAsia="PMingLiU" w:hAnsi="Century Gothic" w:cs="Arial"/>
      <w:b/>
      <w:bCs/>
      <w:color w:val="2B3A44"/>
      <w:kern w:val="32"/>
      <w:sz w:val="48"/>
      <w:szCs w:val="32"/>
      <w:lang w:bidi="ar-DZ"/>
      <w14:ligatures w14:val="none"/>
    </w:rPr>
  </w:style>
  <w:style w:type="character" w:customStyle="1" w:styleId="Heading2Char">
    <w:name w:val="Heading 2 Char"/>
    <w:basedOn w:val="DefaultParagraphFont"/>
    <w:link w:val="Heading2"/>
    <w:rsid w:val="00487A7F"/>
    <w:rPr>
      <w:rFonts w:ascii="Century Gothic" w:eastAsia="PMingLiU" w:hAnsi="Century Gothic" w:cs="Arial"/>
      <w:b/>
      <w:bCs/>
      <w:iCs/>
      <w:color w:val="2B3A44"/>
      <w:kern w:val="0"/>
      <w:sz w:val="44"/>
      <w:szCs w:val="28"/>
      <w:lang w:bidi="ar-DZ"/>
      <w14:ligatures w14:val="none"/>
    </w:rPr>
  </w:style>
  <w:style w:type="character" w:customStyle="1" w:styleId="Heading3Char">
    <w:name w:val="Heading 3 Char"/>
    <w:basedOn w:val="DefaultParagraphFont"/>
    <w:link w:val="Heading3"/>
    <w:rsid w:val="00487A7F"/>
    <w:rPr>
      <w:rFonts w:ascii="Century Gothic" w:eastAsia="PMingLiU" w:hAnsi="Century Gothic" w:cs="Arial"/>
      <w:b/>
      <w:bCs/>
      <w:color w:val="2B3A44"/>
      <w:kern w:val="0"/>
      <w:sz w:val="40"/>
      <w:szCs w:val="26"/>
      <w:lang w:bidi="ar-DZ"/>
      <w14:ligatures w14:val="none"/>
    </w:rPr>
  </w:style>
  <w:style w:type="character" w:customStyle="1" w:styleId="Heading4Char">
    <w:name w:val="Heading 4 Char"/>
    <w:basedOn w:val="DefaultParagraphFont"/>
    <w:link w:val="Heading4"/>
    <w:rsid w:val="00487A7F"/>
    <w:rPr>
      <w:rFonts w:ascii="Century Gothic" w:eastAsia="PMingLiU" w:hAnsi="Century Gothic" w:cs="Times New Roman"/>
      <w:b/>
      <w:bCs/>
      <w:color w:val="2B3A44"/>
      <w:kern w:val="0"/>
      <w:sz w:val="36"/>
      <w:szCs w:val="28"/>
      <w:lang w:bidi="ar-DZ"/>
      <w14:ligatures w14:val="none"/>
    </w:rPr>
  </w:style>
  <w:style w:type="character" w:customStyle="1" w:styleId="Heading5Char">
    <w:name w:val="Heading 5 Char"/>
    <w:basedOn w:val="DefaultParagraphFont"/>
    <w:link w:val="Heading5"/>
    <w:rsid w:val="00487A7F"/>
    <w:rPr>
      <w:rFonts w:ascii="Century Gothic" w:eastAsia="PMingLiU" w:hAnsi="Century Gothic" w:cs="Times New Roman"/>
      <w:b/>
      <w:bCs/>
      <w:iCs/>
      <w:color w:val="2B3A44"/>
      <w:kern w:val="0"/>
      <w:sz w:val="32"/>
      <w:szCs w:val="26"/>
      <w:lang w:bidi="ar-DZ"/>
      <w14:ligatures w14:val="none"/>
    </w:rPr>
  </w:style>
  <w:style w:type="character" w:customStyle="1" w:styleId="Heading6Char">
    <w:name w:val="Heading 6 Char"/>
    <w:basedOn w:val="DefaultParagraphFont"/>
    <w:link w:val="Heading6"/>
    <w:rsid w:val="00487A7F"/>
    <w:rPr>
      <w:rFonts w:ascii="Century Gothic" w:eastAsia="PMingLiU" w:hAnsi="Century Gothic" w:cs="Times New Roman"/>
      <w:b/>
      <w:bCs/>
      <w:color w:val="2B3A44"/>
      <w:kern w:val="0"/>
      <w:sz w:val="28"/>
      <w:lang w:bidi="ar-DZ"/>
      <w14:ligatures w14:val="none"/>
    </w:rPr>
  </w:style>
  <w:style w:type="character" w:customStyle="1" w:styleId="Heading7Char">
    <w:name w:val="Heading 7 Char"/>
    <w:basedOn w:val="DefaultParagraphFont"/>
    <w:link w:val="Heading7"/>
    <w:semiHidden/>
    <w:rsid w:val="00487A7F"/>
    <w:rPr>
      <w:rFonts w:ascii="Times New Roman" w:eastAsia="PMingLiU" w:hAnsi="Times New Roman" w:cs="Times New Roman"/>
      <w:color w:val="000000"/>
      <w:kern w:val="0"/>
      <w:sz w:val="24"/>
      <w:szCs w:val="24"/>
      <w:lang w:bidi="ar-DZ"/>
      <w14:ligatures w14:val="none"/>
    </w:rPr>
  </w:style>
  <w:style w:type="character" w:customStyle="1" w:styleId="Heading8Char">
    <w:name w:val="Heading 8 Char"/>
    <w:basedOn w:val="DefaultParagraphFont"/>
    <w:link w:val="Heading8"/>
    <w:semiHidden/>
    <w:rsid w:val="00487A7F"/>
    <w:rPr>
      <w:rFonts w:ascii="Times New Roman" w:eastAsia="PMingLiU" w:hAnsi="Times New Roman" w:cs="Times New Roman"/>
      <w:i/>
      <w:iCs/>
      <w:color w:val="000000"/>
      <w:kern w:val="0"/>
      <w:sz w:val="24"/>
      <w:szCs w:val="24"/>
      <w:lang w:bidi="ar-DZ"/>
      <w14:ligatures w14:val="none"/>
    </w:rPr>
  </w:style>
  <w:style w:type="character" w:customStyle="1" w:styleId="Heading9Char">
    <w:name w:val="Heading 9 Char"/>
    <w:basedOn w:val="DefaultParagraphFont"/>
    <w:link w:val="Heading9"/>
    <w:semiHidden/>
    <w:rsid w:val="00487A7F"/>
    <w:rPr>
      <w:rFonts w:ascii="Century Gothic" w:eastAsia="PMingLiU" w:hAnsi="Century Gothic" w:cs="Arial"/>
      <w:color w:val="000000"/>
      <w:kern w:val="0"/>
      <w:lang w:bidi="ar-DZ"/>
      <w14:ligatures w14:val="none"/>
    </w:rPr>
  </w:style>
  <w:style w:type="paragraph" w:styleId="Title">
    <w:name w:val="Title"/>
    <w:basedOn w:val="Normal"/>
    <w:next w:val="Normal"/>
    <w:link w:val="TitleChar"/>
    <w:uiPriority w:val="10"/>
    <w:qFormat/>
    <w:rsid w:val="00487A7F"/>
    <w:pPr>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487A7F"/>
    <w:rPr>
      <w:rFonts w:asciiTheme="majorHAnsi" w:eastAsiaTheme="majorEastAsia" w:hAnsiTheme="majorHAnsi" w:cstheme="majorBidi"/>
      <w:spacing w:val="-10"/>
      <w:kern w:val="28"/>
      <w:sz w:val="56"/>
      <w:szCs w:val="56"/>
      <w:lang w:bidi="ar-DZ"/>
      <w14:ligatures w14:val="none"/>
    </w:rPr>
  </w:style>
  <w:style w:type="paragraph" w:styleId="Subtitle">
    <w:name w:val="Subtitle"/>
    <w:basedOn w:val="Normal"/>
    <w:next w:val="Normal"/>
    <w:link w:val="SubtitleChar"/>
    <w:uiPriority w:val="11"/>
    <w:qFormat/>
    <w:rsid w:val="00487A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uiPriority w:val="11"/>
    <w:rsid w:val="00487A7F"/>
    <w:rPr>
      <w:rFonts w:eastAsiaTheme="minorEastAsia"/>
      <w:color w:val="5A5A5A" w:themeColor="text1" w:themeTint="A5"/>
      <w:spacing w:val="15"/>
      <w:kern w:val="0"/>
      <w:lang w:bidi="ar-DZ"/>
      <w14:ligatures w14:val="none"/>
    </w:rPr>
  </w:style>
  <w:style w:type="paragraph" w:styleId="Quote">
    <w:name w:val="Quote"/>
    <w:basedOn w:val="Normal"/>
    <w:next w:val="Normal"/>
    <w:link w:val="QuoteChar"/>
    <w:uiPriority w:val="29"/>
    <w:qFormat/>
    <w:rsid w:val="00487A7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87A7F"/>
    <w:rPr>
      <w:rFonts w:ascii="Century Gothic" w:eastAsia="PMingLiU" w:hAnsi="Century Gothic" w:cs="Times New Roman"/>
      <w:i/>
      <w:iCs/>
      <w:color w:val="404040" w:themeColor="text1" w:themeTint="BF"/>
      <w:kern w:val="0"/>
      <w:szCs w:val="20"/>
      <w:lang w:bidi="ar-DZ"/>
      <w14:ligatures w14:val="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487A7F"/>
    <w:pPr>
      <w:ind w:left="720"/>
      <w:contextualSpacing/>
    </w:pPr>
  </w:style>
  <w:style w:type="character" w:styleId="IntenseEmphasis">
    <w:name w:val="Intense Emphasis"/>
    <w:basedOn w:val="DefaultParagraphFont"/>
    <w:uiPriority w:val="21"/>
    <w:qFormat/>
    <w:rsid w:val="00487A7F"/>
    <w:rPr>
      <w:i/>
      <w:iCs/>
      <w:color w:val="156082" w:themeColor="accent1"/>
      <w:lang w:val="en-US" w:bidi="ar-DZ"/>
    </w:rPr>
  </w:style>
  <w:style w:type="paragraph" w:styleId="IntenseQuote">
    <w:name w:val="Intense Quote"/>
    <w:basedOn w:val="Normal"/>
    <w:next w:val="Normal"/>
    <w:link w:val="IntenseQuoteChar"/>
    <w:uiPriority w:val="30"/>
    <w:qFormat/>
    <w:rsid w:val="00487A7F"/>
    <w:pPr>
      <w:pBdr>
        <w:top w:val="single" w:sz="4" w:space="10" w:color="156082" w:themeColor="accent1"/>
        <w:bottom w:val="single" w:sz="4" w:space="10" w:color="156082" w:themeColor="accent1"/>
      </w:pBdr>
      <w:spacing w:before="360" w:after="360"/>
      <w:ind w:left="864" w:right="864"/>
      <w:jc w:val="center"/>
    </w:pPr>
    <w:rPr>
      <w:i/>
      <w:iCs/>
      <w:color w:val="156082" w:themeColor="accent1"/>
    </w:rPr>
  </w:style>
  <w:style w:type="character" w:customStyle="1" w:styleId="IntenseQuoteChar">
    <w:name w:val="Intense Quote Char"/>
    <w:basedOn w:val="DefaultParagraphFont"/>
    <w:link w:val="IntenseQuote"/>
    <w:uiPriority w:val="30"/>
    <w:rsid w:val="00487A7F"/>
    <w:rPr>
      <w:rFonts w:ascii="Century Gothic" w:eastAsia="PMingLiU" w:hAnsi="Century Gothic" w:cs="Times New Roman"/>
      <w:i/>
      <w:iCs/>
      <w:color w:val="156082" w:themeColor="accent1"/>
      <w:kern w:val="0"/>
      <w:szCs w:val="20"/>
      <w:lang w:bidi="ar-DZ"/>
      <w14:ligatures w14:val="none"/>
    </w:rPr>
  </w:style>
  <w:style w:type="character" w:styleId="IntenseReference">
    <w:name w:val="Intense Reference"/>
    <w:basedOn w:val="DefaultParagraphFont"/>
    <w:uiPriority w:val="32"/>
    <w:qFormat/>
    <w:rsid w:val="00487A7F"/>
    <w:rPr>
      <w:b/>
      <w:bCs/>
      <w:smallCaps/>
      <w:color w:val="156082" w:themeColor="accent1"/>
      <w:spacing w:val="5"/>
      <w:lang w:val="en-US" w:bidi="ar-DZ"/>
    </w:rPr>
  </w:style>
  <w:style w:type="paragraph" w:customStyle="1" w:styleId="BodyText">
    <w:name w:val="*Body Text"/>
    <w:link w:val="BodyTextChar"/>
    <w:qFormat/>
    <w:rsid w:val="00487A7F"/>
    <w:pPr>
      <w:spacing w:after="120" w:line="276" w:lineRule="auto"/>
    </w:pPr>
    <w:rPr>
      <w:rFonts w:ascii="Century Gothic" w:eastAsia="PMingLiU" w:hAnsi="Century Gothic" w:cs="Times New Roman"/>
      <w:color w:val="2B3A44"/>
      <w:kern w:val="0"/>
      <w:szCs w:val="20"/>
      <w:lang w:bidi="ar-DZ"/>
      <w14:ligatures w14:val="none"/>
    </w:rPr>
  </w:style>
  <w:style w:type="paragraph" w:customStyle="1" w:styleId="RightSidebarHeading">
    <w:name w:val="*Right Sidebar Heading"/>
    <w:basedOn w:val="RightSidebarText"/>
    <w:next w:val="RightSidebarText"/>
    <w:uiPriority w:val="1"/>
    <w:qFormat/>
    <w:rsid w:val="00487A7F"/>
    <w:pPr>
      <w:framePr w:wrap="around"/>
    </w:pPr>
    <w:rPr>
      <w:b/>
    </w:rPr>
  </w:style>
  <w:style w:type="paragraph" w:customStyle="1" w:styleId="RightSidebarBullet">
    <w:name w:val="*Right Sidebar Bullet"/>
    <w:basedOn w:val="RightSidebarText"/>
    <w:uiPriority w:val="1"/>
    <w:qFormat/>
    <w:rsid w:val="00487A7F"/>
    <w:pPr>
      <w:framePr w:wrap="around"/>
      <w:numPr>
        <w:numId w:val="38"/>
      </w:numPr>
      <w:ind w:left="216" w:hanging="216"/>
    </w:pPr>
  </w:style>
  <w:style w:type="paragraph" w:customStyle="1" w:styleId="BlindParagraph">
    <w:name w:val="*Blind Paragraph"/>
    <w:basedOn w:val="BodyText"/>
    <w:uiPriority w:val="1"/>
    <w:qFormat/>
    <w:rsid w:val="00487A7F"/>
    <w:pPr>
      <w:spacing w:after="0"/>
    </w:pPr>
    <w:rPr>
      <w:sz w:val="4"/>
      <w:szCs w:val="4"/>
    </w:rPr>
  </w:style>
  <w:style w:type="paragraph" w:customStyle="1" w:styleId="BodySingle">
    <w:name w:val="*Body Single"/>
    <w:basedOn w:val="BodyText"/>
    <w:uiPriority w:val="1"/>
    <w:rsid w:val="00487A7F"/>
    <w:pPr>
      <w:spacing w:after="0"/>
    </w:pPr>
  </w:style>
  <w:style w:type="paragraph" w:customStyle="1" w:styleId="BodyTextBold">
    <w:name w:val="*Body Text Bold"/>
    <w:basedOn w:val="BodyText"/>
    <w:next w:val="BodyText"/>
    <w:uiPriority w:val="1"/>
    <w:rsid w:val="00487A7F"/>
    <w:rPr>
      <w:b/>
    </w:rPr>
  </w:style>
  <w:style w:type="paragraph" w:customStyle="1" w:styleId="Bullet1Double">
    <w:name w:val="*Bullet #1 Double"/>
    <w:rsid w:val="00487A7F"/>
    <w:pPr>
      <w:numPr>
        <w:numId w:val="28"/>
      </w:numPr>
      <w:tabs>
        <w:tab w:val="clear" w:pos="0"/>
        <w:tab w:val="left" w:pos="288"/>
      </w:tabs>
      <w:spacing w:after="120" w:line="276" w:lineRule="auto"/>
      <w:ind w:left="288" w:hanging="288"/>
    </w:pPr>
    <w:rPr>
      <w:rFonts w:ascii="Century Gothic" w:eastAsia="PMingLiU" w:hAnsi="Century Gothic" w:cs="Times New Roman"/>
      <w:bCs/>
      <w:color w:val="2B3A44"/>
      <w:kern w:val="0"/>
      <w:szCs w:val="20"/>
      <w:lang w:bidi="ar-DZ"/>
      <w14:ligatures w14:val="none"/>
    </w:rPr>
  </w:style>
  <w:style w:type="paragraph" w:customStyle="1" w:styleId="Bullet1Single0">
    <w:name w:val="*Bullet #1 Single"/>
    <w:basedOn w:val="Bullet1Double"/>
    <w:uiPriority w:val="1"/>
    <w:qFormat/>
    <w:rsid w:val="00487A7F"/>
    <w:pPr>
      <w:spacing w:after="0"/>
    </w:pPr>
  </w:style>
  <w:style w:type="paragraph" w:customStyle="1" w:styleId="TableText10Bullet1Single">
    <w:name w:val="*Table Text 10 Bullet #1 Single"/>
    <w:uiPriority w:val="1"/>
    <w:rsid w:val="00487A7F"/>
    <w:pPr>
      <w:numPr>
        <w:numId w:val="34"/>
      </w:numPr>
      <w:tabs>
        <w:tab w:val="left" w:pos="216"/>
      </w:tabs>
      <w:spacing w:after="20" w:line="240" w:lineRule="auto"/>
      <w:ind w:left="216" w:hanging="216"/>
    </w:pPr>
    <w:rPr>
      <w:rFonts w:ascii="Century Gothic" w:eastAsia="PMingLiU" w:hAnsi="Century Gothic" w:cs="Times New Roman"/>
      <w:color w:val="2B3A44"/>
      <w:kern w:val="0"/>
      <w:sz w:val="20"/>
      <w:szCs w:val="20"/>
      <w:lang w:bidi="ar-DZ"/>
      <w14:ligatures w14:val="none"/>
    </w:rPr>
  </w:style>
  <w:style w:type="paragraph" w:styleId="NoSpacing">
    <w:name w:val="No Spacing"/>
    <w:uiPriority w:val="1"/>
    <w:qFormat/>
    <w:rsid w:val="00487A7F"/>
    <w:pPr>
      <w:spacing w:after="0" w:line="240" w:lineRule="auto"/>
    </w:pPr>
    <w:rPr>
      <w:rFonts w:ascii="Century Gothic" w:eastAsia="PMingLiU" w:hAnsi="Century Gothic" w:cs="Times New Roman"/>
      <w:color w:val="000000"/>
      <w:kern w:val="0"/>
      <w:szCs w:val="20"/>
      <w:lang w:bidi="ar-DZ"/>
      <w14:ligatures w14:val="none"/>
    </w:rPr>
  </w:style>
  <w:style w:type="paragraph" w:customStyle="1" w:styleId="Bullet1SubtextDouble">
    <w:name w:val="*Bullet #1 Subtext Double"/>
    <w:basedOn w:val="BodyText"/>
    <w:uiPriority w:val="1"/>
    <w:rsid w:val="00487A7F"/>
    <w:pPr>
      <w:ind w:left="288"/>
    </w:pPr>
  </w:style>
  <w:style w:type="paragraph" w:customStyle="1" w:styleId="Bullet1SubtextSingle">
    <w:name w:val="*Bullet #1 Subtext Single"/>
    <w:basedOn w:val="Bullet1SubtextDouble"/>
    <w:uiPriority w:val="1"/>
    <w:qFormat/>
    <w:rsid w:val="00487A7F"/>
    <w:pPr>
      <w:spacing w:after="0"/>
    </w:pPr>
  </w:style>
  <w:style w:type="paragraph" w:customStyle="1" w:styleId="Bullet2Double0">
    <w:name w:val="*Bullet #2 Double"/>
    <w:link w:val="Bullet2DoubleChar"/>
    <w:rsid w:val="00487A7F"/>
    <w:pPr>
      <w:numPr>
        <w:numId w:val="29"/>
      </w:numPr>
      <w:tabs>
        <w:tab w:val="clear" w:pos="360"/>
        <w:tab w:val="left" w:pos="576"/>
      </w:tabs>
      <w:spacing w:after="120" w:line="276" w:lineRule="auto"/>
      <w:ind w:left="576" w:hanging="288"/>
    </w:pPr>
    <w:rPr>
      <w:rFonts w:ascii="Century Gothic" w:eastAsia="PMingLiU" w:hAnsi="Century Gothic" w:cs="Times New Roman"/>
      <w:color w:val="2B3A44"/>
      <w:kern w:val="0"/>
      <w:szCs w:val="20"/>
      <w:lang w:bidi="ar-DZ"/>
      <w14:ligatures w14:val="none"/>
    </w:rPr>
  </w:style>
  <w:style w:type="paragraph" w:customStyle="1" w:styleId="Bullet2Single0">
    <w:name w:val="*Bullet #2 Single"/>
    <w:basedOn w:val="Bullet2Double0"/>
    <w:uiPriority w:val="1"/>
    <w:qFormat/>
    <w:rsid w:val="00487A7F"/>
    <w:pPr>
      <w:spacing w:after="0"/>
    </w:pPr>
  </w:style>
  <w:style w:type="paragraph" w:customStyle="1" w:styleId="Bullet2SubtextDouble0">
    <w:name w:val="*Bullet #2 Subtext Double"/>
    <w:basedOn w:val="BodyText"/>
    <w:uiPriority w:val="1"/>
    <w:rsid w:val="00487A7F"/>
    <w:pPr>
      <w:ind w:left="576"/>
    </w:pPr>
  </w:style>
  <w:style w:type="paragraph" w:customStyle="1" w:styleId="Bullet2SubtextSingle0">
    <w:name w:val="*Bullet #2 Subtext Single"/>
    <w:basedOn w:val="Bullet2SubtextDouble0"/>
    <w:uiPriority w:val="1"/>
    <w:rsid w:val="00487A7F"/>
    <w:pPr>
      <w:spacing w:after="0"/>
    </w:pPr>
  </w:style>
  <w:style w:type="paragraph" w:customStyle="1" w:styleId="Bullet3Double0">
    <w:name w:val="*Bullet #3 Double"/>
    <w:basedOn w:val="BodyText"/>
    <w:uiPriority w:val="1"/>
    <w:rsid w:val="00487A7F"/>
    <w:pPr>
      <w:numPr>
        <w:numId w:val="31"/>
      </w:numPr>
      <w:tabs>
        <w:tab w:val="clear" w:pos="1080"/>
        <w:tab w:val="left" w:pos="864"/>
      </w:tabs>
      <w:ind w:left="864" w:hanging="288"/>
    </w:pPr>
    <w:rPr>
      <w:bCs/>
    </w:rPr>
  </w:style>
  <w:style w:type="paragraph" w:customStyle="1" w:styleId="Bullet3Single">
    <w:name w:val="*Bullet #3 Single"/>
    <w:basedOn w:val="Bullet3Double0"/>
    <w:uiPriority w:val="1"/>
    <w:rsid w:val="00487A7F"/>
    <w:pPr>
      <w:numPr>
        <w:numId w:val="30"/>
      </w:numPr>
      <w:tabs>
        <w:tab w:val="clear" w:pos="1080"/>
      </w:tabs>
      <w:spacing w:after="0"/>
      <w:ind w:left="864" w:hanging="288"/>
    </w:pPr>
    <w:rPr>
      <w:bCs w:val="0"/>
    </w:rPr>
  </w:style>
  <w:style w:type="paragraph" w:customStyle="1" w:styleId="Bullet3SubtextDouble0">
    <w:name w:val="*Bullet #3 Subtext Double"/>
    <w:basedOn w:val="BodyText"/>
    <w:uiPriority w:val="1"/>
    <w:rsid w:val="00487A7F"/>
    <w:pPr>
      <w:ind w:left="864"/>
    </w:pPr>
  </w:style>
  <w:style w:type="paragraph" w:customStyle="1" w:styleId="Bullet3SubtextSingle0">
    <w:name w:val="*Bullet #3 Subtext Single"/>
    <w:basedOn w:val="Bullet3SubtextDouble0"/>
    <w:uiPriority w:val="1"/>
    <w:rsid w:val="00487A7F"/>
    <w:pPr>
      <w:spacing w:after="0"/>
    </w:pPr>
  </w:style>
  <w:style w:type="paragraph" w:customStyle="1" w:styleId="Bullet4Double">
    <w:name w:val="*Bullet #4 Double"/>
    <w:basedOn w:val="BodyText"/>
    <w:uiPriority w:val="1"/>
    <w:rsid w:val="00487A7F"/>
    <w:pPr>
      <w:numPr>
        <w:numId w:val="36"/>
      </w:numPr>
      <w:tabs>
        <w:tab w:val="left" w:pos="1152"/>
      </w:tabs>
    </w:pPr>
  </w:style>
  <w:style w:type="paragraph" w:customStyle="1" w:styleId="Bullet4Single">
    <w:name w:val="*Bullet #4 Single"/>
    <w:basedOn w:val="Bullet4Double"/>
    <w:uiPriority w:val="1"/>
    <w:rsid w:val="00487A7F"/>
    <w:pPr>
      <w:numPr>
        <w:numId w:val="37"/>
      </w:numPr>
      <w:spacing w:after="0"/>
    </w:pPr>
  </w:style>
  <w:style w:type="paragraph" w:customStyle="1" w:styleId="Bullet4SubtextDouble">
    <w:name w:val="*Bullet #4 Subtext Double"/>
    <w:basedOn w:val="BodyText"/>
    <w:uiPriority w:val="1"/>
    <w:qFormat/>
    <w:rsid w:val="00487A7F"/>
    <w:pPr>
      <w:ind w:left="1166"/>
    </w:pPr>
  </w:style>
  <w:style w:type="paragraph" w:customStyle="1" w:styleId="Bullet4SubtextSingle">
    <w:name w:val="*Bullet #4 Subtext Single"/>
    <w:basedOn w:val="Bullet4SubtextDouble"/>
    <w:uiPriority w:val="1"/>
    <w:qFormat/>
    <w:rsid w:val="00487A7F"/>
    <w:pPr>
      <w:spacing w:after="0"/>
    </w:pPr>
  </w:style>
  <w:style w:type="paragraph" w:customStyle="1" w:styleId="Bullet5Double">
    <w:name w:val="*Bullet #5 Double"/>
    <w:uiPriority w:val="1"/>
    <w:rsid w:val="00487A7F"/>
    <w:pPr>
      <w:numPr>
        <w:numId w:val="33"/>
      </w:numPr>
      <w:tabs>
        <w:tab w:val="clear" w:pos="1800"/>
        <w:tab w:val="left" w:pos="1440"/>
      </w:tabs>
      <w:spacing w:after="120" w:line="276" w:lineRule="auto"/>
      <w:ind w:left="1440" w:hanging="288"/>
    </w:pPr>
    <w:rPr>
      <w:rFonts w:ascii="Century Gothic" w:eastAsia="PMingLiU" w:hAnsi="Century Gothic" w:cs="Times New Roman"/>
      <w:color w:val="2B3A44"/>
      <w:kern w:val="0"/>
      <w:szCs w:val="20"/>
      <w:lang w:bidi="ar-DZ"/>
      <w14:ligatures w14:val="none"/>
    </w:rPr>
  </w:style>
  <w:style w:type="paragraph" w:customStyle="1" w:styleId="Bullet5Single">
    <w:name w:val="*Bullet #5 Single"/>
    <w:basedOn w:val="Bullet5Double"/>
    <w:uiPriority w:val="1"/>
    <w:rsid w:val="00487A7F"/>
    <w:pPr>
      <w:numPr>
        <w:numId w:val="32"/>
      </w:numPr>
      <w:tabs>
        <w:tab w:val="clear" w:pos="1800"/>
      </w:tabs>
      <w:spacing w:after="0"/>
      <w:ind w:left="1440" w:hanging="288"/>
    </w:pPr>
  </w:style>
  <w:style w:type="paragraph" w:customStyle="1" w:styleId="Bullet5SubtextDouble">
    <w:name w:val="*Bullet #5 Subtext Double"/>
    <w:basedOn w:val="BodyText"/>
    <w:uiPriority w:val="1"/>
    <w:qFormat/>
    <w:rsid w:val="00487A7F"/>
    <w:pPr>
      <w:ind w:left="1440"/>
    </w:pPr>
  </w:style>
  <w:style w:type="paragraph" w:customStyle="1" w:styleId="Bullet5SubtextSingle">
    <w:name w:val="*Bullet #5 Subtext Single"/>
    <w:basedOn w:val="Bullet5SubtextDouble"/>
    <w:uiPriority w:val="1"/>
    <w:qFormat/>
    <w:rsid w:val="00487A7F"/>
    <w:pPr>
      <w:spacing w:after="0"/>
    </w:pPr>
  </w:style>
  <w:style w:type="paragraph" w:customStyle="1" w:styleId="ConfidentialityNotice">
    <w:name w:val="*Confidentiality Notice"/>
    <w:basedOn w:val="BodyText"/>
    <w:uiPriority w:val="1"/>
    <w:rsid w:val="00487A7F"/>
    <w:rPr>
      <w:sz w:val="18"/>
    </w:rPr>
  </w:style>
  <w:style w:type="paragraph" w:customStyle="1" w:styleId="CoverText1">
    <w:name w:val="*Cover Text 1"/>
    <w:basedOn w:val="BodyText"/>
    <w:uiPriority w:val="1"/>
    <w:rsid w:val="00487A7F"/>
    <w:pPr>
      <w:spacing w:before="640" w:line="680" w:lineRule="exact"/>
    </w:pPr>
    <w:rPr>
      <w:b/>
      <w:sz w:val="64"/>
      <w:szCs w:val="44"/>
    </w:rPr>
  </w:style>
  <w:style w:type="paragraph" w:customStyle="1" w:styleId="CoverText2">
    <w:name w:val="*Cover Text 2"/>
    <w:basedOn w:val="BodyText"/>
    <w:uiPriority w:val="1"/>
    <w:qFormat/>
    <w:rsid w:val="00487A7F"/>
    <w:pPr>
      <w:spacing w:before="120" w:line="360" w:lineRule="exact"/>
    </w:pPr>
    <w:rPr>
      <w:sz w:val="28"/>
      <w:szCs w:val="24"/>
    </w:rPr>
  </w:style>
  <w:style w:type="paragraph" w:customStyle="1" w:styleId="CoverText3">
    <w:name w:val="*Cover Text 3"/>
    <w:basedOn w:val="CoverText2"/>
    <w:uiPriority w:val="1"/>
    <w:rsid w:val="00487A7F"/>
    <w:rPr>
      <w:rFonts w:cs="Arial"/>
      <w:color w:val="000000"/>
      <w:sz w:val="32"/>
      <w:szCs w:val="32"/>
    </w:rPr>
  </w:style>
  <w:style w:type="paragraph" w:customStyle="1" w:styleId="CvrLtrBodyText">
    <w:name w:val="*Cvr Ltr Body Text"/>
    <w:basedOn w:val="BodyText"/>
    <w:qFormat/>
    <w:rsid w:val="00487A7F"/>
    <w:pPr>
      <w:spacing w:after="0" w:line="280" w:lineRule="exact"/>
    </w:pPr>
    <w:rPr>
      <w:szCs w:val="22"/>
    </w:rPr>
  </w:style>
  <w:style w:type="paragraph" w:customStyle="1" w:styleId="CvrLtrBullet1Single">
    <w:name w:val="*Cvr Ltr Bullet #1 Single"/>
    <w:basedOn w:val="Bullet1Single0"/>
    <w:qFormat/>
    <w:rsid w:val="00487A7F"/>
    <w:pPr>
      <w:numPr>
        <w:numId w:val="43"/>
      </w:numPr>
      <w:spacing w:line="280" w:lineRule="exact"/>
      <w:ind w:left="288" w:hanging="288"/>
    </w:pPr>
    <w:rPr>
      <w:szCs w:val="22"/>
    </w:rPr>
  </w:style>
  <w:style w:type="paragraph" w:customStyle="1" w:styleId="CvrLtrBullet1Double">
    <w:name w:val="*Cvr Ltr Bullet #1 Double"/>
    <w:basedOn w:val="CvrLtrBullet1Single"/>
    <w:qFormat/>
    <w:rsid w:val="00487A7F"/>
    <w:pPr>
      <w:numPr>
        <w:numId w:val="44"/>
      </w:numPr>
      <w:spacing w:after="120"/>
      <w:ind w:left="288" w:hanging="288"/>
    </w:pPr>
  </w:style>
  <w:style w:type="paragraph" w:customStyle="1" w:styleId="CvrLtrBullet2Single">
    <w:name w:val="*Cvr Ltr Bullet #2 Single"/>
    <w:basedOn w:val="Bullet2Single0"/>
    <w:qFormat/>
    <w:rsid w:val="00487A7F"/>
    <w:pPr>
      <w:spacing w:line="280" w:lineRule="exact"/>
    </w:pPr>
    <w:rPr>
      <w:noProof/>
      <w:szCs w:val="22"/>
    </w:rPr>
  </w:style>
  <w:style w:type="paragraph" w:customStyle="1" w:styleId="CvrLtrBullet2Double">
    <w:name w:val="*Cvr Ltr Bullet #2 Double"/>
    <w:basedOn w:val="CvrLtrBullet2Single"/>
    <w:qFormat/>
    <w:rsid w:val="00487A7F"/>
    <w:pPr>
      <w:spacing w:after="120"/>
    </w:pPr>
  </w:style>
  <w:style w:type="paragraph" w:customStyle="1" w:styleId="ContactInfo">
    <w:name w:val="Contact Info"/>
    <w:basedOn w:val="Normal"/>
    <w:uiPriority w:val="9"/>
    <w:semiHidden/>
    <w:qFormat/>
    <w:rsid w:val="00487A7F"/>
    <w:pPr>
      <w:tabs>
        <w:tab w:val="left" w:pos="216"/>
      </w:tabs>
      <w:spacing w:line="240" w:lineRule="atLeast"/>
    </w:pPr>
    <w:rPr>
      <w:rFonts w:asciiTheme="minorHAnsi" w:eastAsiaTheme="minorHAnsi" w:hAnsiTheme="minorHAnsi" w:cstheme="minorBidi"/>
      <w:color w:val="auto"/>
      <w:sz w:val="16"/>
      <w:szCs w:val="16"/>
    </w:rPr>
  </w:style>
  <w:style w:type="paragraph" w:customStyle="1" w:styleId="CvrLtrDetail">
    <w:name w:val="*Cvr Ltr Detail"/>
    <w:basedOn w:val="BodyText"/>
    <w:qFormat/>
    <w:rsid w:val="00487A7F"/>
    <w:pPr>
      <w:spacing w:after="20" w:line="220" w:lineRule="exact"/>
    </w:pPr>
    <w:rPr>
      <w:bCs/>
      <w:sz w:val="14"/>
      <w:szCs w:val="14"/>
    </w:rPr>
  </w:style>
  <w:style w:type="paragraph" w:customStyle="1" w:styleId="FigureCaptionAuto">
    <w:name w:val="*Figure Caption Auto#"/>
    <w:basedOn w:val="Normal"/>
    <w:next w:val="BodyText"/>
    <w:uiPriority w:val="1"/>
    <w:qFormat/>
    <w:rsid w:val="00487A7F"/>
    <w:pPr>
      <w:keepNext/>
      <w:keepLines/>
      <w:numPr>
        <w:numId w:val="20"/>
      </w:numPr>
      <w:spacing w:before="60" w:after="120"/>
      <w:ind w:left="1080" w:hanging="1080"/>
    </w:pPr>
    <w:rPr>
      <w:b/>
      <w:color w:val="2B3A44"/>
      <w:szCs w:val="18"/>
    </w:rPr>
  </w:style>
  <w:style w:type="paragraph" w:customStyle="1" w:styleId="Heading10">
    <w:name w:val="*Heading 1"/>
    <w:basedOn w:val="BodyText"/>
    <w:next w:val="BodyText"/>
    <w:uiPriority w:val="1"/>
    <w:qFormat/>
    <w:rsid w:val="00487A7F"/>
    <w:pPr>
      <w:keepNext/>
      <w:keepLines/>
      <w:pageBreakBefore/>
      <w:pBdr>
        <w:bottom w:val="single" w:sz="8" w:space="1" w:color="00EEAE"/>
      </w:pBdr>
      <w:spacing w:line="240" w:lineRule="auto"/>
      <w:outlineLvl w:val="0"/>
    </w:pPr>
    <w:rPr>
      <w:rFonts w:eastAsia="Times New Roman" w:cs="Arial"/>
      <w:b/>
      <w:sz w:val="36"/>
      <w:szCs w:val="22"/>
    </w:rPr>
  </w:style>
  <w:style w:type="paragraph" w:customStyle="1" w:styleId="Heading20">
    <w:name w:val="*Heading 2"/>
    <w:next w:val="BodyText"/>
    <w:uiPriority w:val="1"/>
    <w:qFormat/>
    <w:rsid w:val="00487A7F"/>
    <w:pPr>
      <w:keepNext/>
      <w:keepLines/>
      <w:pBdr>
        <w:bottom w:val="single" w:sz="4" w:space="1" w:color="00EEAE"/>
      </w:pBdr>
      <w:spacing w:before="240" w:after="120" w:line="240" w:lineRule="auto"/>
      <w:outlineLvl w:val="1"/>
    </w:pPr>
    <w:rPr>
      <w:rFonts w:ascii="Century Gothic" w:eastAsia="PMingLiU" w:hAnsi="Century Gothic" w:cs="Times New Roman"/>
      <w:b/>
      <w:bCs/>
      <w:color w:val="2B3A44"/>
      <w:kern w:val="0"/>
      <w:sz w:val="32"/>
      <w:szCs w:val="32"/>
      <w:lang w:bidi="ar-DZ"/>
      <w14:ligatures w14:val="none"/>
    </w:rPr>
  </w:style>
  <w:style w:type="paragraph" w:customStyle="1" w:styleId="Heading30">
    <w:name w:val="*Heading 3"/>
    <w:next w:val="BodyText"/>
    <w:uiPriority w:val="1"/>
    <w:qFormat/>
    <w:rsid w:val="00487A7F"/>
    <w:pPr>
      <w:keepNext/>
      <w:keepLines/>
      <w:spacing w:before="240" w:after="120" w:line="240" w:lineRule="auto"/>
      <w:outlineLvl w:val="2"/>
    </w:pPr>
    <w:rPr>
      <w:rFonts w:ascii="Century Gothic" w:eastAsia="PMingLiU" w:hAnsi="Century Gothic" w:cs="Times New Roman"/>
      <w:b/>
      <w:color w:val="2B3A44"/>
      <w:kern w:val="0"/>
      <w:sz w:val="28"/>
      <w:szCs w:val="24"/>
      <w:lang w:bidi="ar-DZ"/>
      <w14:ligatures w14:val="none"/>
    </w:rPr>
  </w:style>
  <w:style w:type="paragraph" w:customStyle="1" w:styleId="Heading40">
    <w:name w:val="*Heading 4"/>
    <w:next w:val="BodyText"/>
    <w:uiPriority w:val="1"/>
    <w:qFormat/>
    <w:rsid w:val="00487A7F"/>
    <w:pPr>
      <w:keepNext/>
      <w:keepLines/>
      <w:spacing w:before="240" w:after="120" w:line="240" w:lineRule="auto"/>
      <w:outlineLvl w:val="3"/>
    </w:pPr>
    <w:rPr>
      <w:rFonts w:ascii="Century Gothic" w:eastAsia="PMingLiU" w:hAnsi="Century Gothic" w:cs="Times New Roman"/>
      <w:b/>
      <w:color w:val="2B3A44"/>
      <w:kern w:val="0"/>
      <w:sz w:val="24"/>
      <w:szCs w:val="24"/>
      <w:lang w:bidi="ar-DZ"/>
      <w14:ligatures w14:val="none"/>
    </w:rPr>
  </w:style>
  <w:style w:type="paragraph" w:customStyle="1" w:styleId="Heading50">
    <w:name w:val="*Heading 5"/>
    <w:next w:val="BodyText"/>
    <w:uiPriority w:val="1"/>
    <w:qFormat/>
    <w:rsid w:val="00487A7F"/>
    <w:pPr>
      <w:keepNext/>
      <w:keepLines/>
      <w:spacing w:before="240" w:after="120" w:line="240" w:lineRule="auto"/>
      <w:outlineLvl w:val="4"/>
    </w:pPr>
    <w:rPr>
      <w:rFonts w:ascii="Century Gothic" w:eastAsia="PMingLiU" w:hAnsi="Century Gothic" w:cs="Times New Roman"/>
      <w:i/>
      <w:color w:val="2B3A44"/>
      <w:kern w:val="0"/>
      <w:sz w:val="24"/>
      <w:szCs w:val="24"/>
      <w:lang w:bidi="ar-DZ"/>
      <w14:ligatures w14:val="none"/>
    </w:rPr>
  </w:style>
  <w:style w:type="paragraph" w:customStyle="1" w:styleId="Heading60">
    <w:name w:val="*Heading 6"/>
    <w:next w:val="BodyText"/>
    <w:uiPriority w:val="1"/>
    <w:rsid w:val="00487A7F"/>
    <w:pPr>
      <w:keepNext/>
      <w:keepLines/>
      <w:spacing w:before="240" w:after="120" w:line="240" w:lineRule="auto"/>
      <w:outlineLvl w:val="5"/>
    </w:pPr>
    <w:rPr>
      <w:rFonts w:ascii="Century Gothic" w:eastAsia="PMingLiU" w:hAnsi="Century Gothic" w:cs="Times New Roman"/>
      <w:b/>
      <w:color w:val="2B3A44"/>
      <w:kern w:val="0"/>
      <w:sz w:val="28"/>
      <w:szCs w:val="20"/>
      <w:lang w:bidi="ar-DZ"/>
      <w14:ligatures w14:val="none"/>
    </w:rPr>
  </w:style>
  <w:style w:type="paragraph" w:customStyle="1" w:styleId="HeadingManual1">
    <w:name w:val="*Heading Manual#1"/>
    <w:basedOn w:val="Heading10"/>
    <w:next w:val="BodyText"/>
    <w:uiPriority w:val="1"/>
    <w:qFormat/>
    <w:rsid w:val="00487A7F"/>
    <w:pPr>
      <w:ind w:left="1080" w:hanging="1080"/>
    </w:pPr>
    <w:rPr>
      <w:b w:val="0"/>
    </w:rPr>
  </w:style>
  <w:style w:type="paragraph" w:customStyle="1" w:styleId="HeadingManual2">
    <w:name w:val="*Heading Manual#2"/>
    <w:basedOn w:val="Heading20"/>
    <w:next w:val="BodyText"/>
    <w:uiPriority w:val="1"/>
    <w:qFormat/>
    <w:rsid w:val="00487A7F"/>
    <w:pPr>
      <w:ind w:left="1080" w:hanging="1080"/>
    </w:pPr>
  </w:style>
  <w:style w:type="paragraph" w:customStyle="1" w:styleId="HeadingManual3">
    <w:name w:val="*Heading Manual#3"/>
    <w:basedOn w:val="Heading30"/>
    <w:next w:val="BodyText"/>
    <w:uiPriority w:val="1"/>
    <w:qFormat/>
    <w:rsid w:val="00487A7F"/>
    <w:pPr>
      <w:ind w:left="1440" w:hanging="1440"/>
    </w:pPr>
  </w:style>
  <w:style w:type="paragraph" w:customStyle="1" w:styleId="HeadingManual4">
    <w:name w:val="*Heading Manual#4"/>
    <w:basedOn w:val="Heading40"/>
    <w:next w:val="BodyText"/>
    <w:uiPriority w:val="1"/>
    <w:qFormat/>
    <w:rsid w:val="00487A7F"/>
    <w:pPr>
      <w:ind w:left="1440" w:hanging="1440"/>
    </w:pPr>
  </w:style>
  <w:style w:type="paragraph" w:customStyle="1" w:styleId="HeadingManual5">
    <w:name w:val="*Heading Manual#5"/>
    <w:basedOn w:val="Heading50"/>
    <w:next w:val="BodyText"/>
    <w:uiPriority w:val="1"/>
    <w:rsid w:val="00487A7F"/>
    <w:pPr>
      <w:ind w:left="1728" w:hanging="1728"/>
    </w:pPr>
  </w:style>
  <w:style w:type="paragraph" w:customStyle="1" w:styleId="HeadingManual6">
    <w:name w:val="*Heading Manual#6"/>
    <w:basedOn w:val="Heading60"/>
    <w:next w:val="BodyText"/>
    <w:uiPriority w:val="1"/>
    <w:rsid w:val="00487A7F"/>
    <w:pPr>
      <w:ind w:left="1728" w:hanging="1728"/>
    </w:pPr>
  </w:style>
  <w:style w:type="paragraph" w:customStyle="1" w:styleId="LeadInText">
    <w:name w:val="*LeadInText"/>
    <w:uiPriority w:val="1"/>
    <w:qFormat/>
    <w:rsid w:val="00487A7F"/>
    <w:pPr>
      <w:spacing w:after="120" w:line="280" w:lineRule="exact"/>
    </w:pPr>
    <w:rPr>
      <w:rFonts w:ascii="Century Gothic" w:eastAsia="PMingLiU" w:hAnsi="Century Gothic" w:cs="Times New Roman"/>
      <w:b/>
      <w:color w:val="2B3A44"/>
      <w:kern w:val="0"/>
      <w:sz w:val="24"/>
      <w:szCs w:val="20"/>
      <w:lang w:bidi="ar-DZ"/>
      <w14:ligatures w14:val="none"/>
    </w:rPr>
  </w:style>
  <w:style w:type="paragraph" w:customStyle="1" w:styleId="NoticeHeading">
    <w:name w:val="*Notice Heading"/>
    <w:basedOn w:val="Heading10"/>
    <w:next w:val="ConfidentialityNotice"/>
    <w:uiPriority w:val="1"/>
    <w:rsid w:val="00487A7F"/>
    <w:pPr>
      <w:outlineLvl w:val="9"/>
    </w:pPr>
    <w:rPr>
      <w:szCs w:val="36"/>
    </w:rPr>
  </w:style>
  <w:style w:type="paragraph" w:customStyle="1" w:styleId="Numbers1Single">
    <w:name w:val="*Numbers #1 Single"/>
    <w:basedOn w:val="Normal"/>
    <w:uiPriority w:val="1"/>
    <w:rsid w:val="00487A7F"/>
    <w:pPr>
      <w:spacing w:line="276" w:lineRule="auto"/>
      <w:ind w:left="425" w:hanging="425"/>
    </w:pPr>
    <w:rPr>
      <w:color w:val="2B3A44"/>
    </w:rPr>
  </w:style>
  <w:style w:type="paragraph" w:customStyle="1" w:styleId="Numbers1Double">
    <w:name w:val="*Numbers #1 Double"/>
    <w:basedOn w:val="Numbers1Single"/>
    <w:uiPriority w:val="1"/>
    <w:rsid w:val="00487A7F"/>
    <w:pPr>
      <w:spacing w:after="120"/>
      <w:ind w:left="426" w:hanging="426"/>
    </w:pPr>
  </w:style>
  <w:style w:type="paragraph" w:customStyle="1" w:styleId="Numbers2Single">
    <w:name w:val="*Numbers #2 Single"/>
    <w:basedOn w:val="Normal"/>
    <w:uiPriority w:val="1"/>
    <w:qFormat/>
    <w:rsid w:val="00487A7F"/>
    <w:pPr>
      <w:spacing w:line="276" w:lineRule="auto"/>
      <w:ind w:left="850" w:hanging="425"/>
    </w:pPr>
    <w:rPr>
      <w:color w:val="2B3A44"/>
    </w:rPr>
  </w:style>
  <w:style w:type="paragraph" w:customStyle="1" w:styleId="Numbers2Double">
    <w:name w:val="*Numbers #2 Double"/>
    <w:basedOn w:val="Numbers2Single"/>
    <w:uiPriority w:val="1"/>
    <w:qFormat/>
    <w:rsid w:val="00487A7F"/>
    <w:pPr>
      <w:spacing w:after="120"/>
      <w:ind w:left="851"/>
    </w:pPr>
  </w:style>
  <w:style w:type="paragraph" w:customStyle="1" w:styleId="Numbers3Single">
    <w:name w:val="*Numbers #3 Single"/>
    <w:basedOn w:val="Normal"/>
    <w:uiPriority w:val="1"/>
    <w:qFormat/>
    <w:rsid w:val="00487A7F"/>
    <w:pPr>
      <w:spacing w:line="276" w:lineRule="auto"/>
      <w:ind w:left="1418" w:hanging="567"/>
    </w:pPr>
    <w:rPr>
      <w:color w:val="2B3A44"/>
    </w:rPr>
  </w:style>
  <w:style w:type="paragraph" w:customStyle="1" w:styleId="Numbers3Double">
    <w:name w:val="*Numbers #3 Double"/>
    <w:basedOn w:val="Numbers3Single"/>
    <w:uiPriority w:val="1"/>
    <w:qFormat/>
    <w:rsid w:val="00487A7F"/>
    <w:pPr>
      <w:spacing w:after="120"/>
    </w:pPr>
  </w:style>
  <w:style w:type="paragraph" w:customStyle="1" w:styleId="Numbers4Single">
    <w:name w:val="*Numbers #4 Single"/>
    <w:basedOn w:val="Normal"/>
    <w:uiPriority w:val="1"/>
    <w:qFormat/>
    <w:rsid w:val="00487A7F"/>
    <w:pPr>
      <w:spacing w:line="276" w:lineRule="auto"/>
      <w:ind w:left="2269" w:hanging="851"/>
    </w:pPr>
    <w:rPr>
      <w:color w:val="2B3A44"/>
    </w:rPr>
  </w:style>
  <w:style w:type="paragraph" w:customStyle="1" w:styleId="Numbers4Double">
    <w:name w:val="*Numbers #4 Double"/>
    <w:basedOn w:val="Numbers4Single"/>
    <w:uiPriority w:val="1"/>
    <w:qFormat/>
    <w:rsid w:val="00487A7F"/>
    <w:pPr>
      <w:spacing w:after="120"/>
      <w:ind w:left="2268" w:hanging="850"/>
    </w:pPr>
  </w:style>
  <w:style w:type="paragraph" w:customStyle="1" w:styleId="Numbers5Single">
    <w:name w:val="*Numbers #5 Single"/>
    <w:basedOn w:val="Normal"/>
    <w:uiPriority w:val="1"/>
    <w:qFormat/>
    <w:rsid w:val="00487A7F"/>
    <w:pPr>
      <w:spacing w:line="276" w:lineRule="auto"/>
      <w:ind w:left="3260" w:hanging="992"/>
    </w:pPr>
    <w:rPr>
      <w:color w:val="2B3A44"/>
    </w:rPr>
  </w:style>
  <w:style w:type="paragraph" w:customStyle="1" w:styleId="Numbers5Double">
    <w:name w:val="*Numbers #5 Double"/>
    <w:basedOn w:val="Numbers5Single"/>
    <w:uiPriority w:val="1"/>
    <w:qFormat/>
    <w:rsid w:val="00487A7F"/>
    <w:pPr>
      <w:spacing w:after="120"/>
      <w:ind w:left="3261" w:hanging="993"/>
    </w:pPr>
  </w:style>
  <w:style w:type="paragraph" w:customStyle="1" w:styleId="NumbersAutoSingle">
    <w:name w:val="*Numbers (Auto) Single"/>
    <w:basedOn w:val="BodyText"/>
    <w:uiPriority w:val="1"/>
    <w:rsid w:val="00487A7F"/>
    <w:pPr>
      <w:numPr>
        <w:numId w:val="1"/>
      </w:numPr>
      <w:spacing w:after="0"/>
    </w:pPr>
  </w:style>
  <w:style w:type="paragraph" w:customStyle="1" w:styleId="NumbersAutoBold">
    <w:name w:val="*Numbers (Auto) Bold"/>
    <w:basedOn w:val="BodyText"/>
    <w:uiPriority w:val="1"/>
    <w:rsid w:val="00487A7F"/>
    <w:pPr>
      <w:numPr>
        <w:numId w:val="2"/>
      </w:numPr>
      <w:spacing w:after="0"/>
    </w:pPr>
    <w:rPr>
      <w:b/>
    </w:rPr>
  </w:style>
  <w:style w:type="paragraph" w:customStyle="1" w:styleId="NumbersAutoDouble0">
    <w:name w:val="*Numbers (Auto) Double"/>
    <w:basedOn w:val="BodyText"/>
    <w:uiPriority w:val="1"/>
    <w:rsid w:val="00487A7F"/>
    <w:pPr>
      <w:numPr>
        <w:numId w:val="3"/>
      </w:numPr>
    </w:pPr>
  </w:style>
  <w:style w:type="paragraph" w:customStyle="1" w:styleId="NumbersAutoBoldDouble">
    <w:name w:val="*Numbers (Auto) Bold Double"/>
    <w:basedOn w:val="NumbersAutoDouble0"/>
    <w:uiPriority w:val="1"/>
    <w:qFormat/>
    <w:rsid w:val="00487A7F"/>
    <w:pPr>
      <w:numPr>
        <w:numId w:val="4"/>
      </w:numPr>
    </w:pPr>
    <w:rPr>
      <w:b/>
    </w:rPr>
  </w:style>
  <w:style w:type="paragraph" w:customStyle="1" w:styleId="NumbersBold">
    <w:name w:val="*Numbers Bold"/>
    <w:basedOn w:val="Numbers1Single"/>
    <w:uiPriority w:val="1"/>
    <w:rsid w:val="00487A7F"/>
    <w:rPr>
      <w:b/>
    </w:rPr>
  </w:style>
  <w:style w:type="paragraph" w:customStyle="1" w:styleId="NumbersBoldDouble">
    <w:name w:val="*Numbers Bold Double"/>
    <w:basedOn w:val="Numbers1Double"/>
    <w:uiPriority w:val="1"/>
    <w:qFormat/>
    <w:rsid w:val="00487A7F"/>
    <w:rPr>
      <w:b/>
    </w:rPr>
  </w:style>
  <w:style w:type="paragraph" w:customStyle="1" w:styleId="NumbersDouble">
    <w:name w:val="*Numbers Double"/>
    <w:basedOn w:val="Numbers1Double"/>
    <w:uiPriority w:val="1"/>
    <w:qFormat/>
    <w:rsid w:val="00487A7F"/>
  </w:style>
  <w:style w:type="paragraph" w:customStyle="1" w:styleId="NumbersSingle">
    <w:name w:val="*Numbers Single"/>
    <w:basedOn w:val="Numbers1Single"/>
    <w:uiPriority w:val="1"/>
    <w:qFormat/>
    <w:rsid w:val="00487A7F"/>
  </w:style>
  <w:style w:type="paragraph" w:customStyle="1" w:styleId="ProprietaryNotice">
    <w:name w:val="*Proprietary Notice"/>
    <w:uiPriority w:val="1"/>
    <w:rsid w:val="00487A7F"/>
    <w:pPr>
      <w:spacing w:after="0" w:line="276" w:lineRule="auto"/>
    </w:pPr>
    <w:rPr>
      <w:rFonts w:ascii="Century Gothic" w:eastAsia="PMingLiU" w:hAnsi="Century Gothic" w:cs="Times New Roman"/>
      <w:kern w:val="0"/>
      <w:sz w:val="16"/>
      <w:szCs w:val="16"/>
      <w:lang w:bidi="ar-DZ"/>
      <w14:ligatures w14:val="none"/>
    </w:rPr>
  </w:style>
  <w:style w:type="paragraph" w:customStyle="1" w:styleId="Quotation">
    <w:name w:val="*Quotation"/>
    <w:basedOn w:val="Normal"/>
    <w:uiPriority w:val="1"/>
    <w:qFormat/>
    <w:rsid w:val="00487A7F"/>
    <w:pPr>
      <w:spacing w:after="120" w:line="276" w:lineRule="auto"/>
      <w:ind w:left="720" w:right="720"/>
    </w:pPr>
    <w:rPr>
      <w:color w:val="2B3A44"/>
    </w:rPr>
  </w:style>
  <w:style w:type="paragraph" w:customStyle="1" w:styleId="QuotationAttribute">
    <w:name w:val="*Quotation Attribute"/>
    <w:uiPriority w:val="1"/>
    <w:qFormat/>
    <w:rsid w:val="00487A7F"/>
    <w:pPr>
      <w:numPr>
        <w:numId w:val="21"/>
      </w:numPr>
      <w:spacing w:after="200" w:line="276" w:lineRule="auto"/>
      <w:ind w:right="720"/>
    </w:pPr>
    <w:rPr>
      <w:rFonts w:ascii="Century Gothic" w:eastAsia="PMingLiU" w:hAnsi="Century Gothic" w:cs="Times New Roman"/>
      <w:i/>
      <w:color w:val="2B3A44"/>
      <w:kern w:val="0"/>
      <w:szCs w:val="20"/>
      <w:lang w:bidi="ar-DZ"/>
      <w14:ligatures w14:val="none"/>
    </w:rPr>
  </w:style>
  <w:style w:type="paragraph" w:customStyle="1" w:styleId="Subheading">
    <w:name w:val="*Subheading"/>
    <w:basedOn w:val="BodyText"/>
    <w:next w:val="BodyText"/>
    <w:uiPriority w:val="1"/>
    <w:rsid w:val="00487A7F"/>
    <w:pPr>
      <w:keepNext/>
      <w:spacing w:before="240" w:after="60"/>
    </w:pPr>
    <w:rPr>
      <w:b/>
    </w:rPr>
  </w:style>
  <w:style w:type="paragraph" w:customStyle="1" w:styleId="Subheading2">
    <w:name w:val="*Subheading 2"/>
    <w:basedOn w:val="Subheading"/>
    <w:next w:val="BodyText"/>
    <w:uiPriority w:val="1"/>
    <w:qFormat/>
    <w:rsid w:val="00487A7F"/>
    <w:rPr>
      <w:i/>
    </w:rPr>
  </w:style>
  <w:style w:type="paragraph" w:customStyle="1" w:styleId="TableCaptionAuto">
    <w:name w:val="*Table Caption Auto#"/>
    <w:basedOn w:val="Normal"/>
    <w:next w:val="BodyText"/>
    <w:uiPriority w:val="1"/>
    <w:rsid w:val="00487A7F"/>
    <w:pPr>
      <w:keepNext/>
      <w:numPr>
        <w:numId w:val="22"/>
      </w:numPr>
      <w:tabs>
        <w:tab w:val="clear" w:pos="432"/>
        <w:tab w:val="left" w:pos="1080"/>
      </w:tabs>
      <w:spacing w:before="60" w:after="120"/>
      <w:ind w:left="1080" w:hanging="1080"/>
    </w:pPr>
    <w:rPr>
      <w:b/>
      <w:color w:val="2B3A44"/>
      <w:szCs w:val="18"/>
    </w:rPr>
  </w:style>
  <w:style w:type="paragraph" w:customStyle="1" w:styleId="TableText10Single">
    <w:name w:val="*Table Text 10 Single"/>
    <w:basedOn w:val="BodyText"/>
    <w:uiPriority w:val="1"/>
    <w:rsid w:val="00487A7F"/>
    <w:pPr>
      <w:spacing w:after="0" w:line="240" w:lineRule="auto"/>
    </w:pPr>
    <w:rPr>
      <w:sz w:val="20"/>
    </w:rPr>
  </w:style>
  <w:style w:type="paragraph" w:customStyle="1" w:styleId="TableText10Double">
    <w:name w:val="*Table Text 10 Double"/>
    <w:basedOn w:val="TableText10Single"/>
    <w:uiPriority w:val="1"/>
    <w:rsid w:val="00487A7F"/>
    <w:pPr>
      <w:spacing w:after="60"/>
    </w:pPr>
  </w:style>
  <w:style w:type="paragraph" w:customStyle="1" w:styleId="TableText10BoldDouble">
    <w:name w:val="*Table Text 10 Bold Double"/>
    <w:basedOn w:val="TableText10Double"/>
    <w:uiPriority w:val="1"/>
    <w:qFormat/>
    <w:rsid w:val="00487A7F"/>
    <w:rPr>
      <w:b/>
    </w:rPr>
  </w:style>
  <w:style w:type="paragraph" w:customStyle="1" w:styleId="TableHeading10">
    <w:name w:val="*Table Heading 10"/>
    <w:basedOn w:val="TableText10BoldDouble"/>
    <w:uiPriority w:val="1"/>
    <w:qFormat/>
    <w:rsid w:val="00487A7F"/>
  </w:style>
  <w:style w:type="paragraph" w:customStyle="1" w:styleId="TableText11Single">
    <w:name w:val="*Table Text 11 Single"/>
    <w:basedOn w:val="TableText10Single"/>
    <w:uiPriority w:val="1"/>
    <w:rsid w:val="00487A7F"/>
    <w:rPr>
      <w:sz w:val="22"/>
    </w:rPr>
  </w:style>
  <w:style w:type="paragraph" w:customStyle="1" w:styleId="TableText11Double">
    <w:name w:val="*Table Text 11 Double"/>
    <w:basedOn w:val="TableText11Single"/>
    <w:uiPriority w:val="1"/>
    <w:rsid w:val="00487A7F"/>
    <w:pPr>
      <w:spacing w:after="60"/>
    </w:pPr>
  </w:style>
  <w:style w:type="paragraph" w:customStyle="1" w:styleId="TableText11BoldDouble">
    <w:name w:val="*Table Text 11 Bold Double"/>
    <w:basedOn w:val="TableText11Double"/>
    <w:uiPriority w:val="1"/>
    <w:qFormat/>
    <w:rsid w:val="00487A7F"/>
    <w:rPr>
      <w:b/>
    </w:rPr>
  </w:style>
  <w:style w:type="paragraph" w:customStyle="1" w:styleId="TableHeading11">
    <w:name w:val="*Table Heading 11"/>
    <w:basedOn w:val="TableText11BoldDouble"/>
    <w:uiPriority w:val="1"/>
    <w:rsid w:val="00487A7F"/>
  </w:style>
  <w:style w:type="paragraph" w:customStyle="1" w:styleId="TableText8Single">
    <w:name w:val="*Table Text 8 Single"/>
    <w:basedOn w:val="TableText10Single"/>
    <w:uiPriority w:val="1"/>
    <w:rsid w:val="00487A7F"/>
    <w:rPr>
      <w:sz w:val="16"/>
    </w:rPr>
  </w:style>
  <w:style w:type="paragraph" w:customStyle="1" w:styleId="TableText8Double">
    <w:name w:val="*Table Text 8 Double"/>
    <w:basedOn w:val="TableText8Single"/>
    <w:uiPriority w:val="1"/>
    <w:rsid w:val="00487A7F"/>
    <w:pPr>
      <w:spacing w:after="60"/>
    </w:pPr>
  </w:style>
  <w:style w:type="paragraph" w:customStyle="1" w:styleId="TableText8BoldDouble">
    <w:name w:val="*Table Text 8 Bold Double"/>
    <w:basedOn w:val="TableText8Double"/>
    <w:uiPriority w:val="1"/>
    <w:qFormat/>
    <w:rsid w:val="00487A7F"/>
    <w:rPr>
      <w:b/>
    </w:rPr>
  </w:style>
  <w:style w:type="paragraph" w:customStyle="1" w:styleId="TableHeading8">
    <w:name w:val="*Table Heading 8"/>
    <w:basedOn w:val="TableText8BoldDouble"/>
    <w:uiPriority w:val="1"/>
    <w:rsid w:val="00487A7F"/>
  </w:style>
  <w:style w:type="paragraph" w:customStyle="1" w:styleId="TableText9BoldDouble">
    <w:name w:val="*Table Text 9 Bold Double"/>
    <w:basedOn w:val="TableText10BoldDouble"/>
    <w:uiPriority w:val="1"/>
    <w:qFormat/>
    <w:rsid w:val="00487A7F"/>
    <w:rPr>
      <w:sz w:val="18"/>
    </w:rPr>
  </w:style>
  <w:style w:type="paragraph" w:customStyle="1" w:styleId="TableHeading9">
    <w:name w:val="*Table Heading 9"/>
    <w:basedOn w:val="TableText9BoldDouble"/>
    <w:uiPriority w:val="1"/>
    <w:qFormat/>
    <w:rsid w:val="00487A7F"/>
  </w:style>
  <w:style w:type="paragraph" w:customStyle="1" w:styleId="TableSubheading10">
    <w:name w:val="*Table Subheading 10"/>
    <w:basedOn w:val="Normal"/>
    <w:uiPriority w:val="1"/>
    <w:rsid w:val="00487A7F"/>
    <w:pPr>
      <w:keepNext/>
      <w:spacing w:after="60"/>
    </w:pPr>
    <w:rPr>
      <w:b/>
      <w:color w:val="2B3A44"/>
      <w:sz w:val="20"/>
    </w:rPr>
  </w:style>
  <w:style w:type="paragraph" w:customStyle="1" w:styleId="TableSubheading11">
    <w:name w:val="*Table Subheading 11"/>
    <w:basedOn w:val="TableSubheading10"/>
    <w:uiPriority w:val="1"/>
    <w:rsid w:val="00487A7F"/>
    <w:rPr>
      <w:sz w:val="22"/>
    </w:rPr>
  </w:style>
  <w:style w:type="paragraph" w:customStyle="1" w:styleId="TableSubheading9">
    <w:name w:val="*Table Subheading 9"/>
    <w:basedOn w:val="TableSubheading10"/>
    <w:uiPriority w:val="1"/>
    <w:qFormat/>
    <w:rsid w:val="00487A7F"/>
    <w:rPr>
      <w:sz w:val="18"/>
    </w:rPr>
  </w:style>
  <w:style w:type="paragraph" w:customStyle="1" w:styleId="TableSubheading8">
    <w:name w:val="*Table Subheading 8"/>
    <w:basedOn w:val="TableSubheading9"/>
    <w:uiPriority w:val="1"/>
    <w:rsid w:val="00487A7F"/>
    <w:rPr>
      <w:sz w:val="16"/>
    </w:rPr>
  </w:style>
  <w:style w:type="paragraph" w:customStyle="1" w:styleId="TableText10BoldSingle">
    <w:name w:val="*Table Text 10 Bold Single"/>
    <w:basedOn w:val="TableText10Single"/>
    <w:uiPriority w:val="1"/>
    <w:qFormat/>
    <w:rsid w:val="00487A7F"/>
    <w:rPr>
      <w:b/>
    </w:rPr>
  </w:style>
  <w:style w:type="paragraph" w:customStyle="1" w:styleId="TableText10Bullet1Double">
    <w:name w:val="*Table Text 10 Bullet #1 Double"/>
    <w:basedOn w:val="TableText10Bullet1Single"/>
    <w:uiPriority w:val="1"/>
    <w:rsid w:val="00487A7F"/>
    <w:pPr>
      <w:spacing w:after="60"/>
    </w:pPr>
  </w:style>
  <w:style w:type="paragraph" w:customStyle="1" w:styleId="TableText10Bullet2Single">
    <w:name w:val="*Table Text 10 Bullet #2 Single"/>
    <w:uiPriority w:val="1"/>
    <w:rsid w:val="00487A7F"/>
    <w:pPr>
      <w:numPr>
        <w:numId w:val="35"/>
      </w:numPr>
      <w:tabs>
        <w:tab w:val="left" w:pos="432"/>
      </w:tabs>
      <w:spacing w:after="20" w:line="240" w:lineRule="auto"/>
      <w:ind w:left="432" w:hanging="216"/>
    </w:pPr>
    <w:rPr>
      <w:rFonts w:ascii="Century Gothic" w:eastAsia="PMingLiU" w:hAnsi="Century Gothic" w:cs="Times New Roman"/>
      <w:color w:val="2B3A44"/>
      <w:kern w:val="0"/>
      <w:sz w:val="20"/>
      <w:szCs w:val="20"/>
      <w:lang w:bidi="ar-DZ"/>
      <w14:ligatures w14:val="none"/>
    </w:rPr>
  </w:style>
  <w:style w:type="paragraph" w:customStyle="1" w:styleId="TableText10Bullet2Double">
    <w:name w:val="*Table Text 10 Bullet #2 Double"/>
    <w:basedOn w:val="TableText10Bullet2Single"/>
    <w:uiPriority w:val="1"/>
    <w:rsid w:val="00487A7F"/>
    <w:pPr>
      <w:numPr>
        <w:numId w:val="26"/>
      </w:numPr>
      <w:tabs>
        <w:tab w:val="clear" w:pos="216"/>
        <w:tab w:val="clear" w:pos="432"/>
      </w:tabs>
      <w:spacing w:after="60"/>
      <w:ind w:left="432" w:hanging="216"/>
    </w:pPr>
  </w:style>
  <w:style w:type="paragraph" w:customStyle="1" w:styleId="TableText10Bullet3Single">
    <w:name w:val="*Table Text 10 Bullet #3 Single"/>
    <w:basedOn w:val="TableText10Bullet1Single"/>
    <w:uiPriority w:val="1"/>
    <w:qFormat/>
    <w:rsid w:val="00487A7F"/>
    <w:pPr>
      <w:tabs>
        <w:tab w:val="clear" w:pos="216"/>
      </w:tabs>
      <w:ind w:left="648"/>
    </w:pPr>
  </w:style>
  <w:style w:type="paragraph" w:customStyle="1" w:styleId="TableText10Bullet3Double">
    <w:name w:val="*Table Text 10 Bullet #3 Double"/>
    <w:basedOn w:val="TableText10Bullet3Single"/>
    <w:uiPriority w:val="1"/>
    <w:qFormat/>
    <w:rsid w:val="00487A7F"/>
    <w:pPr>
      <w:spacing w:after="60"/>
    </w:pPr>
  </w:style>
  <w:style w:type="paragraph" w:customStyle="1" w:styleId="TableText11BoldSingle">
    <w:name w:val="*Table Text 11 Bold Single"/>
    <w:basedOn w:val="TableText11Single"/>
    <w:uiPriority w:val="1"/>
    <w:qFormat/>
    <w:rsid w:val="00487A7F"/>
    <w:rPr>
      <w:b/>
    </w:rPr>
  </w:style>
  <w:style w:type="paragraph" w:customStyle="1" w:styleId="TableText11Bullet1Double">
    <w:name w:val="*Table Text 11 Bullet #1 Double"/>
    <w:basedOn w:val="TableText10Bullet1Double"/>
    <w:uiPriority w:val="1"/>
    <w:qFormat/>
    <w:rsid w:val="00487A7F"/>
    <w:rPr>
      <w:sz w:val="22"/>
    </w:rPr>
  </w:style>
  <w:style w:type="paragraph" w:customStyle="1" w:styleId="TableText11Bullet1Single">
    <w:name w:val="*Table Text 11 Bullet #1 Single"/>
    <w:basedOn w:val="TableText10Bullet1Single"/>
    <w:uiPriority w:val="1"/>
    <w:qFormat/>
    <w:rsid w:val="00487A7F"/>
    <w:rPr>
      <w:sz w:val="22"/>
    </w:rPr>
  </w:style>
  <w:style w:type="paragraph" w:customStyle="1" w:styleId="TableText11Bullet2Double">
    <w:name w:val="*Table Text 11 Bullet #2 Double"/>
    <w:basedOn w:val="TableText10Bullet2Double"/>
    <w:uiPriority w:val="1"/>
    <w:qFormat/>
    <w:rsid w:val="00487A7F"/>
    <w:rPr>
      <w:sz w:val="22"/>
    </w:rPr>
  </w:style>
  <w:style w:type="paragraph" w:customStyle="1" w:styleId="TableText11Bullet2Single">
    <w:name w:val="*Table Text 11 Bullet #2 Single"/>
    <w:basedOn w:val="TableText10Bullet2Single"/>
    <w:uiPriority w:val="1"/>
    <w:rsid w:val="00487A7F"/>
    <w:pPr>
      <w:tabs>
        <w:tab w:val="clear" w:pos="1440"/>
      </w:tabs>
    </w:pPr>
    <w:rPr>
      <w:sz w:val="22"/>
    </w:rPr>
  </w:style>
  <w:style w:type="paragraph" w:customStyle="1" w:styleId="TableText11Bullet3Double">
    <w:name w:val="*Table Text 11 Bullet #3 Double"/>
    <w:basedOn w:val="TableText10Bullet3Double"/>
    <w:uiPriority w:val="1"/>
    <w:qFormat/>
    <w:rsid w:val="00487A7F"/>
    <w:rPr>
      <w:sz w:val="22"/>
    </w:rPr>
  </w:style>
  <w:style w:type="paragraph" w:customStyle="1" w:styleId="TableText11Bullet3Single">
    <w:name w:val="*Table Text 11 Bullet #3 Single"/>
    <w:basedOn w:val="TableText10Bullet3Single"/>
    <w:uiPriority w:val="1"/>
    <w:qFormat/>
    <w:rsid w:val="00487A7F"/>
    <w:rPr>
      <w:sz w:val="22"/>
    </w:rPr>
  </w:style>
  <w:style w:type="paragraph" w:customStyle="1" w:styleId="TableText8BoldSingle">
    <w:name w:val="*Table Text 8 Bold Single"/>
    <w:basedOn w:val="TableText8Single"/>
    <w:uiPriority w:val="1"/>
    <w:qFormat/>
    <w:rsid w:val="00487A7F"/>
    <w:rPr>
      <w:b/>
    </w:rPr>
  </w:style>
  <w:style w:type="paragraph" w:customStyle="1" w:styleId="TableText8Bullet1Double">
    <w:name w:val="*Table Text 8 Bullet #1 Double"/>
    <w:basedOn w:val="TableText10Bullet1Double"/>
    <w:uiPriority w:val="1"/>
    <w:qFormat/>
    <w:rsid w:val="00487A7F"/>
    <w:rPr>
      <w:sz w:val="16"/>
    </w:rPr>
  </w:style>
  <w:style w:type="paragraph" w:customStyle="1" w:styleId="TableText8Bullet1Single">
    <w:name w:val="*Table Text 8 Bullet #1 Single"/>
    <w:basedOn w:val="TableText10Bullet1Single"/>
    <w:uiPriority w:val="1"/>
    <w:qFormat/>
    <w:rsid w:val="00487A7F"/>
    <w:rPr>
      <w:sz w:val="16"/>
    </w:rPr>
  </w:style>
  <w:style w:type="paragraph" w:customStyle="1" w:styleId="TableText8Bullet2Double">
    <w:name w:val="*Table Text 8 Bullet #2 Double"/>
    <w:basedOn w:val="TableText10Bullet2Double"/>
    <w:uiPriority w:val="1"/>
    <w:qFormat/>
    <w:rsid w:val="00487A7F"/>
    <w:rPr>
      <w:sz w:val="16"/>
    </w:rPr>
  </w:style>
  <w:style w:type="paragraph" w:customStyle="1" w:styleId="TableText8Bullet2Single">
    <w:name w:val="*Table Text 8 Bullet #2 Single"/>
    <w:basedOn w:val="TableText10Bullet2Single"/>
    <w:uiPriority w:val="1"/>
    <w:qFormat/>
    <w:rsid w:val="00487A7F"/>
    <w:pPr>
      <w:tabs>
        <w:tab w:val="clear" w:pos="1440"/>
      </w:tabs>
    </w:pPr>
    <w:rPr>
      <w:sz w:val="16"/>
    </w:rPr>
  </w:style>
  <w:style w:type="paragraph" w:customStyle="1" w:styleId="TableText8Bullet3Double">
    <w:name w:val="*Table Text 8 Bullet #3 Double"/>
    <w:basedOn w:val="TableText10Bullet3Double"/>
    <w:uiPriority w:val="1"/>
    <w:qFormat/>
    <w:rsid w:val="00487A7F"/>
    <w:rPr>
      <w:sz w:val="16"/>
    </w:rPr>
  </w:style>
  <w:style w:type="paragraph" w:customStyle="1" w:styleId="TableText8Bullet3Single">
    <w:name w:val="*Table Text 8 Bullet #3 Single"/>
    <w:basedOn w:val="TableText10Bullet3Single"/>
    <w:uiPriority w:val="1"/>
    <w:qFormat/>
    <w:rsid w:val="00487A7F"/>
    <w:rPr>
      <w:sz w:val="16"/>
    </w:rPr>
  </w:style>
  <w:style w:type="paragraph" w:customStyle="1" w:styleId="TableText9BoldSingle">
    <w:name w:val="*Table Text 9 Bold Single"/>
    <w:basedOn w:val="TableText10BoldSingle"/>
    <w:uiPriority w:val="1"/>
    <w:qFormat/>
    <w:rsid w:val="00487A7F"/>
    <w:rPr>
      <w:sz w:val="18"/>
    </w:rPr>
  </w:style>
  <w:style w:type="paragraph" w:customStyle="1" w:styleId="TableText9Bullet1Double">
    <w:name w:val="*Table Text 9 Bullet #1 Double"/>
    <w:basedOn w:val="TableText10Bullet1Double"/>
    <w:uiPriority w:val="1"/>
    <w:qFormat/>
    <w:rsid w:val="00487A7F"/>
    <w:rPr>
      <w:sz w:val="18"/>
    </w:rPr>
  </w:style>
  <w:style w:type="paragraph" w:customStyle="1" w:styleId="TableText9Bullet1Single">
    <w:name w:val="*Table Text 9 Bullet #1 Single"/>
    <w:basedOn w:val="TableText10Bullet1Single"/>
    <w:uiPriority w:val="1"/>
    <w:qFormat/>
    <w:rsid w:val="00487A7F"/>
    <w:rPr>
      <w:sz w:val="18"/>
    </w:rPr>
  </w:style>
  <w:style w:type="paragraph" w:customStyle="1" w:styleId="TableText9Bullet2Double">
    <w:name w:val="*Table Text 9 Bullet #2 Double"/>
    <w:basedOn w:val="TableText10Bullet2Double"/>
    <w:uiPriority w:val="1"/>
    <w:qFormat/>
    <w:rsid w:val="00487A7F"/>
    <w:rPr>
      <w:sz w:val="18"/>
    </w:rPr>
  </w:style>
  <w:style w:type="paragraph" w:customStyle="1" w:styleId="TableText9Bullet2Single">
    <w:name w:val="*Table Text 9 Bullet #2 Single"/>
    <w:basedOn w:val="TableText10Bullet2Single"/>
    <w:uiPriority w:val="1"/>
    <w:qFormat/>
    <w:rsid w:val="00487A7F"/>
    <w:pPr>
      <w:tabs>
        <w:tab w:val="clear" w:pos="1440"/>
      </w:tabs>
    </w:pPr>
    <w:rPr>
      <w:sz w:val="18"/>
    </w:rPr>
  </w:style>
  <w:style w:type="paragraph" w:customStyle="1" w:styleId="TableText9Bullet3Double">
    <w:name w:val="*Table Text 9 Bullet #3 Double"/>
    <w:basedOn w:val="TableText10Bullet3Double"/>
    <w:uiPriority w:val="1"/>
    <w:qFormat/>
    <w:rsid w:val="00487A7F"/>
    <w:rPr>
      <w:sz w:val="18"/>
    </w:rPr>
  </w:style>
  <w:style w:type="paragraph" w:customStyle="1" w:styleId="TableText9Bullet3Single">
    <w:name w:val="*Table Text 9 Bullet #3 Single"/>
    <w:basedOn w:val="TableText10Bullet3Single"/>
    <w:uiPriority w:val="1"/>
    <w:qFormat/>
    <w:rsid w:val="00487A7F"/>
    <w:rPr>
      <w:sz w:val="18"/>
    </w:rPr>
  </w:style>
  <w:style w:type="paragraph" w:customStyle="1" w:styleId="TableText9Double">
    <w:name w:val="*Table Text 9 Double"/>
    <w:basedOn w:val="TableText10Double"/>
    <w:uiPriority w:val="1"/>
    <w:qFormat/>
    <w:rsid w:val="00487A7F"/>
    <w:rPr>
      <w:sz w:val="18"/>
    </w:rPr>
  </w:style>
  <w:style w:type="paragraph" w:customStyle="1" w:styleId="TableText9Single">
    <w:name w:val="*Table Text 9 Single"/>
    <w:basedOn w:val="TableText10Single"/>
    <w:uiPriority w:val="1"/>
    <w:qFormat/>
    <w:rsid w:val="00487A7F"/>
    <w:rPr>
      <w:sz w:val="18"/>
    </w:rPr>
  </w:style>
  <w:style w:type="paragraph" w:customStyle="1" w:styleId="BodySingle0">
    <w:name w:val="~Body Single"/>
    <w:basedOn w:val="BodySingle"/>
    <w:uiPriority w:val="1"/>
    <w:rsid w:val="00487A7F"/>
    <w:pPr>
      <w:spacing w:line="240" w:lineRule="auto"/>
    </w:pPr>
    <w:rPr>
      <w:sz w:val="20"/>
    </w:rPr>
  </w:style>
  <w:style w:type="paragraph" w:customStyle="1" w:styleId="BodyText0">
    <w:name w:val="~Body Text"/>
    <w:basedOn w:val="BodyText"/>
    <w:uiPriority w:val="1"/>
    <w:rsid w:val="00487A7F"/>
    <w:pPr>
      <w:framePr w:hSpace="187" w:wrap="around" w:vAnchor="text" w:hAnchor="text" w:y="1"/>
      <w:spacing w:line="240" w:lineRule="auto"/>
      <w:suppressOverlap/>
    </w:pPr>
    <w:rPr>
      <w:sz w:val="20"/>
    </w:rPr>
  </w:style>
  <w:style w:type="paragraph" w:customStyle="1" w:styleId="Bullet1Double0">
    <w:name w:val="~Bullet #1 Double"/>
    <w:basedOn w:val="Bullet1Double"/>
    <w:uiPriority w:val="1"/>
    <w:rsid w:val="00487A7F"/>
    <w:pPr>
      <w:numPr>
        <w:numId w:val="42"/>
      </w:numPr>
      <w:tabs>
        <w:tab w:val="clear" w:pos="288"/>
      </w:tabs>
      <w:spacing w:line="240" w:lineRule="auto"/>
      <w:ind w:left="288" w:hanging="288"/>
    </w:pPr>
    <w:rPr>
      <w:sz w:val="20"/>
    </w:rPr>
  </w:style>
  <w:style w:type="paragraph" w:customStyle="1" w:styleId="Bullet1Single">
    <w:name w:val="~Bullet #1 Single"/>
    <w:basedOn w:val="BodyText"/>
    <w:uiPriority w:val="1"/>
    <w:rsid w:val="00487A7F"/>
    <w:pPr>
      <w:numPr>
        <w:numId w:val="39"/>
      </w:numPr>
      <w:spacing w:after="0" w:line="240" w:lineRule="auto"/>
      <w:ind w:left="288" w:hanging="288"/>
    </w:pPr>
    <w:rPr>
      <w:sz w:val="20"/>
    </w:rPr>
  </w:style>
  <w:style w:type="paragraph" w:customStyle="1" w:styleId="Bullet1SubtextDouble0">
    <w:name w:val="~Bullet #1 Subtext Double"/>
    <w:basedOn w:val="Bullet1SubtextDouble"/>
    <w:uiPriority w:val="1"/>
    <w:rsid w:val="00487A7F"/>
    <w:pPr>
      <w:spacing w:line="240" w:lineRule="auto"/>
    </w:pPr>
    <w:rPr>
      <w:sz w:val="20"/>
    </w:rPr>
  </w:style>
  <w:style w:type="paragraph" w:customStyle="1" w:styleId="Bullet1SubtextSingle0">
    <w:name w:val="~Bullet #1 Subtext Single"/>
    <w:basedOn w:val="Bullet1SubtextDouble0"/>
    <w:uiPriority w:val="1"/>
    <w:qFormat/>
    <w:rsid w:val="00487A7F"/>
    <w:pPr>
      <w:spacing w:after="0"/>
    </w:pPr>
  </w:style>
  <w:style w:type="paragraph" w:customStyle="1" w:styleId="Bullet2Double">
    <w:name w:val="~Bullet #2 Double"/>
    <w:basedOn w:val="Bullet2Double0"/>
    <w:uiPriority w:val="1"/>
    <w:rsid w:val="00487A7F"/>
    <w:pPr>
      <w:numPr>
        <w:numId w:val="5"/>
      </w:numPr>
      <w:tabs>
        <w:tab w:val="clear" w:pos="360"/>
        <w:tab w:val="clear" w:pos="576"/>
      </w:tabs>
      <w:spacing w:line="240" w:lineRule="auto"/>
      <w:ind w:left="576" w:hanging="288"/>
    </w:pPr>
    <w:rPr>
      <w:sz w:val="20"/>
    </w:rPr>
  </w:style>
  <w:style w:type="paragraph" w:customStyle="1" w:styleId="Bullet2Single">
    <w:name w:val="~Bullet #2 Single"/>
    <w:basedOn w:val="Bullet2Double"/>
    <w:uiPriority w:val="1"/>
    <w:rsid w:val="00487A7F"/>
    <w:pPr>
      <w:numPr>
        <w:numId w:val="40"/>
      </w:numPr>
      <w:spacing w:after="0"/>
      <w:ind w:left="576" w:hanging="288"/>
    </w:pPr>
  </w:style>
  <w:style w:type="paragraph" w:customStyle="1" w:styleId="Bullet2SubtextDouble">
    <w:name w:val="~Bullet #2 Subtext Double"/>
    <w:basedOn w:val="Bullet2SubtextDouble0"/>
    <w:uiPriority w:val="1"/>
    <w:rsid w:val="00487A7F"/>
    <w:pPr>
      <w:numPr>
        <w:numId w:val="23"/>
      </w:numPr>
      <w:tabs>
        <w:tab w:val="left" w:pos="720"/>
      </w:tabs>
      <w:ind w:left="576" w:firstLine="0"/>
    </w:pPr>
    <w:rPr>
      <w:sz w:val="20"/>
    </w:rPr>
  </w:style>
  <w:style w:type="paragraph" w:customStyle="1" w:styleId="Bullet2SubtextSingle">
    <w:name w:val="~Bullet #2 Subtext Single"/>
    <w:basedOn w:val="Bullet2SubtextSingle0"/>
    <w:uiPriority w:val="1"/>
    <w:rsid w:val="00487A7F"/>
    <w:pPr>
      <w:numPr>
        <w:numId w:val="24"/>
      </w:numPr>
      <w:tabs>
        <w:tab w:val="left" w:pos="720"/>
      </w:tabs>
      <w:spacing w:line="240" w:lineRule="auto"/>
      <w:ind w:left="576" w:firstLine="0"/>
    </w:pPr>
    <w:rPr>
      <w:sz w:val="20"/>
    </w:rPr>
  </w:style>
  <w:style w:type="paragraph" w:customStyle="1" w:styleId="Bullet3Double">
    <w:name w:val="~Bullet #3 Double"/>
    <w:basedOn w:val="Bullet3Double0"/>
    <w:uiPriority w:val="1"/>
    <w:rsid w:val="00487A7F"/>
    <w:pPr>
      <w:numPr>
        <w:numId w:val="6"/>
      </w:numPr>
      <w:tabs>
        <w:tab w:val="clear" w:pos="864"/>
      </w:tabs>
      <w:spacing w:line="240" w:lineRule="auto"/>
      <w:ind w:left="864" w:hanging="288"/>
    </w:pPr>
    <w:rPr>
      <w:sz w:val="20"/>
    </w:rPr>
  </w:style>
  <w:style w:type="paragraph" w:customStyle="1" w:styleId="Bullet3Single0">
    <w:name w:val="~Bullet #3 Single"/>
    <w:basedOn w:val="Bullet3Single"/>
    <w:uiPriority w:val="1"/>
    <w:rsid w:val="00487A7F"/>
    <w:pPr>
      <w:numPr>
        <w:numId w:val="41"/>
      </w:numPr>
      <w:tabs>
        <w:tab w:val="clear" w:pos="864"/>
      </w:tabs>
      <w:spacing w:line="240" w:lineRule="auto"/>
      <w:ind w:left="864" w:hanging="288"/>
    </w:pPr>
    <w:rPr>
      <w:sz w:val="20"/>
    </w:rPr>
  </w:style>
  <w:style w:type="paragraph" w:customStyle="1" w:styleId="Bullet3SubtextDouble">
    <w:name w:val="~Bullet #3 Subtext Double"/>
    <w:basedOn w:val="Bullet3SubtextDouble0"/>
    <w:uiPriority w:val="1"/>
    <w:rsid w:val="00487A7F"/>
    <w:pPr>
      <w:numPr>
        <w:numId w:val="56"/>
      </w:numPr>
      <w:spacing w:line="240" w:lineRule="auto"/>
      <w:ind w:left="864" w:firstLine="0"/>
    </w:pPr>
    <w:rPr>
      <w:sz w:val="20"/>
    </w:rPr>
  </w:style>
  <w:style w:type="paragraph" w:customStyle="1" w:styleId="Bullet3SubtextSingle">
    <w:name w:val="~Bullet #3 Subtext Single"/>
    <w:basedOn w:val="Bullet3SubtextSingle0"/>
    <w:uiPriority w:val="1"/>
    <w:rsid w:val="00487A7F"/>
    <w:pPr>
      <w:numPr>
        <w:numId w:val="25"/>
      </w:numPr>
      <w:spacing w:line="240" w:lineRule="auto"/>
      <w:ind w:left="864" w:firstLine="0"/>
    </w:pPr>
    <w:rPr>
      <w:sz w:val="20"/>
    </w:rPr>
  </w:style>
  <w:style w:type="numbering" w:styleId="111111">
    <w:name w:val="Outline List 2"/>
    <w:basedOn w:val="NoList"/>
    <w:uiPriority w:val="99"/>
    <w:semiHidden/>
    <w:unhideWhenUsed/>
    <w:rsid w:val="00487A7F"/>
    <w:pPr>
      <w:numPr>
        <w:numId w:val="7"/>
      </w:numPr>
    </w:pPr>
  </w:style>
  <w:style w:type="numbering" w:styleId="1ai">
    <w:name w:val="Outline List 1"/>
    <w:basedOn w:val="NoList"/>
    <w:uiPriority w:val="99"/>
    <w:semiHidden/>
    <w:unhideWhenUsed/>
    <w:rsid w:val="00487A7F"/>
    <w:pPr>
      <w:numPr>
        <w:numId w:val="8"/>
      </w:numPr>
    </w:pPr>
  </w:style>
  <w:style w:type="numbering" w:styleId="ArticleSection">
    <w:name w:val="Outline List 3"/>
    <w:basedOn w:val="NoList"/>
    <w:uiPriority w:val="99"/>
    <w:semiHidden/>
    <w:unhideWhenUsed/>
    <w:rsid w:val="00487A7F"/>
    <w:pPr>
      <w:numPr>
        <w:numId w:val="57"/>
      </w:numPr>
    </w:pPr>
  </w:style>
  <w:style w:type="paragraph" w:styleId="BalloonText">
    <w:name w:val="Balloon Text"/>
    <w:basedOn w:val="Normal"/>
    <w:link w:val="BalloonTextChar"/>
    <w:semiHidden/>
    <w:rsid w:val="00487A7F"/>
    <w:rPr>
      <w:rFonts w:ascii="Tahoma" w:hAnsi="Tahoma" w:cs="Tahoma"/>
      <w:sz w:val="16"/>
      <w:szCs w:val="16"/>
    </w:rPr>
  </w:style>
  <w:style w:type="character" w:customStyle="1" w:styleId="BalloonTextChar">
    <w:name w:val="Balloon Text Char"/>
    <w:basedOn w:val="DefaultParagraphFont"/>
    <w:link w:val="BalloonText"/>
    <w:semiHidden/>
    <w:rsid w:val="00487A7F"/>
    <w:rPr>
      <w:rFonts w:ascii="Tahoma" w:eastAsia="PMingLiU" w:hAnsi="Tahoma" w:cs="Tahoma"/>
      <w:color w:val="000000"/>
      <w:kern w:val="0"/>
      <w:sz w:val="16"/>
      <w:szCs w:val="16"/>
      <w:lang w:bidi="ar-DZ"/>
      <w14:ligatures w14:val="none"/>
    </w:rPr>
  </w:style>
  <w:style w:type="paragraph" w:styleId="Bibliography">
    <w:name w:val="Bibliography"/>
    <w:basedOn w:val="Normal"/>
    <w:next w:val="Normal"/>
    <w:uiPriority w:val="37"/>
    <w:unhideWhenUsed/>
    <w:rsid w:val="00487A7F"/>
  </w:style>
  <w:style w:type="paragraph" w:styleId="BlockText">
    <w:name w:val="Block Text"/>
    <w:basedOn w:val="Normal"/>
    <w:uiPriority w:val="99"/>
    <w:unhideWhenUsed/>
    <w:rsid w:val="00487A7F"/>
    <w:pPr>
      <w:pBdr>
        <w:top w:val="single" w:sz="2" w:space="10" w:color="156082" w:themeColor="accent1" w:shadow="1" w:frame="1"/>
        <w:left w:val="single" w:sz="2" w:space="10" w:color="156082" w:themeColor="accent1" w:shadow="1" w:frame="1"/>
        <w:bottom w:val="single" w:sz="2" w:space="10" w:color="156082" w:themeColor="accent1" w:shadow="1" w:frame="1"/>
        <w:right w:val="single" w:sz="2" w:space="10" w:color="156082" w:themeColor="accent1" w:shadow="1" w:frame="1"/>
      </w:pBdr>
      <w:ind w:left="1152" w:right="1152"/>
    </w:pPr>
    <w:rPr>
      <w:rFonts w:asciiTheme="minorHAnsi" w:eastAsiaTheme="minorEastAsia" w:hAnsiTheme="minorHAnsi" w:cstheme="minorBidi"/>
      <w:i/>
      <w:iCs/>
      <w:color w:val="156082" w:themeColor="accent1"/>
    </w:rPr>
  </w:style>
  <w:style w:type="paragraph" w:styleId="BodyText1">
    <w:name w:val="Body Text"/>
    <w:basedOn w:val="Normal"/>
    <w:link w:val="BodyTextChar0"/>
    <w:uiPriority w:val="99"/>
    <w:semiHidden/>
    <w:unhideWhenUsed/>
    <w:rsid w:val="00487A7F"/>
    <w:pPr>
      <w:spacing w:after="120"/>
    </w:pPr>
  </w:style>
  <w:style w:type="character" w:customStyle="1" w:styleId="BodyTextChar0">
    <w:name w:val="Body Text Char"/>
    <w:basedOn w:val="DefaultParagraphFont"/>
    <w:link w:val="BodyText1"/>
    <w:uiPriority w:val="99"/>
    <w:semiHidden/>
    <w:rsid w:val="00487A7F"/>
    <w:rPr>
      <w:rFonts w:ascii="Century Gothic" w:eastAsia="PMingLiU" w:hAnsi="Century Gothic" w:cs="Times New Roman"/>
      <w:color w:val="000000"/>
      <w:kern w:val="0"/>
      <w:szCs w:val="20"/>
      <w:lang w:bidi="ar-DZ"/>
      <w14:ligatures w14:val="none"/>
    </w:rPr>
  </w:style>
  <w:style w:type="paragraph" w:styleId="BodyText2">
    <w:name w:val="Body Text 2"/>
    <w:basedOn w:val="Normal"/>
    <w:link w:val="BodyText2Char"/>
    <w:uiPriority w:val="99"/>
    <w:semiHidden/>
    <w:unhideWhenUsed/>
    <w:rsid w:val="00487A7F"/>
    <w:pPr>
      <w:spacing w:after="120" w:line="480" w:lineRule="auto"/>
    </w:pPr>
  </w:style>
  <w:style w:type="character" w:customStyle="1" w:styleId="BodyText2Char">
    <w:name w:val="Body Text 2 Char"/>
    <w:basedOn w:val="DefaultParagraphFont"/>
    <w:link w:val="BodyText2"/>
    <w:uiPriority w:val="99"/>
    <w:semiHidden/>
    <w:rsid w:val="00487A7F"/>
    <w:rPr>
      <w:rFonts w:ascii="Century Gothic" w:eastAsia="PMingLiU" w:hAnsi="Century Gothic" w:cs="Times New Roman"/>
      <w:color w:val="000000"/>
      <w:kern w:val="0"/>
      <w:szCs w:val="20"/>
      <w:lang w:bidi="ar-DZ"/>
      <w14:ligatures w14:val="none"/>
    </w:rPr>
  </w:style>
  <w:style w:type="paragraph" w:styleId="BodyText3">
    <w:name w:val="Body Text 3"/>
    <w:basedOn w:val="Normal"/>
    <w:link w:val="BodyText3Char"/>
    <w:uiPriority w:val="99"/>
    <w:semiHidden/>
    <w:unhideWhenUsed/>
    <w:rsid w:val="00487A7F"/>
    <w:pPr>
      <w:spacing w:after="120"/>
    </w:pPr>
    <w:rPr>
      <w:sz w:val="16"/>
      <w:szCs w:val="16"/>
    </w:rPr>
  </w:style>
  <w:style w:type="character" w:customStyle="1" w:styleId="BodyText3Char">
    <w:name w:val="Body Text 3 Char"/>
    <w:basedOn w:val="DefaultParagraphFont"/>
    <w:link w:val="BodyText3"/>
    <w:uiPriority w:val="99"/>
    <w:semiHidden/>
    <w:rsid w:val="00487A7F"/>
    <w:rPr>
      <w:rFonts w:ascii="Century Gothic" w:eastAsia="PMingLiU" w:hAnsi="Century Gothic" w:cs="Times New Roman"/>
      <w:color w:val="000000"/>
      <w:kern w:val="0"/>
      <w:sz w:val="16"/>
      <w:szCs w:val="16"/>
      <w:lang w:bidi="ar-DZ"/>
      <w14:ligatures w14:val="none"/>
    </w:rPr>
  </w:style>
  <w:style w:type="paragraph" w:styleId="BodyTextFirstIndent">
    <w:name w:val="Body Text First Indent"/>
    <w:basedOn w:val="BodyText1"/>
    <w:link w:val="BodyTextFirstIndentChar"/>
    <w:uiPriority w:val="99"/>
    <w:semiHidden/>
    <w:unhideWhenUsed/>
    <w:rsid w:val="00487A7F"/>
    <w:pPr>
      <w:spacing w:after="0"/>
      <w:ind w:firstLine="360"/>
    </w:pPr>
  </w:style>
  <w:style w:type="character" w:customStyle="1" w:styleId="BodyTextFirstIndentChar">
    <w:name w:val="Body Text First Indent Char"/>
    <w:basedOn w:val="BodyTextChar0"/>
    <w:link w:val="BodyTextFirstIndent"/>
    <w:uiPriority w:val="99"/>
    <w:semiHidden/>
    <w:rsid w:val="00487A7F"/>
    <w:rPr>
      <w:rFonts w:ascii="Century Gothic" w:eastAsia="PMingLiU" w:hAnsi="Century Gothic" w:cs="Times New Roman"/>
      <w:color w:val="000000"/>
      <w:kern w:val="0"/>
      <w:szCs w:val="20"/>
      <w:lang w:bidi="ar-DZ"/>
      <w14:ligatures w14:val="none"/>
    </w:rPr>
  </w:style>
  <w:style w:type="paragraph" w:styleId="BodyTextIndent">
    <w:name w:val="Body Text Indent"/>
    <w:basedOn w:val="Normal"/>
    <w:link w:val="BodyTextIndentChar"/>
    <w:uiPriority w:val="99"/>
    <w:semiHidden/>
    <w:unhideWhenUsed/>
    <w:rsid w:val="00487A7F"/>
    <w:pPr>
      <w:spacing w:after="120"/>
      <w:ind w:left="283"/>
    </w:pPr>
  </w:style>
  <w:style w:type="character" w:customStyle="1" w:styleId="BodyTextIndentChar">
    <w:name w:val="Body Text Indent Char"/>
    <w:basedOn w:val="DefaultParagraphFont"/>
    <w:link w:val="BodyTextIndent"/>
    <w:uiPriority w:val="99"/>
    <w:semiHidden/>
    <w:rsid w:val="00487A7F"/>
    <w:rPr>
      <w:rFonts w:ascii="Century Gothic" w:eastAsia="PMingLiU" w:hAnsi="Century Gothic" w:cs="Times New Roman"/>
      <w:color w:val="000000"/>
      <w:kern w:val="0"/>
      <w:szCs w:val="20"/>
      <w:lang w:bidi="ar-DZ"/>
      <w14:ligatures w14:val="none"/>
    </w:rPr>
  </w:style>
  <w:style w:type="paragraph" w:styleId="BodyTextFirstIndent2">
    <w:name w:val="Body Text First Indent 2"/>
    <w:basedOn w:val="BodyTextIndent"/>
    <w:link w:val="BodyTextFirstIndent2Char"/>
    <w:uiPriority w:val="99"/>
    <w:semiHidden/>
    <w:unhideWhenUsed/>
    <w:rsid w:val="00487A7F"/>
    <w:pPr>
      <w:spacing w:after="0"/>
      <w:ind w:left="360" w:firstLine="360"/>
    </w:pPr>
  </w:style>
  <w:style w:type="character" w:customStyle="1" w:styleId="BodyTextFirstIndent2Char">
    <w:name w:val="Body Text First Indent 2 Char"/>
    <w:basedOn w:val="BodyTextIndentChar"/>
    <w:link w:val="BodyTextFirstIndent2"/>
    <w:uiPriority w:val="99"/>
    <w:semiHidden/>
    <w:rsid w:val="00487A7F"/>
    <w:rPr>
      <w:rFonts w:ascii="Century Gothic" w:eastAsia="PMingLiU" w:hAnsi="Century Gothic" w:cs="Times New Roman"/>
      <w:color w:val="000000"/>
      <w:kern w:val="0"/>
      <w:szCs w:val="20"/>
      <w:lang w:bidi="ar-DZ"/>
      <w14:ligatures w14:val="none"/>
    </w:rPr>
  </w:style>
  <w:style w:type="paragraph" w:styleId="BodyTextIndent2">
    <w:name w:val="Body Text Indent 2"/>
    <w:basedOn w:val="Normal"/>
    <w:link w:val="BodyTextIndent2Char"/>
    <w:uiPriority w:val="99"/>
    <w:semiHidden/>
    <w:unhideWhenUsed/>
    <w:rsid w:val="00487A7F"/>
    <w:pPr>
      <w:spacing w:after="120" w:line="480" w:lineRule="auto"/>
      <w:ind w:left="283"/>
    </w:pPr>
  </w:style>
  <w:style w:type="character" w:customStyle="1" w:styleId="BodyTextIndent2Char">
    <w:name w:val="Body Text Indent 2 Char"/>
    <w:basedOn w:val="DefaultParagraphFont"/>
    <w:link w:val="BodyTextIndent2"/>
    <w:uiPriority w:val="99"/>
    <w:semiHidden/>
    <w:rsid w:val="00487A7F"/>
    <w:rPr>
      <w:rFonts w:ascii="Century Gothic" w:eastAsia="PMingLiU" w:hAnsi="Century Gothic" w:cs="Times New Roman"/>
      <w:color w:val="000000"/>
      <w:kern w:val="0"/>
      <w:szCs w:val="20"/>
      <w:lang w:bidi="ar-DZ"/>
      <w14:ligatures w14:val="none"/>
    </w:rPr>
  </w:style>
  <w:style w:type="paragraph" w:styleId="BodyTextIndent3">
    <w:name w:val="Body Text Indent 3"/>
    <w:basedOn w:val="Normal"/>
    <w:link w:val="BodyTextIndent3Char"/>
    <w:uiPriority w:val="99"/>
    <w:semiHidden/>
    <w:unhideWhenUsed/>
    <w:rsid w:val="00487A7F"/>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487A7F"/>
    <w:rPr>
      <w:rFonts w:ascii="Century Gothic" w:eastAsia="PMingLiU" w:hAnsi="Century Gothic" w:cs="Times New Roman"/>
      <w:color w:val="000000"/>
      <w:kern w:val="0"/>
      <w:sz w:val="16"/>
      <w:szCs w:val="16"/>
      <w:lang w:bidi="ar-DZ"/>
      <w14:ligatures w14:val="none"/>
    </w:rPr>
  </w:style>
  <w:style w:type="character" w:styleId="BookTitle">
    <w:name w:val="Book Title"/>
    <w:basedOn w:val="DefaultParagraphFont"/>
    <w:uiPriority w:val="33"/>
    <w:qFormat/>
    <w:rsid w:val="00487A7F"/>
    <w:rPr>
      <w:b/>
      <w:bCs/>
      <w:i/>
      <w:iCs/>
      <w:spacing w:val="5"/>
      <w:lang w:val="en-US" w:bidi="ar-DZ"/>
    </w:rPr>
  </w:style>
  <w:style w:type="paragraph" w:styleId="Caption">
    <w:name w:val="caption"/>
    <w:basedOn w:val="BodyText"/>
    <w:next w:val="BodyText"/>
    <w:uiPriority w:val="1"/>
    <w:qFormat/>
    <w:rsid w:val="00487A7F"/>
    <w:pPr>
      <w:spacing w:line="240" w:lineRule="auto"/>
      <w:jc w:val="center"/>
    </w:pPr>
    <w:rPr>
      <w:b/>
      <w:bCs/>
      <w:i/>
      <w:iCs/>
      <w:sz w:val="18"/>
      <w:szCs w:val="18"/>
    </w:rPr>
  </w:style>
  <w:style w:type="paragraph" w:styleId="Closing">
    <w:name w:val="Closing"/>
    <w:basedOn w:val="Normal"/>
    <w:link w:val="ClosingChar"/>
    <w:uiPriority w:val="99"/>
    <w:semiHidden/>
    <w:unhideWhenUsed/>
    <w:rsid w:val="00487A7F"/>
    <w:pPr>
      <w:ind w:left="4252"/>
    </w:pPr>
  </w:style>
  <w:style w:type="character" w:customStyle="1" w:styleId="ClosingChar">
    <w:name w:val="Closing Char"/>
    <w:basedOn w:val="DefaultParagraphFont"/>
    <w:link w:val="Closing"/>
    <w:uiPriority w:val="99"/>
    <w:semiHidden/>
    <w:rsid w:val="00487A7F"/>
    <w:rPr>
      <w:rFonts w:ascii="Century Gothic" w:eastAsia="PMingLiU" w:hAnsi="Century Gothic" w:cs="Times New Roman"/>
      <w:color w:val="000000"/>
      <w:kern w:val="0"/>
      <w:szCs w:val="20"/>
      <w:lang w:bidi="ar-DZ"/>
      <w14:ligatures w14:val="none"/>
    </w:rPr>
  </w:style>
  <w:style w:type="table" w:styleId="ColorfulGrid">
    <w:name w:val="Colorful Grid"/>
    <w:basedOn w:val="TableNormal"/>
    <w:uiPriority w:val="73"/>
    <w:semiHidden/>
    <w:unhideWhenUsed/>
    <w:rsid w:val="00487A7F"/>
    <w:pPr>
      <w:spacing w:after="0" w:line="240" w:lineRule="auto"/>
    </w:pPr>
    <w:rPr>
      <w:color w:val="000000" w:themeColor="text1"/>
      <w:kern w:val="0"/>
      <w14:ligatures w14:val="none"/>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487A7F"/>
    <w:pPr>
      <w:spacing w:after="0" w:line="240" w:lineRule="auto"/>
    </w:pPr>
    <w:rPr>
      <w:color w:val="000000" w:themeColor="text1"/>
      <w:kern w:val="0"/>
      <w14:ligatures w14:val="none"/>
    </w:rPr>
    <w:tblPr>
      <w:tblStyleRowBandSize w:val="1"/>
      <w:tblStyleColBandSize w:val="1"/>
      <w:tblBorders>
        <w:insideH w:val="single" w:sz="4" w:space="0" w:color="FFFFFF" w:themeColor="background1"/>
      </w:tblBorders>
    </w:tblPr>
    <w:tcPr>
      <w:shd w:val="clear" w:color="auto" w:fill="C1E4F5" w:themeFill="accent1" w:themeFillTint="33"/>
    </w:tcPr>
    <w:tblStylePr w:type="firstRow">
      <w:rPr>
        <w:b/>
        <w:bCs/>
      </w:rPr>
      <w:tblPr/>
      <w:tcPr>
        <w:shd w:val="clear" w:color="auto" w:fill="83CAEB" w:themeFill="accent1" w:themeFillTint="66"/>
      </w:tcPr>
    </w:tblStylePr>
    <w:tblStylePr w:type="lastRow">
      <w:rPr>
        <w:b/>
        <w:bCs/>
        <w:color w:val="000000" w:themeColor="text1"/>
      </w:rPr>
      <w:tblPr/>
      <w:tcPr>
        <w:shd w:val="clear" w:color="auto" w:fill="83CAEB" w:themeFill="accent1" w:themeFillTint="66"/>
      </w:tcPr>
    </w:tblStylePr>
    <w:tblStylePr w:type="firstCol">
      <w:rPr>
        <w:color w:val="FFFFFF" w:themeColor="background1"/>
      </w:rPr>
      <w:tblPr/>
      <w:tcPr>
        <w:shd w:val="clear" w:color="auto" w:fill="0F4761" w:themeFill="accent1" w:themeFillShade="BF"/>
      </w:tcPr>
    </w:tblStylePr>
    <w:tblStylePr w:type="lastCol">
      <w:rPr>
        <w:color w:val="FFFFFF" w:themeColor="background1"/>
      </w:rPr>
      <w:tblPr/>
      <w:tcPr>
        <w:shd w:val="clear" w:color="auto" w:fill="0F4761" w:themeFill="accent1" w:themeFillShade="BF"/>
      </w:tc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ColorfulGrid-Accent2">
    <w:name w:val="Colorful Grid Accent 2"/>
    <w:basedOn w:val="TableNormal"/>
    <w:uiPriority w:val="73"/>
    <w:semiHidden/>
    <w:unhideWhenUsed/>
    <w:rsid w:val="00487A7F"/>
    <w:pPr>
      <w:spacing w:after="0" w:line="240" w:lineRule="auto"/>
    </w:pPr>
    <w:rPr>
      <w:color w:val="000000" w:themeColor="text1"/>
      <w:kern w:val="0"/>
      <w14:ligatures w14:val="none"/>
    </w:rPr>
    <w:tblPr>
      <w:tblStyleRowBandSize w:val="1"/>
      <w:tblStyleColBandSize w:val="1"/>
      <w:tblBorders>
        <w:insideH w:val="single" w:sz="4" w:space="0" w:color="FFFFFF" w:themeColor="background1"/>
      </w:tblBorders>
    </w:tblPr>
    <w:tcPr>
      <w:shd w:val="clear" w:color="auto" w:fill="FAE2D5" w:themeFill="accent2" w:themeFillTint="33"/>
    </w:tcPr>
    <w:tblStylePr w:type="firstRow">
      <w:rPr>
        <w:b/>
        <w:bCs/>
      </w:rPr>
      <w:tblPr/>
      <w:tcPr>
        <w:shd w:val="clear" w:color="auto" w:fill="F6C5AC" w:themeFill="accent2" w:themeFillTint="66"/>
      </w:tcPr>
    </w:tblStylePr>
    <w:tblStylePr w:type="lastRow">
      <w:rPr>
        <w:b/>
        <w:bCs/>
        <w:color w:val="000000" w:themeColor="text1"/>
      </w:rPr>
      <w:tblPr/>
      <w:tcPr>
        <w:shd w:val="clear" w:color="auto" w:fill="F6C5AC" w:themeFill="accent2" w:themeFillTint="66"/>
      </w:tcPr>
    </w:tblStylePr>
    <w:tblStylePr w:type="firstCol">
      <w:rPr>
        <w:color w:val="FFFFFF" w:themeColor="background1"/>
      </w:rPr>
      <w:tblPr/>
      <w:tcPr>
        <w:shd w:val="clear" w:color="auto" w:fill="BF4E14" w:themeFill="accent2" w:themeFillShade="BF"/>
      </w:tcPr>
    </w:tblStylePr>
    <w:tblStylePr w:type="lastCol">
      <w:rPr>
        <w:color w:val="FFFFFF" w:themeColor="background1"/>
      </w:rPr>
      <w:tblPr/>
      <w:tcPr>
        <w:shd w:val="clear" w:color="auto" w:fill="BF4E14" w:themeFill="accent2" w:themeFillShade="BF"/>
      </w:tc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ColorfulGrid-Accent3">
    <w:name w:val="Colorful Grid Accent 3"/>
    <w:basedOn w:val="TableNormal"/>
    <w:uiPriority w:val="73"/>
    <w:semiHidden/>
    <w:unhideWhenUsed/>
    <w:rsid w:val="00487A7F"/>
    <w:pPr>
      <w:spacing w:after="0" w:line="240" w:lineRule="auto"/>
    </w:pPr>
    <w:rPr>
      <w:color w:val="000000" w:themeColor="text1"/>
      <w:kern w:val="0"/>
      <w14:ligatures w14:val="none"/>
    </w:rPr>
    <w:tblPr>
      <w:tblStyleRowBandSize w:val="1"/>
      <w:tblStyleColBandSize w:val="1"/>
      <w:tblBorders>
        <w:insideH w:val="single" w:sz="4" w:space="0" w:color="FFFFFF" w:themeColor="background1"/>
      </w:tblBorders>
    </w:tblPr>
    <w:tcPr>
      <w:shd w:val="clear" w:color="auto" w:fill="C1F0C7" w:themeFill="accent3" w:themeFillTint="33"/>
    </w:tcPr>
    <w:tblStylePr w:type="firstRow">
      <w:rPr>
        <w:b/>
        <w:bCs/>
      </w:rPr>
      <w:tblPr/>
      <w:tcPr>
        <w:shd w:val="clear" w:color="auto" w:fill="84E290" w:themeFill="accent3" w:themeFillTint="66"/>
      </w:tcPr>
    </w:tblStylePr>
    <w:tblStylePr w:type="lastRow">
      <w:rPr>
        <w:b/>
        <w:bCs/>
        <w:color w:val="000000" w:themeColor="text1"/>
      </w:rPr>
      <w:tblPr/>
      <w:tcPr>
        <w:shd w:val="clear" w:color="auto" w:fill="84E290" w:themeFill="accent3" w:themeFillTint="66"/>
      </w:tcPr>
    </w:tblStylePr>
    <w:tblStylePr w:type="firstCol">
      <w:rPr>
        <w:color w:val="FFFFFF" w:themeColor="background1"/>
      </w:rPr>
      <w:tblPr/>
      <w:tcPr>
        <w:shd w:val="clear" w:color="auto" w:fill="124F1A" w:themeFill="accent3" w:themeFillShade="BF"/>
      </w:tcPr>
    </w:tblStylePr>
    <w:tblStylePr w:type="lastCol">
      <w:rPr>
        <w:color w:val="FFFFFF" w:themeColor="background1"/>
      </w:rPr>
      <w:tblPr/>
      <w:tcPr>
        <w:shd w:val="clear" w:color="auto" w:fill="124F1A" w:themeFill="accent3" w:themeFillShade="BF"/>
      </w:tc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ColorfulGrid-Accent4">
    <w:name w:val="Colorful Grid Accent 4"/>
    <w:basedOn w:val="TableNormal"/>
    <w:uiPriority w:val="73"/>
    <w:semiHidden/>
    <w:unhideWhenUsed/>
    <w:rsid w:val="00487A7F"/>
    <w:pPr>
      <w:spacing w:after="0" w:line="240" w:lineRule="auto"/>
    </w:pPr>
    <w:rPr>
      <w:color w:val="000000" w:themeColor="text1"/>
      <w:kern w:val="0"/>
      <w14:ligatures w14:val="none"/>
    </w:rPr>
    <w:tblPr>
      <w:tblStyleRowBandSize w:val="1"/>
      <w:tblStyleColBandSize w:val="1"/>
      <w:tblBorders>
        <w:insideH w:val="single" w:sz="4" w:space="0" w:color="FFFFFF" w:themeColor="background1"/>
      </w:tblBorders>
    </w:tblPr>
    <w:tcPr>
      <w:shd w:val="clear" w:color="auto" w:fill="CAEDFB" w:themeFill="accent4" w:themeFillTint="33"/>
    </w:tcPr>
    <w:tblStylePr w:type="firstRow">
      <w:rPr>
        <w:b/>
        <w:bCs/>
      </w:rPr>
      <w:tblPr/>
      <w:tcPr>
        <w:shd w:val="clear" w:color="auto" w:fill="95DCF7" w:themeFill="accent4" w:themeFillTint="66"/>
      </w:tcPr>
    </w:tblStylePr>
    <w:tblStylePr w:type="lastRow">
      <w:rPr>
        <w:b/>
        <w:bCs/>
        <w:color w:val="000000" w:themeColor="text1"/>
      </w:rPr>
      <w:tblPr/>
      <w:tcPr>
        <w:shd w:val="clear" w:color="auto" w:fill="95DCF7" w:themeFill="accent4" w:themeFillTint="66"/>
      </w:tcPr>
    </w:tblStylePr>
    <w:tblStylePr w:type="firstCol">
      <w:rPr>
        <w:color w:val="FFFFFF" w:themeColor="background1"/>
      </w:rPr>
      <w:tblPr/>
      <w:tcPr>
        <w:shd w:val="clear" w:color="auto" w:fill="0B769F" w:themeFill="accent4" w:themeFillShade="BF"/>
      </w:tcPr>
    </w:tblStylePr>
    <w:tblStylePr w:type="lastCol">
      <w:rPr>
        <w:color w:val="FFFFFF" w:themeColor="background1"/>
      </w:rPr>
      <w:tblPr/>
      <w:tcPr>
        <w:shd w:val="clear" w:color="auto" w:fill="0B769F" w:themeFill="accent4" w:themeFillShade="BF"/>
      </w:tc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ColorfulGrid-Accent5">
    <w:name w:val="Colorful Grid Accent 5"/>
    <w:basedOn w:val="TableNormal"/>
    <w:uiPriority w:val="73"/>
    <w:semiHidden/>
    <w:unhideWhenUsed/>
    <w:rsid w:val="00487A7F"/>
    <w:pPr>
      <w:spacing w:after="0" w:line="240" w:lineRule="auto"/>
    </w:pPr>
    <w:rPr>
      <w:color w:val="000000" w:themeColor="text1"/>
      <w:kern w:val="0"/>
      <w14:ligatures w14:val="none"/>
    </w:rPr>
    <w:tblPr>
      <w:tblStyleRowBandSize w:val="1"/>
      <w:tblStyleColBandSize w:val="1"/>
      <w:tblBorders>
        <w:insideH w:val="single" w:sz="4" w:space="0" w:color="FFFFFF" w:themeColor="background1"/>
      </w:tblBorders>
    </w:tblPr>
    <w:tcPr>
      <w:shd w:val="clear" w:color="auto" w:fill="F2CEED" w:themeFill="accent5" w:themeFillTint="33"/>
    </w:tcPr>
    <w:tblStylePr w:type="firstRow">
      <w:rPr>
        <w:b/>
        <w:bCs/>
      </w:rPr>
      <w:tblPr/>
      <w:tcPr>
        <w:shd w:val="clear" w:color="auto" w:fill="E59EDC" w:themeFill="accent5" w:themeFillTint="66"/>
      </w:tcPr>
    </w:tblStylePr>
    <w:tblStylePr w:type="lastRow">
      <w:rPr>
        <w:b/>
        <w:bCs/>
        <w:color w:val="000000" w:themeColor="text1"/>
      </w:rPr>
      <w:tblPr/>
      <w:tcPr>
        <w:shd w:val="clear" w:color="auto" w:fill="E59EDC" w:themeFill="accent5" w:themeFillTint="66"/>
      </w:tcPr>
    </w:tblStylePr>
    <w:tblStylePr w:type="firstCol">
      <w:rPr>
        <w:color w:val="FFFFFF" w:themeColor="background1"/>
      </w:rPr>
      <w:tblPr/>
      <w:tcPr>
        <w:shd w:val="clear" w:color="auto" w:fill="77206D" w:themeFill="accent5" w:themeFillShade="BF"/>
      </w:tcPr>
    </w:tblStylePr>
    <w:tblStylePr w:type="lastCol">
      <w:rPr>
        <w:color w:val="FFFFFF" w:themeColor="background1"/>
      </w:rPr>
      <w:tblPr/>
      <w:tcPr>
        <w:shd w:val="clear" w:color="auto" w:fill="77206D" w:themeFill="accent5" w:themeFillShade="BF"/>
      </w:tc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ColorfulGrid-Accent6">
    <w:name w:val="Colorful Grid Accent 6"/>
    <w:basedOn w:val="TableNormal"/>
    <w:uiPriority w:val="73"/>
    <w:semiHidden/>
    <w:unhideWhenUsed/>
    <w:rsid w:val="00487A7F"/>
    <w:pPr>
      <w:spacing w:after="0" w:line="240" w:lineRule="auto"/>
    </w:pPr>
    <w:rPr>
      <w:color w:val="000000" w:themeColor="text1"/>
      <w:kern w:val="0"/>
      <w14:ligatures w14:val="none"/>
    </w:rPr>
    <w:tblPr>
      <w:tblStyleRowBandSize w:val="1"/>
      <w:tblStyleColBandSize w:val="1"/>
      <w:tblBorders>
        <w:insideH w:val="single" w:sz="4" w:space="0" w:color="FFFFFF" w:themeColor="background1"/>
      </w:tblBorders>
    </w:tblPr>
    <w:tcPr>
      <w:shd w:val="clear" w:color="auto" w:fill="D9F2D0" w:themeFill="accent6" w:themeFillTint="33"/>
    </w:tcPr>
    <w:tblStylePr w:type="firstRow">
      <w:rPr>
        <w:b/>
        <w:bCs/>
      </w:rPr>
      <w:tblPr/>
      <w:tcPr>
        <w:shd w:val="clear" w:color="auto" w:fill="B3E5A1" w:themeFill="accent6" w:themeFillTint="66"/>
      </w:tcPr>
    </w:tblStylePr>
    <w:tblStylePr w:type="lastRow">
      <w:rPr>
        <w:b/>
        <w:bCs/>
        <w:color w:val="000000" w:themeColor="text1"/>
      </w:rPr>
      <w:tblPr/>
      <w:tcPr>
        <w:shd w:val="clear" w:color="auto" w:fill="B3E5A1" w:themeFill="accent6" w:themeFillTint="66"/>
      </w:tcPr>
    </w:tblStylePr>
    <w:tblStylePr w:type="firstCol">
      <w:rPr>
        <w:color w:val="FFFFFF" w:themeColor="background1"/>
      </w:rPr>
      <w:tblPr/>
      <w:tcPr>
        <w:shd w:val="clear" w:color="auto" w:fill="3A7C22" w:themeFill="accent6" w:themeFillShade="BF"/>
      </w:tcPr>
    </w:tblStylePr>
    <w:tblStylePr w:type="lastCol">
      <w:rPr>
        <w:color w:val="FFFFFF" w:themeColor="background1"/>
      </w:rPr>
      <w:tblPr/>
      <w:tcPr>
        <w:shd w:val="clear" w:color="auto" w:fill="3A7C22" w:themeFill="accent6" w:themeFillShade="BF"/>
      </w:tc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ColorfulList">
    <w:name w:val="Colorful List"/>
    <w:basedOn w:val="TableNormal"/>
    <w:uiPriority w:val="72"/>
    <w:semiHidden/>
    <w:unhideWhenUsed/>
    <w:rsid w:val="00487A7F"/>
    <w:pPr>
      <w:spacing w:after="0" w:line="240" w:lineRule="auto"/>
    </w:pPr>
    <w:rPr>
      <w:color w:val="000000" w:themeColor="text1"/>
      <w:kern w:val="0"/>
      <w14:ligatures w14:val="none"/>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487A7F"/>
    <w:pPr>
      <w:spacing w:after="0" w:line="240" w:lineRule="auto"/>
    </w:pPr>
    <w:rPr>
      <w:color w:val="000000" w:themeColor="text1"/>
      <w:kern w:val="0"/>
      <w14:ligatures w14:val="none"/>
    </w:rPr>
    <w:tblPr>
      <w:tblStyleRowBandSize w:val="1"/>
      <w:tblStyleColBandSize w:val="1"/>
    </w:tblPr>
    <w:tcPr>
      <w:shd w:val="clear" w:color="auto" w:fill="E0F2FA" w:themeFill="accen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table" w:styleId="ColorfulList-Accent2">
    <w:name w:val="Colorful List Accent 2"/>
    <w:basedOn w:val="TableNormal"/>
    <w:uiPriority w:val="72"/>
    <w:semiHidden/>
    <w:unhideWhenUsed/>
    <w:rsid w:val="00487A7F"/>
    <w:pPr>
      <w:spacing w:after="0" w:line="240" w:lineRule="auto"/>
    </w:pPr>
    <w:rPr>
      <w:color w:val="000000" w:themeColor="text1"/>
      <w:kern w:val="0"/>
      <w14:ligatures w14:val="none"/>
    </w:rPr>
    <w:tblPr>
      <w:tblStyleRowBandSize w:val="1"/>
      <w:tblStyleColBandSize w:val="1"/>
    </w:tblPr>
    <w:tcPr>
      <w:shd w:val="clear" w:color="auto" w:fill="FCF0EA" w:themeFill="accent2"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DBCC" w:themeFill="accent2" w:themeFillTint="3F"/>
      </w:tcPr>
    </w:tblStylePr>
    <w:tblStylePr w:type="band1Horz">
      <w:tblPr/>
      <w:tcPr>
        <w:shd w:val="clear" w:color="auto" w:fill="FAE2D5" w:themeFill="accent2" w:themeFillTint="33"/>
      </w:tcPr>
    </w:tblStylePr>
  </w:style>
  <w:style w:type="table" w:styleId="ColorfulList-Accent3">
    <w:name w:val="Colorful List Accent 3"/>
    <w:basedOn w:val="TableNormal"/>
    <w:uiPriority w:val="72"/>
    <w:semiHidden/>
    <w:unhideWhenUsed/>
    <w:rsid w:val="00487A7F"/>
    <w:pPr>
      <w:spacing w:after="0" w:line="240" w:lineRule="auto"/>
    </w:pPr>
    <w:rPr>
      <w:color w:val="000000" w:themeColor="text1"/>
      <w:kern w:val="0"/>
      <w14:ligatures w14:val="none"/>
    </w:rPr>
    <w:tblPr>
      <w:tblStyleRowBandSize w:val="1"/>
      <w:tblStyleColBandSize w:val="1"/>
    </w:tblPr>
    <w:tcPr>
      <w:shd w:val="clear" w:color="auto" w:fill="E0F8E3" w:themeFill="accent3" w:themeFillTint="19"/>
    </w:tcPr>
    <w:tblStylePr w:type="firstRow">
      <w:rPr>
        <w:b/>
        <w:bCs/>
        <w:color w:val="FFFFFF" w:themeColor="background1"/>
      </w:rPr>
      <w:tblPr/>
      <w:tcPr>
        <w:tcBorders>
          <w:bottom w:val="single" w:sz="12" w:space="0" w:color="FFFFFF" w:themeColor="background1"/>
        </w:tcBorders>
        <w:shd w:val="clear" w:color="auto" w:fill="0C7EAA" w:themeFill="accent4" w:themeFillShade="CC"/>
      </w:tcPr>
    </w:tblStylePr>
    <w:tblStylePr w:type="lastRow">
      <w:rPr>
        <w:b/>
        <w:bCs/>
        <w:color w:val="0C7EAA"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3EDBA" w:themeFill="accent3" w:themeFillTint="3F"/>
      </w:tcPr>
    </w:tblStylePr>
    <w:tblStylePr w:type="band1Horz">
      <w:tblPr/>
      <w:tcPr>
        <w:shd w:val="clear" w:color="auto" w:fill="C1F0C7" w:themeFill="accent3" w:themeFillTint="33"/>
      </w:tcPr>
    </w:tblStylePr>
  </w:style>
  <w:style w:type="table" w:styleId="ColorfulList-Accent4">
    <w:name w:val="Colorful List Accent 4"/>
    <w:basedOn w:val="TableNormal"/>
    <w:uiPriority w:val="72"/>
    <w:semiHidden/>
    <w:unhideWhenUsed/>
    <w:rsid w:val="00487A7F"/>
    <w:pPr>
      <w:spacing w:after="0" w:line="240" w:lineRule="auto"/>
    </w:pPr>
    <w:rPr>
      <w:color w:val="000000" w:themeColor="text1"/>
      <w:kern w:val="0"/>
      <w14:ligatures w14:val="none"/>
    </w:rPr>
    <w:tblPr>
      <w:tblStyleRowBandSize w:val="1"/>
      <w:tblStyleColBandSize w:val="1"/>
    </w:tblPr>
    <w:tcPr>
      <w:shd w:val="clear" w:color="auto" w:fill="E5F6FD" w:themeFill="accent4" w:themeFillTint="19"/>
    </w:tcPr>
    <w:tblStylePr w:type="firstRow">
      <w:rPr>
        <w:b/>
        <w:bCs/>
        <w:color w:val="FFFFFF" w:themeColor="background1"/>
      </w:rPr>
      <w:tblPr/>
      <w:tcPr>
        <w:tcBorders>
          <w:bottom w:val="single" w:sz="12" w:space="0" w:color="FFFFFF" w:themeColor="background1"/>
        </w:tcBorders>
        <w:shd w:val="clear" w:color="auto" w:fill="14551C" w:themeFill="accent3" w:themeFillShade="CC"/>
      </w:tcPr>
    </w:tblStylePr>
    <w:tblStylePr w:type="lastRow">
      <w:rPr>
        <w:b/>
        <w:bCs/>
        <w:color w:val="14551C"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E9FA" w:themeFill="accent4" w:themeFillTint="3F"/>
      </w:tcPr>
    </w:tblStylePr>
    <w:tblStylePr w:type="band1Horz">
      <w:tblPr/>
      <w:tcPr>
        <w:shd w:val="clear" w:color="auto" w:fill="CAEDFB" w:themeFill="accent4" w:themeFillTint="33"/>
      </w:tcPr>
    </w:tblStylePr>
  </w:style>
  <w:style w:type="table" w:styleId="ColorfulList-Accent5">
    <w:name w:val="Colorful List Accent 5"/>
    <w:basedOn w:val="TableNormal"/>
    <w:uiPriority w:val="72"/>
    <w:semiHidden/>
    <w:unhideWhenUsed/>
    <w:rsid w:val="00487A7F"/>
    <w:pPr>
      <w:spacing w:after="0" w:line="240" w:lineRule="auto"/>
    </w:pPr>
    <w:rPr>
      <w:color w:val="000000" w:themeColor="text1"/>
      <w:kern w:val="0"/>
      <w14:ligatures w14:val="none"/>
    </w:rPr>
    <w:tblPr>
      <w:tblStyleRowBandSize w:val="1"/>
      <w:tblStyleColBandSize w:val="1"/>
    </w:tblPr>
    <w:tcPr>
      <w:shd w:val="clear" w:color="auto" w:fill="F8E7F6" w:themeFill="accent5" w:themeFillTint="19"/>
    </w:tcPr>
    <w:tblStylePr w:type="firstRow">
      <w:rPr>
        <w:b/>
        <w:bCs/>
        <w:color w:val="FFFFFF" w:themeColor="background1"/>
      </w:rPr>
      <w:tblPr/>
      <w:tcPr>
        <w:tcBorders>
          <w:bottom w:val="single" w:sz="12" w:space="0" w:color="FFFFFF" w:themeColor="background1"/>
        </w:tcBorders>
        <w:shd w:val="clear" w:color="auto" w:fill="3E8524" w:themeFill="accent6" w:themeFillShade="CC"/>
      </w:tcPr>
    </w:tblStylePr>
    <w:tblStylePr w:type="lastRow">
      <w:rPr>
        <w:b/>
        <w:bCs/>
        <w:color w:val="3E852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C3E9" w:themeFill="accent5" w:themeFillTint="3F"/>
      </w:tcPr>
    </w:tblStylePr>
    <w:tblStylePr w:type="band1Horz">
      <w:tblPr/>
      <w:tcPr>
        <w:shd w:val="clear" w:color="auto" w:fill="F2CEED" w:themeFill="accent5" w:themeFillTint="33"/>
      </w:tcPr>
    </w:tblStylePr>
  </w:style>
  <w:style w:type="table" w:styleId="ColorfulList-Accent6">
    <w:name w:val="Colorful List Accent 6"/>
    <w:basedOn w:val="TableNormal"/>
    <w:uiPriority w:val="72"/>
    <w:semiHidden/>
    <w:unhideWhenUsed/>
    <w:rsid w:val="00487A7F"/>
    <w:pPr>
      <w:spacing w:after="0" w:line="240" w:lineRule="auto"/>
    </w:pPr>
    <w:rPr>
      <w:color w:val="000000" w:themeColor="text1"/>
      <w:kern w:val="0"/>
      <w14:ligatures w14:val="none"/>
    </w:rPr>
    <w:tblPr>
      <w:tblStyleRowBandSize w:val="1"/>
      <w:tblStyleColBandSize w:val="1"/>
    </w:tblPr>
    <w:tcPr>
      <w:shd w:val="clear" w:color="auto" w:fill="ECF8E8" w:themeFill="accent6" w:themeFillTint="19"/>
    </w:tcPr>
    <w:tblStylePr w:type="firstRow">
      <w:rPr>
        <w:b/>
        <w:bCs/>
        <w:color w:val="FFFFFF" w:themeColor="background1"/>
      </w:rPr>
      <w:tblPr/>
      <w:tcPr>
        <w:tcBorders>
          <w:bottom w:val="single" w:sz="12" w:space="0" w:color="FFFFFF" w:themeColor="background1"/>
        </w:tcBorders>
        <w:shd w:val="clear" w:color="auto" w:fill="7F2275" w:themeFill="accent5" w:themeFillShade="CC"/>
      </w:tcPr>
    </w:tblStylePr>
    <w:tblStylePr w:type="lastRow">
      <w:rPr>
        <w:b/>
        <w:bCs/>
        <w:color w:val="7F227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EFC5" w:themeFill="accent6" w:themeFillTint="3F"/>
      </w:tcPr>
    </w:tblStylePr>
    <w:tblStylePr w:type="band1Horz">
      <w:tblPr/>
      <w:tcPr>
        <w:shd w:val="clear" w:color="auto" w:fill="D9F2D0" w:themeFill="accent6" w:themeFillTint="33"/>
      </w:tcPr>
    </w:tblStylePr>
  </w:style>
  <w:style w:type="table" w:styleId="ColorfulShading">
    <w:name w:val="Colorful Shading"/>
    <w:basedOn w:val="TableNormal"/>
    <w:uiPriority w:val="71"/>
    <w:semiHidden/>
    <w:unhideWhenUsed/>
    <w:rsid w:val="00487A7F"/>
    <w:pPr>
      <w:spacing w:after="0" w:line="240" w:lineRule="auto"/>
    </w:pPr>
    <w:rPr>
      <w:color w:val="000000" w:themeColor="text1"/>
      <w:kern w:val="0"/>
      <w14:ligatures w14:val="none"/>
    </w:rPr>
    <w:tblPr>
      <w:tblStyleRowBandSize w:val="1"/>
      <w:tblStyleColBandSize w:val="1"/>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487A7F"/>
    <w:pPr>
      <w:spacing w:after="0" w:line="240" w:lineRule="auto"/>
    </w:pPr>
    <w:rPr>
      <w:color w:val="000000" w:themeColor="text1"/>
      <w:kern w:val="0"/>
      <w14:ligatures w14:val="none"/>
    </w:rPr>
    <w:tblPr>
      <w:tblStyleRowBandSize w:val="1"/>
      <w:tblStyleColBandSize w:val="1"/>
      <w:tblBorders>
        <w:top w:val="single" w:sz="24" w:space="0" w:color="E97132" w:themeColor="accent2"/>
        <w:left w:val="single" w:sz="4" w:space="0" w:color="156082" w:themeColor="accent1"/>
        <w:bottom w:val="single" w:sz="4" w:space="0" w:color="156082" w:themeColor="accent1"/>
        <w:right w:val="single" w:sz="4" w:space="0" w:color="156082" w:themeColor="accent1"/>
        <w:insideH w:val="single" w:sz="4" w:space="0" w:color="FFFFFF" w:themeColor="background1"/>
        <w:insideV w:val="single" w:sz="4" w:space="0" w:color="FFFFFF" w:themeColor="background1"/>
      </w:tblBorders>
    </w:tblPr>
    <w:tcPr>
      <w:shd w:val="clear" w:color="auto" w:fill="E0F2FA" w:themeFill="accen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C394D" w:themeFill="accent1" w:themeFillShade="99"/>
      </w:tcPr>
    </w:tblStylePr>
    <w:tblStylePr w:type="firstCol">
      <w:rPr>
        <w:color w:val="FFFFFF" w:themeColor="background1"/>
      </w:rPr>
      <w:tblPr/>
      <w:tcPr>
        <w:tcBorders>
          <w:top w:val="nil"/>
          <w:left w:val="nil"/>
          <w:bottom w:val="nil"/>
          <w:right w:val="nil"/>
          <w:insideH w:val="single" w:sz="4" w:space="0" w:color="0C394D" w:themeColor="accent1" w:themeShade="99"/>
          <w:insideV w:val="nil"/>
        </w:tcBorders>
        <w:shd w:val="clear" w:color="auto" w:fill="0C394D"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C394D" w:themeFill="accent1" w:themeFillShade="99"/>
      </w:tcPr>
    </w:tblStylePr>
    <w:tblStylePr w:type="band1Vert">
      <w:tblPr/>
      <w:tcPr>
        <w:shd w:val="clear" w:color="auto" w:fill="83CAEB" w:themeFill="accent1" w:themeFillTint="66"/>
      </w:tcPr>
    </w:tblStylePr>
    <w:tblStylePr w:type="band1Horz">
      <w:tblPr/>
      <w:tcPr>
        <w:shd w:val="clear" w:color="auto" w:fill="64BDE6"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487A7F"/>
    <w:pPr>
      <w:spacing w:after="0" w:line="240" w:lineRule="auto"/>
    </w:pPr>
    <w:rPr>
      <w:color w:val="000000" w:themeColor="text1"/>
      <w:kern w:val="0"/>
      <w14:ligatures w14:val="none"/>
    </w:rPr>
    <w:tblPr>
      <w:tblStyleRowBandSize w:val="1"/>
      <w:tblStyleColBandSize w:val="1"/>
      <w:tblBorders>
        <w:top w:val="single" w:sz="24" w:space="0" w:color="E97132" w:themeColor="accent2"/>
        <w:left w:val="single" w:sz="4" w:space="0" w:color="E97132" w:themeColor="accent2"/>
        <w:bottom w:val="single" w:sz="4" w:space="0" w:color="E97132" w:themeColor="accent2"/>
        <w:right w:val="single" w:sz="4" w:space="0" w:color="E97132" w:themeColor="accent2"/>
        <w:insideH w:val="single" w:sz="4" w:space="0" w:color="FFFFFF" w:themeColor="background1"/>
        <w:insideV w:val="single" w:sz="4" w:space="0" w:color="FFFFFF" w:themeColor="background1"/>
      </w:tblBorders>
    </w:tblPr>
    <w:tcPr>
      <w:shd w:val="clear" w:color="auto" w:fill="FCF0EA" w:themeFill="accent2"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3F10" w:themeFill="accent2" w:themeFillShade="99"/>
      </w:tcPr>
    </w:tblStylePr>
    <w:tblStylePr w:type="firstCol">
      <w:rPr>
        <w:color w:val="FFFFFF" w:themeColor="background1"/>
      </w:rPr>
      <w:tblPr/>
      <w:tcPr>
        <w:tcBorders>
          <w:top w:val="nil"/>
          <w:left w:val="nil"/>
          <w:bottom w:val="nil"/>
          <w:right w:val="nil"/>
          <w:insideH w:val="single" w:sz="4" w:space="0" w:color="993F10" w:themeColor="accent2" w:themeShade="99"/>
          <w:insideV w:val="nil"/>
        </w:tcBorders>
        <w:shd w:val="clear" w:color="auto" w:fill="993F1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93F10" w:themeFill="accent2" w:themeFillShade="99"/>
      </w:tcPr>
    </w:tblStylePr>
    <w:tblStylePr w:type="band1Vert">
      <w:tblPr/>
      <w:tcPr>
        <w:shd w:val="clear" w:color="auto" w:fill="F6C5AC" w:themeFill="accent2" w:themeFillTint="66"/>
      </w:tcPr>
    </w:tblStylePr>
    <w:tblStylePr w:type="band1Horz">
      <w:tblPr/>
      <w:tcPr>
        <w:shd w:val="clear" w:color="auto" w:fill="F4B7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487A7F"/>
    <w:pPr>
      <w:spacing w:after="0" w:line="240" w:lineRule="auto"/>
    </w:pPr>
    <w:rPr>
      <w:color w:val="000000" w:themeColor="text1"/>
      <w:kern w:val="0"/>
      <w14:ligatures w14:val="none"/>
    </w:rPr>
    <w:tblPr>
      <w:tblStyleRowBandSize w:val="1"/>
      <w:tblStyleColBandSize w:val="1"/>
      <w:tblBorders>
        <w:top w:val="single" w:sz="24" w:space="0" w:color="0F9ED5" w:themeColor="accent4"/>
        <w:left w:val="single" w:sz="4" w:space="0" w:color="196B24" w:themeColor="accent3"/>
        <w:bottom w:val="single" w:sz="4" w:space="0" w:color="196B24" w:themeColor="accent3"/>
        <w:right w:val="single" w:sz="4" w:space="0" w:color="196B24" w:themeColor="accent3"/>
        <w:insideH w:val="single" w:sz="4" w:space="0" w:color="FFFFFF" w:themeColor="background1"/>
        <w:insideV w:val="single" w:sz="4" w:space="0" w:color="FFFFFF" w:themeColor="background1"/>
      </w:tblBorders>
    </w:tblPr>
    <w:tcPr>
      <w:shd w:val="clear" w:color="auto" w:fill="E0F8E3" w:themeFill="accent3" w:themeFillTint="19"/>
    </w:tcPr>
    <w:tblStylePr w:type="firstRow">
      <w:rPr>
        <w:b/>
        <w:bCs/>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F4015" w:themeFill="accent3" w:themeFillShade="99"/>
      </w:tcPr>
    </w:tblStylePr>
    <w:tblStylePr w:type="firstCol">
      <w:rPr>
        <w:color w:val="FFFFFF" w:themeColor="background1"/>
      </w:rPr>
      <w:tblPr/>
      <w:tcPr>
        <w:tcBorders>
          <w:top w:val="nil"/>
          <w:left w:val="nil"/>
          <w:bottom w:val="nil"/>
          <w:right w:val="nil"/>
          <w:insideH w:val="single" w:sz="4" w:space="0" w:color="0F4015" w:themeColor="accent3" w:themeShade="99"/>
          <w:insideV w:val="nil"/>
        </w:tcBorders>
        <w:shd w:val="clear" w:color="auto" w:fill="0F4015"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F4015" w:themeFill="accent3" w:themeFillShade="99"/>
      </w:tcPr>
    </w:tblStylePr>
    <w:tblStylePr w:type="band1Vert">
      <w:tblPr/>
      <w:tcPr>
        <w:shd w:val="clear" w:color="auto" w:fill="84E290" w:themeFill="accent3" w:themeFillTint="66"/>
      </w:tcPr>
    </w:tblStylePr>
    <w:tblStylePr w:type="band1Horz">
      <w:tblPr/>
      <w:tcPr>
        <w:shd w:val="clear" w:color="auto" w:fill="66DB75" w:themeFill="accent3" w:themeFillTint="7F"/>
      </w:tcPr>
    </w:tblStylePr>
  </w:style>
  <w:style w:type="table" w:styleId="ColorfulShading-Accent4">
    <w:name w:val="Colorful Shading Accent 4"/>
    <w:basedOn w:val="TableNormal"/>
    <w:uiPriority w:val="71"/>
    <w:semiHidden/>
    <w:unhideWhenUsed/>
    <w:rsid w:val="00487A7F"/>
    <w:pPr>
      <w:spacing w:after="0" w:line="240" w:lineRule="auto"/>
    </w:pPr>
    <w:rPr>
      <w:color w:val="000000" w:themeColor="text1"/>
      <w:kern w:val="0"/>
      <w14:ligatures w14:val="none"/>
    </w:rPr>
    <w:tblPr>
      <w:tblStyleRowBandSize w:val="1"/>
      <w:tblStyleColBandSize w:val="1"/>
      <w:tblBorders>
        <w:top w:val="single" w:sz="24" w:space="0" w:color="196B24" w:themeColor="accent3"/>
        <w:left w:val="single" w:sz="4" w:space="0" w:color="0F9ED5" w:themeColor="accent4"/>
        <w:bottom w:val="single" w:sz="4" w:space="0" w:color="0F9ED5" w:themeColor="accent4"/>
        <w:right w:val="single" w:sz="4" w:space="0" w:color="0F9ED5" w:themeColor="accent4"/>
        <w:insideH w:val="single" w:sz="4" w:space="0" w:color="FFFFFF" w:themeColor="background1"/>
        <w:insideV w:val="single" w:sz="4" w:space="0" w:color="FFFFFF" w:themeColor="background1"/>
      </w:tblBorders>
    </w:tblPr>
    <w:tcPr>
      <w:shd w:val="clear" w:color="auto" w:fill="E5F6FD" w:themeFill="accent4" w:themeFillTint="19"/>
    </w:tcPr>
    <w:tblStylePr w:type="firstRow">
      <w:rPr>
        <w:b/>
        <w:bCs/>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5E7F" w:themeFill="accent4" w:themeFillShade="99"/>
      </w:tcPr>
    </w:tblStylePr>
    <w:tblStylePr w:type="firstCol">
      <w:rPr>
        <w:color w:val="FFFFFF" w:themeColor="background1"/>
      </w:rPr>
      <w:tblPr/>
      <w:tcPr>
        <w:tcBorders>
          <w:top w:val="nil"/>
          <w:left w:val="nil"/>
          <w:bottom w:val="nil"/>
          <w:right w:val="nil"/>
          <w:insideH w:val="single" w:sz="4" w:space="0" w:color="095E7F" w:themeColor="accent4" w:themeShade="99"/>
          <w:insideV w:val="nil"/>
        </w:tcBorders>
        <w:shd w:val="clear" w:color="auto" w:fill="095E7F"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95E7F" w:themeFill="accent4" w:themeFillShade="99"/>
      </w:tcPr>
    </w:tblStylePr>
    <w:tblStylePr w:type="band1Vert">
      <w:tblPr/>
      <w:tcPr>
        <w:shd w:val="clear" w:color="auto" w:fill="95DCF7" w:themeFill="accent4" w:themeFillTint="66"/>
      </w:tcPr>
    </w:tblStylePr>
    <w:tblStylePr w:type="band1Horz">
      <w:tblPr/>
      <w:tcPr>
        <w:shd w:val="clear" w:color="auto" w:fill="7BD3F5"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487A7F"/>
    <w:pPr>
      <w:spacing w:after="0" w:line="240" w:lineRule="auto"/>
    </w:pPr>
    <w:rPr>
      <w:color w:val="000000" w:themeColor="text1"/>
      <w:kern w:val="0"/>
      <w14:ligatures w14:val="none"/>
    </w:rPr>
    <w:tblPr>
      <w:tblStyleRowBandSize w:val="1"/>
      <w:tblStyleColBandSize w:val="1"/>
      <w:tblBorders>
        <w:top w:val="single" w:sz="24" w:space="0" w:color="4EA72E" w:themeColor="accent6"/>
        <w:left w:val="single" w:sz="4" w:space="0" w:color="A02B93" w:themeColor="accent5"/>
        <w:bottom w:val="single" w:sz="4" w:space="0" w:color="A02B93" w:themeColor="accent5"/>
        <w:right w:val="single" w:sz="4" w:space="0" w:color="A02B93" w:themeColor="accent5"/>
        <w:insideH w:val="single" w:sz="4" w:space="0" w:color="FFFFFF" w:themeColor="background1"/>
        <w:insideV w:val="single" w:sz="4" w:space="0" w:color="FFFFFF" w:themeColor="background1"/>
      </w:tblBorders>
    </w:tblPr>
    <w:tcPr>
      <w:shd w:val="clear" w:color="auto" w:fill="F8E7F6" w:themeFill="accent5" w:themeFillTint="19"/>
    </w:tcPr>
    <w:tblStylePr w:type="firstRow">
      <w:rPr>
        <w:b/>
        <w:bCs/>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1957" w:themeFill="accent5" w:themeFillShade="99"/>
      </w:tcPr>
    </w:tblStylePr>
    <w:tblStylePr w:type="firstCol">
      <w:rPr>
        <w:color w:val="FFFFFF" w:themeColor="background1"/>
      </w:rPr>
      <w:tblPr/>
      <w:tcPr>
        <w:tcBorders>
          <w:top w:val="nil"/>
          <w:left w:val="nil"/>
          <w:bottom w:val="nil"/>
          <w:right w:val="nil"/>
          <w:insideH w:val="single" w:sz="4" w:space="0" w:color="5F1957" w:themeColor="accent5" w:themeShade="99"/>
          <w:insideV w:val="nil"/>
        </w:tcBorders>
        <w:shd w:val="clear" w:color="auto" w:fill="5F195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1957" w:themeFill="accent5" w:themeFillShade="99"/>
      </w:tcPr>
    </w:tblStylePr>
    <w:tblStylePr w:type="band1Vert">
      <w:tblPr/>
      <w:tcPr>
        <w:shd w:val="clear" w:color="auto" w:fill="E59EDC" w:themeFill="accent5" w:themeFillTint="66"/>
      </w:tcPr>
    </w:tblStylePr>
    <w:tblStylePr w:type="band1Horz">
      <w:tblPr/>
      <w:tcPr>
        <w:shd w:val="clear" w:color="auto" w:fill="DE86D4"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487A7F"/>
    <w:pPr>
      <w:spacing w:after="0" w:line="240" w:lineRule="auto"/>
    </w:pPr>
    <w:rPr>
      <w:color w:val="000000" w:themeColor="text1"/>
      <w:kern w:val="0"/>
      <w14:ligatures w14:val="none"/>
    </w:rPr>
    <w:tblPr>
      <w:tblStyleRowBandSize w:val="1"/>
      <w:tblStyleColBandSize w:val="1"/>
      <w:tblBorders>
        <w:top w:val="single" w:sz="24" w:space="0" w:color="A02B93" w:themeColor="accent5"/>
        <w:left w:val="single" w:sz="4" w:space="0" w:color="4EA72E" w:themeColor="accent6"/>
        <w:bottom w:val="single" w:sz="4" w:space="0" w:color="4EA72E" w:themeColor="accent6"/>
        <w:right w:val="single" w:sz="4" w:space="0" w:color="4EA72E" w:themeColor="accent6"/>
        <w:insideH w:val="single" w:sz="4" w:space="0" w:color="FFFFFF" w:themeColor="background1"/>
        <w:insideV w:val="single" w:sz="4" w:space="0" w:color="FFFFFF" w:themeColor="background1"/>
      </w:tblBorders>
    </w:tblPr>
    <w:tcPr>
      <w:shd w:val="clear" w:color="auto" w:fill="ECF8E8" w:themeFill="accent6" w:themeFillTint="19"/>
    </w:tcPr>
    <w:tblStylePr w:type="firstRow">
      <w:rPr>
        <w:b/>
        <w:bCs/>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E641B" w:themeFill="accent6" w:themeFillShade="99"/>
      </w:tcPr>
    </w:tblStylePr>
    <w:tblStylePr w:type="firstCol">
      <w:rPr>
        <w:color w:val="FFFFFF" w:themeColor="background1"/>
      </w:rPr>
      <w:tblPr/>
      <w:tcPr>
        <w:tcBorders>
          <w:top w:val="nil"/>
          <w:left w:val="nil"/>
          <w:bottom w:val="nil"/>
          <w:right w:val="nil"/>
          <w:insideH w:val="single" w:sz="4" w:space="0" w:color="2E641B" w:themeColor="accent6" w:themeShade="99"/>
          <w:insideV w:val="nil"/>
        </w:tcBorders>
        <w:shd w:val="clear" w:color="auto" w:fill="2E641B"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2E641B" w:themeFill="accent6" w:themeFillShade="99"/>
      </w:tcPr>
    </w:tblStylePr>
    <w:tblStylePr w:type="band1Vert">
      <w:tblPr/>
      <w:tcPr>
        <w:shd w:val="clear" w:color="auto" w:fill="B3E5A1" w:themeFill="accent6" w:themeFillTint="66"/>
      </w:tcPr>
    </w:tblStylePr>
    <w:tblStylePr w:type="band1Horz">
      <w:tblPr/>
      <w:tcPr>
        <w:shd w:val="clear" w:color="auto" w:fill="A0DF8A"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semiHidden/>
    <w:rsid w:val="00487A7F"/>
    <w:rPr>
      <w:sz w:val="16"/>
      <w:szCs w:val="16"/>
      <w:lang w:val="en-US" w:bidi="ar-DZ"/>
    </w:rPr>
  </w:style>
  <w:style w:type="paragraph" w:styleId="CommentText">
    <w:name w:val="annotation text"/>
    <w:basedOn w:val="Normal"/>
    <w:link w:val="CommentTextChar"/>
    <w:semiHidden/>
    <w:rsid w:val="00487A7F"/>
    <w:rPr>
      <w:sz w:val="20"/>
    </w:rPr>
  </w:style>
  <w:style w:type="character" w:customStyle="1" w:styleId="CommentTextChar">
    <w:name w:val="Comment Text Char"/>
    <w:basedOn w:val="DefaultParagraphFont"/>
    <w:link w:val="CommentText"/>
    <w:semiHidden/>
    <w:rsid w:val="00487A7F"/>
    <w:rPr>
      <w:rFonts w:ascii="Century Gothic" w:eastAsia="PMingLiU" w:hAnsi="Century Gothic" w:cs="Times New Roman"/>
      <w:color w:val="000000"/>
      <w:kern w:val="0"/>
      <w:sz w:val="20"/>
      <w:szCs w:val="20"/>
      <w:lang w:bidi="ar-DZ"/>
      <w14:ligatures w14:val="none"/>
    </w:rPr>
  </w:style>
  <w:style w:type="paragraph" w:styleId="CommentSubject">
    <w:name w:val="annotation subject"/>
    <w:basedOn w:val="CommentText"/>
    <w:next w:val="CommentText"/>
    <w:link w:val="CommentSubjectChar"/>
    <w:semiHidden/>
    <w:rsid w:val="00487A7F"/>
    <w:rPr>
      <w:b/>
      <w:bCs/>
    </w:rPr>
  </w:style>
  <w:style w:type="character" w:customStyle="1" w:styleId="CommentSubjectChar">
    <w:name w:val="Comment Subject Char"/>
    <w:basedOn w:val="CommentTextChar"/>
    <w:link w:val="CommentSubject"/>
    <w:semiHidden/>
    <w:rsid w:val="00487A7F"/>
    <w:rPr>
      <w:rFonts w:ascii="Century Gothic" w:eastAsia="PMingLiU" w:hAnsi="Century Gothic" w:cs="Times New Roman"/>
      <w:b/>
      <w:bCs/>
      <w:color w:val="000000"/>
      <w:kern w:val="0"/>
      <w:sz w:val="20"/>
      <w:szCs w:val="20"/>
      <w:lang w:bidi="ar-DZ"/>
      <w14:ligatures w14:val="none"/>
    </w:rPr>
  </w:style>
  <w:style w:type="table" w:styleId="DarkList">
    <w:name w:val="Dark List"/>
    <w:basedOn w:val="TableNormal"/>
    <w:uiPriority w:val="70"/>
    <w:semiHidden/>
    <w:unhideWhenUsed/>
    <w:rsid w:val="00487A7F"/>
    <w:pPr>
      <w:spacing w:after="0" w:line="240" w:lineRule="auto"/>
    </w:pPr>
    <w:rPr>
      <w:color w:val="FFFFFF" w:themeColor="background1"/>
      <w:kern w:val="0"/>
      <w14:ligatures w14:val="none"/>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487A7F"/>
    <w:pPr>
      <w:spacing w:after="0" w:line="240" w:lineRule="auto"/>
    </w:pPr>
    <w:rPr>
      <w:color w:val="FFFFFF" w:themeColor="background1"/>
      <w:kern w:val="0"/>
      <w14:ligatures w14:val="none"/>
    </w:rPr>
    <w:tblPr>
      <w:tblStyleRowBandSize w:val="1"/>
      <w:tblStyleColBandSize w:val="1"/>
    </w:tblPr>
    <w:tcPr>
      <w:shd w:val="clear" w:color="auto" w:fill="15608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A2F4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F476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F4761" w:themeFill="accent1" w:themeFillShade="BF"/>
      </w:tcPr>
    </w:tblStylePr>
    <w:tblStylePr w:type="band1Vert">
      <w:tblPr/>
      <w:tcPr>
        <w:tcBorders>
          <w:top w:val="nil"/>
          <w:left w:val="nil"/>
          <w:bottom w:val="nil"/>
          <w:right w:val="nil"/>
          <w:insideH w:val="nil"/>
          <w:insideV w:val="nil"/>
        </w:tcBorders>
        <w:shd w:val="clear" w:color="auto" w:fill="0F4761" w:themeFill="accent1" w:themeFillShade="BF"/>
      </w:tcPr>
    </w:tblStylePr>
    <w:tblStylePr w:type="band1Horz">
      <w:tblPr/>
      <w:tcPr>
        <w:tcBorders>
          <w:top w:val="nil"/>
          <w:left w:val="nil"/>
          <w:bottom w:val="nil"/>
          <w:right w:val="nil"/>
          <w:insideH w:val="nil"/>
          <w:insideV w:val="nil"/>
        </w:tcBorders>
        <w:shd w:val="clear" w:color="auto" w:fill="0F4761" w:themeFill="accent1" w:themeFillShade="BF"/>
      </w:tcPr>
    </w:tblStylePr>
  </w:style>
  <w:style w:type="table" w:styleId="DarkList-Accent2">
    <w:name w:val="Dark List Accent 2"/>
    <w:basedOn w:val="TableNormal"/>
    <w:uiPriority w:val="70"/>
    <w:semiHidden/>
    <w:unhideWhenUsed/>
    <w:rsid w:val="00487A7F"/>
    <w:pPr>
      <w:spacing w:after="0" w:line="240" w:lineRule="auto"/>
    </w:pPr>
    <w:rPr>
      <w:color w:val="FFFFFF" w:themeColor="background1"/>
      <w:kern w:val="0"/>
      <w14:ligatures w14:val="none"/>
    </w:rPr>
    <w:tblPr>
      <w:tblStyleRowBandSize w:val="1"/>
      <w:tblStyleColBandSize w:val="1"/>
    </w:tblPr>
    <w:tcPr>
      <w:shd w:val="clear" w:color="auto" w:fill="E97132"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340D"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BF4E1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BF4E14" w:themeFill="accent2" w:themeFillShade="BF"/>
      </w:tcPr>
    </w:tblStylePr>
    <w:tblStylePr w:type="band1Vert">
      <w:tblPr/>
      <w:tcPr>
        <w:tcBorders>
          <w:top w:val="nil"/>
          <w:left w:val="nil"/>
          <w:bottom w:val="nil"/>
          <w:right w:val="nil"/>
          <w:insideH w:val="nil"/>
          <w:insideV w:val="nil"/>
        </w:tcBorders>
        <w:shd w:val="clear" w:color="auto" w:fill="BF4E14" w:themeFill="accent2" w:themeFillShade="BF"/>
      </w:tcPr>
    </w:tblStylePr>
    <w:tblStylePr w:type="band1Horz">
      <w:tblPr/>
      <w:tcPr>
        <w:tcBorders>
          <w:top w:val="nil"/>
          <w:left w:val="nil"/>
          <w:bottom w:val="nil"/>
          <w:right w:val="nil"/>
          <w:insideH w:val="nil"/>
          <w:insideV w:val="nil"/>
        </w:tcBorders>
        <w:shd w:val="clear" w:color="auto" w:fill="BF4E14" w:themeFill="accent2" w:themeFillShade="BF"/>
      </w:tcPr>
    </w:tblStylePr>
  </w:style>
  <w:style w:type="table" w:styleId="DarkList-Accent3">
    <w:name w:val="Dark List Accent 3"/>
    <w:basedOn w:val="TableNormal"/>
    <w:uiPriority w:val="70"/>
    <w:semiHidden/>
    <w:unhideWhenUsed/>
    <w:rsid w:val="00487A7F"/>
    <w:pPr>
      <w:spacing w:after="0" w:line="240" w:lineRule="auto"/>
    </w:pPr>
    <w:rPr>
      <w:color w:val="FFFFFF" w:themeColor="background1"/>
      <w:kern w:val="0"/>
      <w14:ligatures w14:val="none"/>
    </w:rPr>
    <w:tblPr>
      <w:tblStyleRowBandSize w:val="1"/>
      <w:tblStyleColBandSize w:val="1"/>
    </w:tblPr>
    <w:tcPr>
      <w:shd w:val="clear" w:color="auto" w:fill="196B24"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C351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24F1A"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24F1A" w:themeFill="accent3" w:themeFillShade="BF"/>
      </w:tcPr>
    </w:tblStylePr>
    <w:tblStylePr w:type="band1Vert">
      <w:tblPr/>
      <w:tcPr>
        <w:tcBorders>
          <w:top w:val="nil"/>
          <w:left w:val="nil"/>
          <w:bottom w:val="nil"/>
          <w:right w:val="nil"/>
          <w:insideH w:val="nil"/>
          <w:insideV w:val="nil"/>
        </w:tcBorders>
        <w:shd w:val="clear" w:color="auto" w:fill="124F1A" w:themeFill="accent3" w:themeFillShade="BF"/>
      </w:tcPr>
    </w:tblStylePr>
    <w:tblStylePr w:type="band1Horz">
      <w:tblPr/>
      <w:tcPr>
        <w:tcBorders>
          <w:top w:val="nil"/>
          <w:left w:val="nil"/>
          <w:bottom w:val="nil"/>
          <w:right w:val="nil"/>
          <w:insideH w:val="nil"/>
          <w:insideV w:val="nil"/>
        </w:tcBorders>
        <w:shd w:val="clear" w:color="auto" w:fill="124F1A" w:themeFill="accent3" w:themeFillShade="BF"/>
      </w:tcPr>
    </w:tblStylePr>
  </w:style>
  <w:style w:type="table" w:styleId="DarkList-Accent4">
    <w:name w:val="Dark List Accent 4"/>
    <w:basedOn w:val="TableNormal"/>
    <w:uiPriority w:val="70"/>
    <w:semiHidden/>
    <w:unhideWhenUsed/>
    <w:rsid w:val="00487A7F"/>
    <w:pPr>
      <w:spacing w:after="0" w:line="240" w:lineRule="auto"/>
    </w:pPr>
    <w:rPr>
      <w:color w:val="FFFFFF" w:themeColor="background1"/>
      <w:kern w:val="0"/>
      <w14:ligatures w14:val="none"/>
    </w:rPr>
    <w:tblPr>
      <w:tblStyleRowBandSize w:val="1"/>
      <w:tblStyleColBandSize w:val="1"/>
    </w:tblPr>
    <w:tcPr>
      <w:shd w:val="clear" w:color="auto" w:fill="0F9ED5"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74E69"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B769F"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B769F" w:themeFill="accent4" w:themeFillShade="BF"/>
      </w:tcPr>
    </w:tblStylePr>
    <w:tblStylePr w:type="band1Vert">
      <w:tblPr/>
      <w:tcPr>
        <w:tcBorders>
          <w:top w:val="nil"/>
          <w:left w:val="nil"/>
          <w:bottom w:val="nil"/>
          <w:right w:val="nil"/>
          <w:insideH w:val="nil"/>
          <w:insideV w:val="nil"/>
        </w:tcBorders>
        <w:shd w:val="clear" w:color="auto" w:fill="0B769F" w:themeFill="accent4" w:themeFillShade="BF"/>
      </w:tcPr>
    </w:tblStylePr>
    <w:tblStylePr w:type="band1Horz">
      <w:tblPr/>
      <w:tcPr>
        <w:tcBorders>
          <w:top w:val="nil"/>
          <w:left w:val="nil"/>
          <w:bottom w:val="nil"/>
          <w:right w:val="nil"/>
          <w:insideH w:val="nil"/>
          <w:insideV w:val="nil"/>
        </w:tcBorders>
        <w:shd w:val="clear" w:color="auto" w:fill="0B769F" w:themeFill="accent4" w:themeFillShade="BF"/>
      </w:tcPr>
    </w:tblStylePr>
  </w:style>
  <w:style w:type="table" w:styleId="DarkList-Accent5">
    <w:name w:val="Dark List Accent 5"/>
    <w:basedOn w:val="TableNormal"/>
    <w:uiPriority w:val="70"/>
    <w:semiHidden/>
    <w:unhideWhenUsed/>
    <w:rsid w:val="00487A7F"/>
    <w:pPr>
      <w:spacing w:after="0" w:line="240" w:lineRule="auto"/>
    </w:pPr>
    <w:rPr>
      <w:color w:val="FFFFFF" w:themeColor="background1"/>
      <w:kern w:val="0"/>
      <w14:ligatures w14:val="none"/>
    </w:rPr>
    <w:tblPr>
      <w:tblStyleRowBandSize w:val="1"/>
      <w:tblStyleColBandSize w:val="1"/>
    </w:tblPr>
    <w:tcPr>
      <w:shd w:val="clear" w:color="auto" w:fill="A02B93"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F154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206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206D" w:themeFill="accent5" w:themeFillShade="BF"/>
      </w:tcPr>
    </w:tblStylePr>
    <w:tblStylePr w:type="band1Vert">
      <w:tblPr/>
      <w:tcPr>
        <w:tcBorders>
          <w:top w:val="nil"/>
          <w:left w:val="nil"/>
          <w:bottom w:val="nil"/>
          <w:right w:val="nil"/>
          <w:insideH w:val="nil"/>
          <w:insideV w:val="nil"/>
        </w:tcBorders>
        <w:shd w:val="clear" w:color="auto" w:fill="77206D" w:themeFill="accent5" w:themeFillShade="BF"/>
      </w:tcPr>
    </w:tblStylePr>
    <w:tblStylePr w:type="band1Horz">
      <w:tblPr/>
      <w:tcPr>
        <w:tcBorders>
          <w:top w:val="nil"/>
          <w:left w:val="nil"/>
          <w:bottom w:val="nil"/>
          <w:right w:val="nil"/>
          <w:insideH w:val="nil"/>
          <w:insideV w:val="nil"/>
        </w:tcBorders>
        <w:shd w:val="clear" w:color="auto" w:fill="77206D" w:themeFill="accent5" w:themeFillShade="BF"/>
      </w:tcPr>
    </w:tblStylePr>
  </w:style>
  <w:style w:type="table" w:styleId="DarkList-Accent6">
    <w:name w:val="Dark List Accent 6"/>
    <w:basedOn w:val="TableNormal"/>
    <w:uiPriority w:val="70"/>
    <w:semiHidden/>
    <w:unhideWhenUsed/>
    <w:rsid w:val="00487A7F"/>
    <w:pPr>
      <w:spacing w:after="0" w:line="240" w:lineRule="auto"/>
    </w:pPr>
    <w:rPr>
      <w:color w:val="FFFFFF" w:themeColor="background1"/>
      <w:kern w:val="0"/>
      <w14:ligatures w14:val="none"/>
    </w:rPr>
    <w:tblPr>
      <w:tblStyleRowBandSize w:val="1"/>
      <w:tblStyleColBandSize w:val="1"/>
    </w:tblPr>
    <w:tcPr>
      <w:shd w:val="clear" w:color="auto" w:fill="4EA72E"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6531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A7C2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A7C22" w:themeFill="accent6" w:themeFillShade="BF"/>
      </w:tcPr>
    </w:tblStylePr>
    <w:tblStylePr w:type="band1Vert">
      <w:tblPr/>
      <w:tcPr>
        <w:tcBorders>
          <w:top w:val="nil"/>
          <w:left w:val="nil"/>
          <w:bottom w:val="nil"/>
          <w:right w:val="nil"/>
          <w:insideH w:val="nil"/>
          <w:insideV w:val="nil"/>
        </w:tcBorders>
        <w:shd w:val="clear" w:color="auto" w:fill="3A7C22" w:themeFill="accent6" w:themeFillShade="BF"/>
      </w:tcPr>
    </w:tblStylePr>
    <w:tblStylePr w:type="band1Horz">
      <w:tblPr/>
      <w:tcPr>
        <w:tcBorders>
          <w:top w:val="nil"/>
          <w:left w:val="nil"/>
          <w:bottom w:val="nil"/>
          <w:right w:val="nil"/>
          <w:insideH w:val="nil"/>
          <w:insideV w:val="nil"/>
        </w:tcBorders>
        <w:shd w:val="clear" w:color="auto" w:fill="3A7C22" w:themeFill="accent6" w:themeFillShade="BF"/>
      </w:tcPr>
    </w:tblStylePr>
  </w:style>
  <w:style w:type="paragraph" w:styleId="Date">
    <w:name w:val="Date"/>
    <w:basedOn w:val="Normal"/>
    <w:next w:val="Normal"/>
    <w:link w:val="DateChar"/>
    <w:uiPriority w:val="99"/>
    <w:semiHidden/>
    <w:unhideWhenUsed/>
    <w:rsid w:val="00487A7F"/>
  </w:style>
  <w:style w:type="character" w:customStyle="1" w:styleId="DateChar">
    <w:name w:val="Date Char"/>
    <w:basedOn w:val="DefaultParagraphFont"/>
    <w:link w:val="Date"/>
    <w:uiPriority w:val="99"/>
    <w:semiHidden/>
    <w:rsid w:val="00487A7F"/>
    <w:rPr>
      <w:rFonts w:ascii="Century Gothic" w:eastAsia="PMingLiU" w:hAnsi="Century Gothic" w:cs="Times New Roman"/>
      <w:color w:val="000000"/>
      <w:kern w:val="0"/>
      <w:szCs w:val="20"/>
      <w:lang w:bidi="ar-DZ"/>
      <w14:ligatures w14:val="none"/>
    </w:rPr>
  </w:style>
  <w:style w:type="paragraph" w:styleId="DocumentMap">
    <w:name w:val="Document Map"/>
    <w:basedOn w:val="Normal"/>
    <w:link w:val="DocumentMapChar"/>
    <w:semiHidden/>
    <w:rsid w:val="00487A7F"/>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487A7F"/>
    <w:rPr>
      <w:rFonts w:ascii="Tahoma" w:eastAsia="PMingLiU" w:hAnsi="Tahoma" w:cs="Tahoma"/>
      <w:color w:val="000000"/>
      <w:kern w:val="0"/>
      <w:sz w:val="20"/>
      <w:szCs w:val="20"/>
      <w:shd w:val="clear" w:color="auto" w:fill="000080"/>
      <w:lang w:bidi="ar-DZ"/>
      <w14:ligatures w14:val="none"/>
    </w:rPr>
  </w:style>
  <w:style w:type="paragraph" w:styleId="E-mailSignature">
    <w:name w:val="E-mail Signature"/>
    <w:basedOn w:val="Normal"/>
    <w:link w:val="E-mailSignatureChar"/>
    <w:uiPriority w:val="99"/>
    <w:semiHidden/>
    <w:unhideWhenUsed/>
    <w:rsid w:val="00487A7F"/>
  </w:style>
  <w:style w:type="character" w:customStyle="1" w:styleId="E-mailSignatureChar">
    <w:name w:val="E-mail Signature Char"/>
    <w:basedOn w:val="DefaultParagraphFont"/>
    <w:link w:val="E-mailSignature"/>
    <w:uiPriority w:val="99"/>
    <w:semiHidden/>
    <w:rsid w:val="00487A7F"/>
    <w:rPr>
      <w:rFonts w:ascii="Century Gothic" w:eastAsia="PMingLiU" w:hAnsi="Century Gothic" w:cs="Times New Roman"/>
      <w:color w:val="000000"/>
      <w:kern w:val="0"/>
      <w:szCs w:val="20"/>
      <w:lang w:bidi="ar-DZ"/>
      <w14:ligatures w14:val="none"/>
    </w:rPr>
  </w:style>
  <w:style w:type="character" w:styleId="Emphasis">
    <w:name w:val="Emphasis"/>
    <w:basedOn w:val="DefaultParagraphFont"/>
    <w:uiPriority w:val="20"/>
    <w:qFormat/>
    <w:rsid w:val="00487A7F"/>
    <w:rPr>
      <w:i/>
      <w:iCs/>
      <w:lang w:val="en-US" w:bidi="ar-DZ"/>
    </w:rPr>
  </w:style>
  <w:style w:type="character" w:styleId="EndnoteReference">
    <w:name w:val="endnote reference"/>
    <w:semiHidden/>
    <w:rsid w:val="00487A7F"/>
    <w:rPr>
      <w:vertAlign w:val="superscript"/>
      <w:lang w:val="en-US" w:bidi="ar-DZ"/>
    </w:rPr>
  </w:style>
  <w:style w:type="paragraph" w:styleId="EndnoteText">
    <w:name w:val="endnote text"/>
    <w:basedOn w:val="Normal"/>
    <w:link w:val="EndnoteTextChar"/>
    <w:semiHidden/>
    <w:rsid w:val="00487A7F"/>
    <w:rPr>
      <w:sz w:val="20"/>
    </w:rPr>
  </w:style>
  <w:style w:type="character" w:customStyle="1" w:styleId="EndnoteTextChar">
    <w:name w:val="Endnote Text Char"/>
    <w:basedOn w:val="DefaultParagraphFont"/>
    <w:link w:val="EndnoteText"/>
    <w:semiHidden/>
    <w:rsid w:val="00487A7F"/>
    <w:rPr>
      <w:rFonts w:ascii="Century Gothic" w:eastAsia="PMingLiU" w:hAnsi="Century Gothic" w:cs="Times New Roman"/>
      <w:color w:val="000000"/>
      <w:kern w:val="0"/>
      <w:sz w:val="20"/>
      <w:szCs w:val="20"/>
      <w:lang w:bidi="ar-DZ"/>
      <w14:ligatures w14:val="none"/>
    </w:rPr>
  </w:style>
  <w:style w:type="paragraph" w:styleId="EnvelopeAddress">
    <w:name w:val="envelope address"/>
    <w:basedOn w:val="Normal"/>
    <w:uiPriority w:val="99"/>
    <w:semiHidden/>
    <w:unhideWhenUsed/>
    <w:rsid w:val="00487A7F"/>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87A7F"/>
    <w:rPr>
      <w:rFonts w:asciiTheme="majorHAnsi" w:eastAsiaTheme="majorEastAsia" w:hAnsiTheme="majorHAnsi" w:cstheme="majorBidi"/>
      <w:sz w:val="20"/>
    </w:rPr>
  </w:style>
  <w:style w:type="character" w:styleId="FollowedHyperlink">
    <w:name w:val="FollowedHyperlink"/>
    <w:semiHidden/>
    <w:rsid w:val="00487A7F"/>
    <w:rPr>
      <w:rFonts w:ascii="Century Gothic" w:hAnsi="Century Gothic"/>
      <w:color w:val="800080"/>
      <w:sz w:val="22"/>
      <w:u w:val="single"/>
      <w:lang w:val="en-US" w:bidi="ar-DZ"/>
    </w:rPr>
  </w:style>
  <w:style w:type="paragraph" w:styleId="Footer">
    <w:name w:val="footer"/>
    <w:aliases w:val="f"/>
    <w:link w:val="FooterChar"/>
    <w:uiPriority w:val="99"/>
    <w:rsid w:val="00487A7F"/>
    <w:pPr>
      <w:tabs>
        <w:tab w:val="right" w:pos="9360"/>
      </w:tabs>
      <w:spacing w:after="0" w:line="480" w:lineRule="auto"/>
    </w:pPr>
    <w:rPr>
      <w:rFonts w:ascii="Century Gothic" w:eastAsia="PMingLiU" w:hAnsi="Century Gothic" w:cs="Times New Roman"/>
      <w:noProof/>
      <w:color w:val="2B3A44"/>
      <w:kern w:val="0"/>
      <w:sz w:val="16"/>
      <w:szCs w:val="20"/>
      <w14:ligatures w14:val="none"/>
    </w:rPr>
  </w:style>
  <w:style w:type="character" w:customStyle="1" w:styleId="FooterChar">
    <w:name w:val="Footer Char"/>
    <w:aliases w:val="f Char"/>
    <w:basedOn w:val="DefaultParagraphFont"/>
    <w:link w:val="Footer"/>
    <w:uiPriority w:val="99"/>
    <w:rsid w:val="00487A7F"/>
    <w:rPr>
      <w:rFonts w:ascii="Century Gothic" w:eastAsia="PMingLiU" w:hAnsi="Century Gothic" w:cs="Times New Roman"/>
      <w:noProof/>
      <w:color w:val="2B3A44"/>
      <w:kern w:val="0"/>
      <w:sz w:val="16"/>
      <w:szCs w:val="20"/>
      <w14:ligatures w14:val="none"/>
    </w:rPr>
  </w:style>
  <w:style w:type="character" w:styleId="FootnoteReference">
    <w:name w:val="footnote reference"/>
    <w:semiHidden/>
    <w:rsid w:val="00487A7F"/>
    <w:rPr>
      <w:vertAlign w:val="superscript"/>
      <w:lang w:val="en-US" w:bidi="ar-DZ"/>
    </w:rPr>
  </w:style>
  <w:style w:type="paragraph" w:styleId="FootnoteText">
    <w:name w:val="footnote text"/>
    <w:basedOn w:val="Normal"/>
    <w:link w:val="FootnoteTextChar"/>
    <w:semiHidden/>
    <w:rsid w:val="00487A7F"/>
    <w:rPr>
      <w:sz w:val="20"/>
    </w:rPr>
  </w:style>
  <w:style w:type="character" w:customStyle="1" w:styleId="FootnoteTextChar">
    <w:name w:val="Footnote Text Char"/>
    <w:basedOn w:val="DefaultParagraphFont"/>
    <w:link w:val="FootnoteText"/>
    <w:semiHidden/>
    <w:rsid w:val="00487A7F"/>
    <w:rPr>
      <w:rFonts w:ascii="Century Gothic" w:eastAsia="PMingLiU" w:hAnsi="Century Gothic" w:cs="Times New Roman"/>
      <w:color w:val="000000"/>
      <w:kern w:val="0"/>
      <w:sz w:val="20"/>
      <w:szCs w:val="20"/>
      <w:lang w:bidi="ar-DZ"/>
      <w14:ligatures w14:val="none"/>
    </w:rPr>
  </w:style>
  <w:style w:type="table" w:styleId="GridTable1Light">
    <w:name w:val="Grid Table 1 Light"/>
    <w:basedOn w:val="TableNormal"/>
    <w:uiPriority w:val="46"/>
    <w:rsid w:val="00487A7F"/>
    <w:pPr>
      <w:spacing w:after="0" w:line="240" w:lineRule="auto"/>
    </w:pPr>
    <w:rPr>
      <w:kern w:val="0"/>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487A7F"/>
    <w:pPr>
      <w:spacing w:after="0" w:line="240" w:lineRule="auto"/>
    </w:pPr>
    <w:rPr>
      <w:kern w:val="0"/>
      <w14:ligatures w14:val="none"/>
    </w:rPr>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87A7F"/>
    <w:pPr>
      <w:spacing w:after="0" w:line="240" w:lineRule="auto"/>
    </w:pPr>
    <w:rPr>
      <w:kern w:val="0"/>
      <w14:ligatures w14:val="none"/>
    </w:r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87A7F"/>
    <w:pPr>
      <w:spacing w:after="0" w:line="240" w:lineRule="auto"/>
    </w:pPr>
    <w:rPr>
      <w:kern w:val="0"/>
      <w14:ligatures w14:val="none"/>
    </w:r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487A7F"/>
    <w:pPr>
      <w:spacing w:after="0" w:line="240" w:lineRule="auto"/>
    </w:pPr>
    <w:rPr>
      <w:kern w:val="0"/>
      <w14:ligatures w14:val="none"/>
    </w:rPr>
    <w:tblPr>
      <w:tblStyleRowBandSize w:val="1"/>
      <w:tblStyleColBandSize w:val="1"/>
      <w:tblBorders>
        <w:top w:val="single" w:sz="4" w:space="0" w:color="95DCF7" w:themeColor="accent4" w:themeTint="66"/>
        <w:left w:val="single" w:sz="4" w:space="0" w:color="95DCF7" w:themeColor="accent4" w:themeTint="66"/>
        <w:bottom w:val="single" w:sz="4" w:space="0" w:color="95DCF7" w:themeColor="accent4" w:themeTint="66"/>
        <w:right w:val="single" w:sz="4" w:space="0" w:color="95DCF7" w:themeColor="accent4" w:themeTint="66"/>
        <w:insideH w:val="single" w:sz="4" w:space="0" w:color="95DCF7" w:themeColor="accent4" w:themeTint="66"/>
        <w:insideV w:val="single" w:sz="4" w:space="0" w:color="95DCF7" w:themeColor="accent4" w:themeTint="66"/>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2" w:space="0" w:color="60CAF3"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487A7F"/>
    <w:pPr>
      <w:spacing w:after="0" w:line="240" w:lineRule="auto"/>
    </w:pPr>
    <w:rPr>
      <w:kern w:val="0"/>
      <w14:ligatures w14:val="none"/>
    </w:rPr>
    <w:tblPr>
      <w:tblStyleRowBandSize w:val="1"/>
      <w:tblStyleColBandSize w:val="1"/>
      <w:tblBorders>
        <w:top w:val="single" w:sz="4" w:space="0" w:color="E59EDC" w:themeColor="accent5" w:themeTint="66"/>
        <w:left w:val="single" w:sz="4" w:space="0" w:color="E59EDC" w:themeColor="accent5" w:themeTint="66"/>
        <w:bottom w:val="single" w:sz="4" w:space="0" w:color="E59EDC" w:themeColor="accent5" w:themeTint="66"/>
        <w:right w:val="single" w:sz="4" w:space="0" w:color="E59EDC" w:themeColor="accent5" w:themeTint="66"/>
        <w:insideH w:val="single" w:sz="4" w:space="0" w:color="E59EDC" w:themeColor="accent5" w:themeTint="66"/>
        <w:insideV w:val="single" w:sz="4" w:space="0" w:color="E59EDC" w:themeColor="accent5" w:themeTint="66"/>
      </w:tblBorders>
    </w:tblPr>
    <w:tblStylePr w:type="firstRow">
      <w:rPr>
        <w:b/>
        <w:bCs/>
      </w:rPr>
      <w:tblPr/>
      <w:tcPr>
        <w:tcBorders>
          <w:bottom w:val="single" w:sz="12" w:space="0" w:color="D86DCB" w:themeColor="accent5" w:themeTint="99"/>
        </w:tcBorders>
      </w:tcPr>
    </w:tblStylePr>
    <w:tblStylePr w:type="lastRow">
      <w:rPr>
        <w:b/>
        <w:bCs/>
      </w:rPr>
      <w:tblPr/>
      <w:tcPr>
        <w:tcBorders>
          <w:top w:val="double" w:sz="2" w:space="0" w:color="D86DCB"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487A7F"/>
    <w:pPr>
      <w:spacing w:after="0" w:line="240" w:lineRule="auto"/>
    </w:pPr>
    <w:rPr>
      <w:kern w:val="0"/>
      <w14:ligatures w14:val="none"/>
    </w:rPr>
    <w:tblPr>
      <w:tblStyleRowBandSize w:val="1"/>
      <w:tblStyleColBandSize w:val="1"/>
      <w:tblBorders>
        <w:top w:val="single" w:sz="4" w:space="0" w:color="B3E5A1" w:themeColor="accent6" w:themeTint="66"/>
        <w:left w:val="single" w:sz="4" w:space="0" w:color="B3E5A1" w:themeColor="accent6" w:themeTint="66"/>
        <w:bottom w:val="single" w:sz="4" w:space="0" w:color="B3E5A1" w:themeColor="accent6" w:themeTint="66"/>
        <w:right w:val="single" w:sz="4" w:space="0" w:color="B3E5A1" w:themeColor="accent6" w:themeTint="66"/>
        <w:insideH w:val="single" w:sz="4" w:space="0" w:color="B3E5A1" w:themeColor="accent6" w:themeTint="66"/>
        <w:insideV w:val="single" w:sz="4" w:space="0" w:color="B3E5A1" w:themeColor="accent6" w:themeTint="66"/>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2" w:space="0" w:color="8DD87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487A7F"/>
    <w:pPr>
      <w:spacing w:after="0" w:line="240" w:lineRule="auto"/>
    </w:pPr>
    <w:rPr>
      <w:kern w:val="0"/>
      <w14:ligatures w14:val="non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487A7F"/>
    <w:pPr>
      <w:spacing w:after="0" w:line="240" w:lineRule="auto"/>
    </w:pPr>
    <w:rPr>
      <w:kern w:val="0"/>
      <w14:ligatures w14:val="none"/>
    </w:rPr>
    <w:tblPr>
      <w:tblStyleRowBandSize w:val="1"/>
      <w:tblStyleColBandSize w:val="1"/>
      <w:tblBorders>
        <w:top w:val="single" w:sz="2" w:space="0" w:color="45B0E1" w:themeColor="accent1" w:themeTint="99"/>
        <w:bottom w:val="single" w:sz="2" w:space="0" w:color="45B0E1" w:themeColor="accent1" w:themeTint="99"/>
        <w:insideH w:val="single" w:sz="2" w:space="0" w:color="45B0E1" w:themeColor="accent1" w:themeTint="99"/>
        <w:insideV w:val="single" w:sz="2" w:space="0" w:color="45B0E1" w:themeColor="accent1" w:themeTint="99"/>
      </w:tblBorders>
    </w:tblPr>
    <w:tblStylePr w:type="firstRow">
      <w:rPr>
        <w:b/>
        <w:bCs/>
      </w:rPr>
      <w:tblPr/>
      <w:tcPr>
        <w:tcBorders>
          <w:top w:val="nil"/>
          <w:bottom w:val="single" w:sz="12" w:space="0" w:color="45B0E1" w:themeColor="accent1" w:themeTint="99"/>
          <w:insideH w:val="nil"/>
          <w:insideV w:val="nil"/>
        </w:tcBorders>
        <w:shd w:val="clear" w:color="auto" w:fill="FFFFFF" w:themeFill="background1"/>
      </w:tcPr>
    </w:tblStylePr>
    <w:tblStylePr w:type="lastRow">
      <w:rPr>
        <w:b/>
        <w:bCs/>
      </w:rPr>
      <w:tblPr/>
      <w:tcPr>
        <w:tcBorders>
          <w:top w:val="double" w:sz="2" w:space="0" w:color="45B0E1"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GridTable2-Accent2">
    <w:name w:val="Grid Table 2 Accent 2"/>
    <w:basedOn w:val="TableNormal"/>
    <w:uiPriority w:val="47"/>
    <w:rsid w:val="00487A7F"/>
    <w:pPr>
      <w:spacing w:after="0" w:line="240" w:lineRule="auto"/>
    </w:pPr>
    <w:rPr>
      <w:kern w:val="0"/>
      <w14:ligatures w14:val="none"/>
    </w:rPr>
    <w:tblPr>
      <w:tblStyleRowBandSize w:val="1"/>
      <w:tblStyleColBandSize w:val="1"/>
      <w:tblBorders>
        <w:top w:val="single" w:sz="2" w:space="0" w:color="F1A983" w:themeColor="accent2" w:themeTint="99"/>
        <w:bottom w:val="single" w:sz="2" w:space="0" w:color="F1A983" w:themeColor="accent2" w:themeTint="99"/>
        <w:insideH w:val="single" w:sz="2" w:space="0" w:color="F1A983" w:themeColor="accent2" w:themeTint="99"/>
        <w:insideV w:val="single" w:sz="2" w:space="0" w:color="F1A983" w:themeColor="accent2" w:themeTint="99"/>
      </w:tblBorders>
    </w:tblPr>
    <w:tblStylePr w:type="firstRow">
      <w:rPr>
        <w:b/>
        <w:bCs/>
      </w:rPr>
      <w:tblPr/>
      <w:tcPr>
        <w:tcBorders>
          <w:top w:val="nil"/>
          <w:bottom w:val="single" w:sz="12" w:space="0" w:color="F1A983" w:themeColor="accent2" w:themeTint="99"/>
          <w:insideH w:val="nil"/>
          <w:insideV w:val="nil"/>
        </w:tcBorders>
        <w:shd w:val="clear" w:color="auto" w:fill="FFFFFF" w:themeFill="background1"/>
      </w:tcPr>
    </w:tblStylePr>
    <w:tblStylePr w:type="lastRow">
      <w:rPr>
        <w:b/>
        <w:bCs/>
      </w:rPr>
      <w:tblPr/>
      <w:tcPr>
        <w:tcBorders>
          <w:top w:val="double" w:sz="2" w:space="0" w:color="F1A9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GridTable2-Accent3">
    <w:name w:val="Grid Table 2 Accent 3"/>
    <w:basedOn w:val="TableNormal"/>
    <w:uiPriority w:val="47"/>
    <w:rsid w:val="00487A7F"/>
    <w:pPr>
      <w:spacing w:after="0" w:line="240" w:lineRule="auto"/>
    </w:pPr>
    <w:rPr>
      <w:kern w:val="0"/>
      <w14:ligatures w14:val="none"/>
    </w:rPr>
    <w:tblPr>
      <w:tblStyleRowBandSize w:val="1"/>
      <w:tblStyleColBandSize w:val="1"/>
      <w:tblBorders>
        <w:top w:val="single" w:sz="2" w:space="0" w:color="47D459" w:themeColor="accent3" w:themeTint="99"/>
        <w:bottom w:val="single" w:sz="2" w:space="0" w:color="47D459" w:themeColor="accent3" w:themeTint="99"/>
        <w:insideH w:val="single" w:sz="2" w:space="0" w:color="47D459" w:themeColor="accent3" w:themeTint="99"/>
        <w:insideV w:val="single" w:sz="2" w:space="0" w:color="47D459" w:themeColor="accent3" w:themeTint="99"/>
      </w:tblBorders>
    </w:tblPr>
    <w:tblStylePr w:type="firstRow">
      <w:rPr>
        <w:b/>
        <w:bCs/>
      </w:rPr>
      <w:tblPr/>
      <w:tcPr>
        <w:tcBorders>
          <w:top w:val="nil"/>
          <w:bottom w:val="single" w:sz="12" w:space="0" w:color="47D459" w:themeColor="accent3" w:themeTint="99"/>
          <w:insideH w:val="nil"/>
          <w:insideV w:val="nil"/>
        </w:tcBorders>
        <w:shd w:val="clear" w:color="auto" w:fill="FFFFFF" w:themeFill="background1"/>
      </w:tcPr>
    </w:tblStylePr>
    <w:tblStylePr w:type="lastRow">
      <w:rPr>
        <w:b/>
        <w:bCs/>
      </w:rPr>
      <w:tblPr/>
      <w:tcPr>
        <w:tcBorders>
          <w:top w:val="double" w:sz="2" w:space="0" w:color="47D45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GridTable2-Accent4">
    <w:name w:val="Grid Table 2 Accent 4"/>
    <w:basedOn w:val="TableNormal"/>
    <w:uiPriority w:val="47"/>
    <w:rsid w:val="00487A7F"/>
    <w:pPr>
      <w:spacing w:after="0" w:line="240" w:lineRule="auto"/>
    </w:pPr>
    <w:rPr>
      <w:kern w:val="0"/>
      <w14:ligatures w14:val="none"/>
    </w:rPr>
    <w:tblPr>
      <w:tblStyleRowBandSize w:val="1"/>
      <w:tblStyleColBandSize w:val="1"/>
      <w:tblBorders>
        <w:top w:val="single" w:sz="2" w:space="0" w:color="60CAF3" w:themeColor="accent4" w:themeTint="99"/>
        <w:bottom w:val="single" w:sz="2" w:space="0" w:color="60CAF3" w:themeColor="accent4" w:themeTint="99"/>
        <w:insideH w:val="single" w:sz="2" w:space="0" w:color="60CAF3" w:themeColor="accent4" w:themeTint="99"/>
        <w:insideV w:val="single" w:sz="2" w:space="0" w:color="60CAF3" w:themeColor="accent4" w:themeTint="99"/>
      </w:tblBorders>
    </w:tblPr>
    <w:tblStylePr w:type="firstRow">
      <w:rPr>
        <w:b/>
        <w:bCs/>
      </w:rPr>
      <w:tblPr/>
      <w:tcPr>
        <w:tcBorders>
          <w:top w:val="nil"/>
          <w:bottom w:val="single" w:sz="12" w:space="0" w:color="60CAF3" w:themeColor="accent4" w:themeTint="99"/>
          <w:insideH w:val="nil"/>
          <w:insideV w:val="nil"/>
        </w:tcBorders>
        <w:shd w:val="clear" w:color="auto" w:fill="FFFFFF" w:themeFill="background1"/>
      </w:tcPr>
    </w:tblStylePr>
    <w:tblStylePr w:type="lastRow">
      <w:rPr>
        <w:b/>
        <w:bCs/>
      </w:rPr>
      <w:tblPr/>
      <w:tcPr>
        <w:tcBorders>
          <w:top w:val="double" w:sz="2" w:space="0" w:color="60CAF3"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GridTable2-Accent5">
    <w:name w:val="Grid Table 2 Accent 5"/>
    <w:basedOn w:val="TableNormal"/>
    <w:uiPriority w:val="47"/>
    <w:rsid w:val="00487A7F"/>
    <w:pPr>
      <w:spacing w:after="0" w:line="240" w:lineRule="auto"/>
    </w:pPr>
    <w:rPr>
      <w:kern w:val="0"/>
      <w14:ligatures w14:val="none"/>
    </w:rPr>
    <w:tblPr>
      <w:tblStyleRowBandSize w:val="1"/>
      <w:tblStyleColBandSize w:val="1"/>
      <w:tblBorders>
        <w:top w:val="single" w:sz="2" w:space="0" w:color="D86DCB" w:themeColor="accent5" w:themeTint="99"/>
        <w:bottom w:val="single" w:sz="2" w:space="0" w:color="D86DCB" w:themeColor="accent5" w:themeTint="99"/>
        <w:insideH w:val="single" w:sz="2" w:space="0" w:color="D86DCB" w:themeColor="accent5" w:themeTint="99"/>
        <w:insideV w:val="single" w:sz="2" w:space="0" w:color="D86DCB" w:themeColor="accent5" w:themeTint="99"/>
      </w:tblBorders>
    </w:tblPr>
    <w:tblStylePr w:type="firstRow">
      <w:rPr>
        <w:b/>
        <w:bCs/>
      </w:rPr>
      <w:tblPr/>
      <w:tcPr>
        <w:tcBorders>
          <w:top w:val="nil"/>
          <w:bottom w:val="single" w:sz="12" w:space="0" w:color="D86DCB" w:themeColor="accent5" w:themeTint="99"/>
          <w:insideH w:val="nil"/>
          <w:insideV w:val="nil"/>
        </w:tcBorders>
        <w:shd w:val="clear" w:color="auto" w:fill="FFFFFF" w:themeFill="background1"/>
      </w:tcPr>
    </w:tblStylePr>
    <w:tblStylePr w:type="lastRow">
      <w:rPr>
        <w:b/>
        <w:bCs/>
      </w:rPr>
      <w:tblPr/>
      <w:tcPr>
        <w:tcBorders>
          <w:top w:val="double" w:sz="2" w:space="0" w:color="D86DC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GridTable2-Accent6">
    <w:name w:val="Grid Table 2 Accent 6"/>
    <w:basedOn w:val="TableNormal"/>
    <w:uiPriority w:val="47"/>
    <w:rsid w:val="00487A7F"/>
    <w:pPr>
      <w:spacing w:after="0" w:line="240" w:lineRule="auto"/>
    </w:pPr>
    <w:rPr>
      <w:kern w:val="0"/>
      <w14:ligatures w14:val="none"/>
    </w:rPr>
    <w:tblPr>
      <w:tblStyleRowBandSize w:val="1"/>
      <w:tblStyleColBandSize w:val="1"/>
      <w:tblBorders>
        <w:top w:val="single" w:sz="2" w:space="0" w:color="8DD873" w:themeColor="accent6" w:themeTint="99"/>
        <w:bottom w:val="single" w:sz="2" w:space="0" w:color="8DD873" w:themeColor="accent6" w:themeTint="99"/>
        <w:insideH w:val="single" w:sz="2" w:space="0" w:color="8DD873" w:themeColor="accent6" w:themeTint="99"/>
        <w:insideV w:val="single" w:sz="2" w:space="0" w:color="8DD873" w:themeColor="accent6" w:themeTint="99"/>
      </w:tblBorders>
    </w:tblPr>
    <w:tblStylePr w:type="firstRow">
      <w:rPr>
        <w:b/>
        <w:bCs/>
      </w:rPr>
      <w:tblPr/>
      <w:tcPr>
        <w:tcBorders>
          <w:top w:val="nil"/>
          <w:bottom w:val="single" w:sz="12" w:space="0" w:color="8DD873" w:themeColor="accent6" w:themeTint="99"/>
          <w:insideH w:val="nil"/>
          <w:insideV w:val="nil"/>
        </w:tcBorders>
        <w:shd w:val="clear" w:color="auto" w:fill="FFFFFF" w:themeFill="background1"/>
      </w:tcPr>
    </w:tblStylePr>
    <w:tblStylePr w:type="lastRow">
      <w:rPr>
        <w:b/>
        <w:bCs/>
      </w:rPr>
      <w:tblPr/>
      <w:tcPr>
        <w:tcBorders>
          <w:top w:val="double" w:sz="2" w:space="0" w:color="8DD87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GridTable3">
    <w:name w:val="Grid Table 3"/>
    <w:basedOn w:val="TableNormal"/>
    <w:uiPriority w:val="48"/>
    <w:rsid w:val="00487A7F"/>
    <w:pPr>
      <w:spacing w:after="0" w:line="240" w:lineRule="auto"/>
    </w:pPr>
    <w:rPr>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487A7F"/>
    <w:pPr>
      <w:spacing w:after="0" w:line="240" w:lineRule="auto"/>
    </w:pPr>
    <w:rPr>
      <w:kern w:val="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bottom w:val="single" w:sz="4" w:space="0" w:color="45B0E1" w:themeColor="accent1" w:themeTint="99"/>
        </w:tcBorders>
      </w:tcPr>
    </w:tblStylePr>
    <w:tblStylePr w:type="nwCell">
      <w:tblPr/>
      <w:tcPr>
        <w:tcBorders>
          <w:bottom w:val="single" w:sz="4" w:space="0" w:color="45B0E1" w:themeColor="accent1" w:themeTint="99"/>
        </w:tcBorders>
      </w:tcPr>
    </w:tblStylePr>
    <w:tblStylePr w:type="seCell">
      <w:tblPr/>
      <w:tcPr>
        <w:tcBorders>
          <w:top w:val="single" w:sz="4" w:space="0" w:color="45B0E1" w:themeColor="accent1" w:themeTint="99"/>
        </w:tcBorders>
      </w:tcPr>
    </w:tblStylePr>
    <w:tblStylePr w:type="swCell">
      <w:tblPr/>
      <w:tcPr>
        <w:tcBorders>
          <w:top w:val="single" w:sz="4" w:space="0" w:color="45B0E1" w:themeColor="accent1" w:themeTint="99"/>
        </w:tcBorders>
      </w:tcPr>
    </w:tblStylePr>
  </w:style>
  <w:style w:type="table" w:styleId="GridTable3-Accent2">
    <w:name w:val="Grid Table 3 Accent 2"/>
    <w:basedOn w:val="TableNormal"/>
    <w:uiPriority w:val="48"/>
    <w:rsid w:val="00487A7F"/>
    <w:pPr>
      <w:spacing w:after="0" w:line="240" w:lineRule="auto"/>
    </w:pPr>
    <w:rPr>
      <w:kern w:val="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E2D5" w:themeFill="accent2" w:themeFillTint="33"/>
      </w:tcPr>
    </w:tblStylePr>
    <w:tblStylePr w:type="band1Horz">
      <w:tblPr/>
      <w:tcPr>
        <w:shd w:val="clear" w:color="auto" w:fill="FAE2D5" w:themeFill="accent2" w:themeFillTint="33"/>
      </w:tcPr>
    </w:tblStylePr>
    <w:tblStylePr w:type="neCell">
      <w:tblPr/>
      <w:tcPr>
        <w:tcBorders>
          <w:bottom w:val="single" w:sz="4" w:space="0" w:color="F1A983" w:themeColor="accent2" w:themeTint="99"/>
        </w:tcBorders>
      </w:tcPr>
    </w:tblStylePr>
    <w:tblStylePr w:type="nwCell">
      <w:tblPr/>
      <w:tcPr>
        <w:tcBorders>
          <w:bottom w:val="single" w:sz="4" w:space="0" w:color="F1A983" w:themeColor="accent2" w:themeTint="99"/>
        </w:tcBorders>
      </w:tcPr>
    </w:tblStylePr>
    <w:tblStylePr w:type="seCell">
      <w:tblPr/>
      <w:tcPr>
        <w:tcBorders>
          <w:top w:val="single" w:sz="4" w:space="0" w:color="F1A983" w:themeColor="accent2" w:themeTint="99"/>
        </w:tcBorders>
      </w:tcPr>
    </w:tblStylePr>
    <w:tblStylePr w:type="swCell">
      <w:tblPr/>
      <w:tcPr>
        <w:tcBorders>
          <w:top w:val="single" w:sz="4" w:space="0" w:color="F1A983" w:themeColor="accent2" w:themeTint="99"/>
        </w:tcBorders>
      </w:tcPr>
    </w:tblStylePr>
  </w:style>
  <w:style w:type="table" w:styleId="GridTable3-Accent3">
    <w:name w:val="Grid Table 3 Accent 3"/>
    <w:basedOn w:val="TableNormal"/>
    <w:uiPriority w:val="48"/>
    <w:rsid w:val="00487A7F"/>
    <w:pPr>
      <w:spacing w:after="0" w:line="240" w:lineRule="auto"/>
    </w:pPr>
    <w:rPr>
      <w:kern w:val="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bottom w:val="single" w:sz="4" w:space="0" w:color="47D459" w:themeColor="accent3" w:themeTint="99"/>
        </w:tcBorders>
      </w:tcPr>
    </w:tblStylePr>
    <w:tblStylePr w:type="nwCell">
      <w:tblPr/>
      <w:tcPr>
        <w:tcBorders>
          <w:bottom w:val="single" w:sz="4" w:space="0" w:color="47D459" w:themeColor="accent3" w:themeTint="99"/>
        </w:tcBorders>
      </w:tcPr>
    </w:tblStylePr>
    <w:tblStylePr w:type="seCell">
      <w:tblPr/>
      <w:tcPr>
        <w:tcBorders>
          <w:top w:val="single" w:sz="4" w:space="0" w:color="47D459" w:themeColor="accent3" w:themeTint="99"/>
        </w:tcBorders>
      </w:tcPr>
    </w:tblStylePr>
    <w:tblStylePr w:type="swCell">
      <w:tblPr/>
      <w:tcPr>
        <w:tcBorders>
          <w:top w:val="single" w:sz="4" w:space="0" w:color="47D459" w:themeColor="accent3" w:themeTint="99"/>
        </w:tcBorders>
      </w:tcPr>
    </w:tblStylePr>
  </w:style>
  <w:style w:type="table" w:styleId="GridTable3-Accent4">
    <w:name w:val="Grid Table 3 Accent 4"/>
    <w:basedOn w:val="TableNormal"/>
    <w:uiPriority w:val="48"/>
    <w:rsid w:val="00487A7F"/>
    <w:pPr>
      <w:spacing w:after="0" w:line="240" w:lineRule="auto"/>
    </w:pPr>
    <w:rPr>
      <w:kern w:val="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AEDFB" w:themeFill="accent4" w:themeFillTint="33"/>
      </w:tcPr>
    </w:tblStylePr>
    <w:tblStylePr w:type="band1Horz">
      <w:tblPr/>
      <w:tcPr>
        <w:shd w:val="clear" w:color="auto" w:fill="CAEDFB" w:themeFill="accent4" w:themeFillTint="33"/>
      </w:tcPr>
    </w:tblStylePr>
    <w:tblStylePr w:type="neCell">
      <w:tblPr/>
      <w:tcPr>
        <w:tcBorders>
          <w:bottom w:val="single" w:sz="4" w:space="0" w:color="60CAF3" w:themeColor="accent4" w:themeTint="99"/>
        </w:tcBorders>
      </w:tcPr>
    </w:tblStylePr>
    <w:tblStylePr w:type="nwCell">
      <w:tblPr/>
      <w:tcPr>
        <w:tcBorders>
          <w:bottom w:val="single" w:sz="4" w:space="0" w:color="60CAF3" w:themeColor="accent4" w:themeTint="99"/>
        </w:tcBorders>
      </w:tcPr>
    </w:tblStylePr>
    <w:tblStylePr w:type="seCell">
      <w:tblPr/>
      <w:tcPr>
        <w:tcBorders>
          <w:top w:val="single" w:sz="4" w:space="0" w:color="60CAF3" w:themeColor="accent4" w:themeTint="99"/>
        </w:tcBorders>
      </w:tcPr>
    </w:tblStylePr>
    <w:tblStylePr w:type="swCell">
      <w:tblPr/>
      <w:tcPr>
        <w:tcBorders>
          <w:top w:val="single" w:sz="4" w:space="0" w:color="60CAF3" w:themeColor="accent4" w:themeTint="99"/>
        </w:tcBorders>
      </w:tcPr>
    </w:tblStylePr>
  </w:style>
  <w:style w:type="table" w:styleId="GridTable3-Accent5">
    <w:name w:val="Grid Table 3 Accent 5"/>
    <w:basedOn w:val="TableNormal"/>
    <w:uiPriority w:val="48"/>
    <w:rsid w:val="00487A7F"/>
    <w:pPr>
      <w:spacing w:after="0" w:line="240" w:lineRule="auto"/>
    </w:pPr>
    <w:rPr>
      <w:kern w:val="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bottom w:val="single" w:sz="4" w:space="0" w:color="D86DCB" w:themeColor="accent5" w:themeTint="99"/>
        </w:tcBorders>
      </w:tcPr>
    </w:tblStylePr>
    <w:tblStylePr w:type="nwCell">
      <w:tblPr/>
      <w:tcPr>
        <w:tcBorders>
          <w:bottom w:val="single" w:sz="4" w:space="0" w:color="D86DCB" w:themeColor="accent5" w:themeTint="99"/>
        </w:tcBorders>
      </w:tcPr>
    </w:tblStylePr>
    <w:tblStylePr w:type="seCell">
      <w:tblPr/>
      <w:tcPr>
        <w:tcBorders>
          <w:top w:val="single" w:sz="4" w:space="0" w:color="D86DCB" w:themeColor="accent5" w:themeTint="99"/>
        </w:tcBorders>
      </w:tcPr>
    </w:tblStylePr>
    <w:tblStylePr w:type="swCell">
      <w:tblPr/>
      <w:tcPr>
        <w:tcBorders>
          <w:top w:val="single" w:sz="4" w:space="0" w:color="D86DCB" w:themeColor="accent5" w:themeTint="99"/>
        </w:tcBorders>
      </w:tcPr>
    </w:tblStylePr>
  </w:style>
  <w:style w:type="table" w:styleId="GridTable3-Accent6">
    <w:name w:val="Grid Table 3 Accent 6"/>
    <w:basedOn w:val="TableNormal"/>
    <w:uiPriority w:val="48"/>
    <w:rsid w:val="00487A7F"/>
    <w:pPr>
      <w:spacing w:after="0" w:line="240" w:lineRule="auto"/>
    </w:pPr>
    <w:rPr>
      <w:kern w:val="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F2D0" w:themeFill="accent6" w:themeFillTint="33"/>
      </w:tcPr>
    </w:tblStylePr>
    <w:tblStylePr w:type="band1Horz">
      <w:tblPr/>
      <w:tcPr>
        <w:shd w:val="clear" w:color="auto" w:fill="D9F2D0" w:themeFill="accent6" w:themeFillTint="33"/>
      </w:tcPr>
    </w:tblStylePr>
    <w:tblStylePr w:type="neCell">
      <w:tblPr/>
      <w:tcPr>
        <w:tcBorders>
          <w:bottom w:val="single" w:sz="4" w:space="0" w:color="8DD873" w:themeColor="accent6" w:themeTint="99"/>
        </w:tcBorders>
      </w:tcPr>
    </w:tblStylePr>
    <w:tblStylePr w:type="nwCell">
      <w:tblPr/>
      <w:tcPr>
        <w:tcBorders>
          <w:bottom w:val="single" w:sz="4" w:space="0" w:color="8DD873" w:themeColor="accent6" w:themeTint="99"/>
        </w:tcBorders>
      </w:tcPr>
    </w:tblStylePr>
    <w:tblStylePr w:type="seCell">
      <w:tblPr/>
      <w:tcPr>
        <w:tcBorders>
          <w:top w:val="single" w:sz="4" w:space="0" w:color="8DD873" w:themeColor="accent6" w:themeTint="99"/>
        </w:tcBorders>
      </w:tcPr>
    </w:tblStylePr>
    <w:tblStylePr w:type="swCell">
      <w:tblPr/>
      <w:tcPr>
        <w:tcBorders>
          <w:top w:val="single" w:sz="4" w:space="0" w:color="8DD873" w:themeColor="accent6" w:themeTint="99"/>
        </w:tcBorders>
      </w:tcPr>
    </w:tblStylePr>
  </w:style>
  <w:style w:type="table" w:styleId="GridTable4">
    <w:name w:val="Grid Table 4"/>
    <w:basedOn w:val="TableNormal"/>
    <w:uiPriority w:val="49"/>
    <w:rsid w:val="00487A7F"/>
    <w:pPr>
      <w:spacing w:after="0" w:line="240" w:lineRule="auto"/>
    </w:pPr>
    <w:rPr>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487A7F"/>
    <w:pPr>
      <w:spacing w:after="0" w:line="240" w:lineRule="auto"/>
    </w:pPr>
    <w:rPr>
      <w:kern w:val="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GridTable4-Accent2">
    <w:name w:val="Grid Table 4 Accent 2"/>
    <w:basedOn w:val="TableNormal"/>
    <w:uiPriority w:val="49"/>
    <w:rsid w:val="00487A7F"/>
    <w:pPr>
      <w:spacing w:after="0" w:line="240" w:lineRule="auto"/>
    </w:pPr>
    <w:rPr>
      <w:kern w:val="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GridTable4-Accent3">
    <w:name w:val="Grid Table 4 Accent 3"/>
    <w:basedOn w:val="TableNormal"/>
    <w:uiPriority w:val="49"/>
    <w:rsid w:val="00487A7F"/>
    <w:pPr>
      <w:spacing w:after="0" w:line="240" w:lineRule="auto"/>
    </w:pPr>
    <w:rPr>
      <w:kern w:val="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color w:val="FFFFFF" w:themeColor="background1"/>
      </w:rPr>
      <w:tblPr/>
      <w:tcPr>
        <w:tcBorders>
          <w:top w:val="single" w:sz="4" w:space="0" w:color="196B24" w:themeColor="accent3"/>
          <w:left w:val="single" w:sz="4" w:space="0" w:color="196B24" w:themeColor="accent3"/>
          <w:bottom w:val="single" w:sz="4" w:space="0" w:color="196B24" w:themeColor="accent3"/>
          <w:right w:val="single" w:sz="4" w:space="0" w:color="196B24" w:themeColor="accent3"/>
          <w:insideH w:val="nil"/>
          <w:insideV w:val="nil"/>
        </w:tcBorders>
        <w:shd w:val="clear" w:color="auto" w:fill="196B24" w:themeFill="accent3"/>
      </w:tcPr>
    </w:tblStylePr>
    <w:tblStylePr w:type="lastRow">
      <w:rPr>
        <w:b/>
        <w:bCs/>
      </w:rPr>
      <w:tblPr/>
      <w:tcPr>
        <w:tcBorders>
          <w:top w:val="double" w:sz="4" w:space="0" w:color="196B24" w:themeColor="accent3"/>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GridTable4-Accent4">
    <w:name w:val="Grid Table 4 Accent 4"/>
    <w:basedOn w:val="TableNormal"/>
    <w:uiPriority w:val="49"/>
    <w:rsid w:val="00487A7F"/>
    <w:pPr>
      <w:spacing w:after="0" w:line="240" w:lineRule="auto"/>
    </w:pPr>
    <w:rPr>
      <w:kern w:val="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GridTable4-Accent5">
    <w:name w:val="Grid Table 4 Accent 5"/>
    <w:basedOn w:val="TableNormal"/>
    <w:uiPriority w:val="49"/>
    <w:rsid w:val="00487A7F"/>
    <w:pPr>
      <w:spacing w:after="0" w:line="240" w:lineRule="auto"/>
    </w:pPr>
    <w:rPr>
      <w:kern w:val="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insideV w:val="nil"/>
        </w:tcBorders>
        <w:shd w:val="clear" w:color="auto" w:fill="A02B93" w:themeFill="accent5"/>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GridTable4-Accent6">
    <w:name w:val="Grid Table 4 Accent 6"/>
    <w:basedOn w:val="TableNormal"/>
    <w:uiPriority w:val="49"/>
    <w:rsid w:val="00487A7F"/>
    <w:pPr>
      <w:spacing w:after="0" w:line="240" w:lineRule="auto"/>
    </w:pPr>
    <w:rPr>
      <w:kern w:val="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color w:val="FFFFFF" w:themeColor="background1"/>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insideH w:val="nil"/>
          <w:insideV w:val="nil"/>
        </w:tcBorders>
        <w:shd w:val="clear" w:color="auto" w:fill="4EA72E" w:themeFill="accent6"/>
      </w:tcPr>
    </w:tblStylePr>
    <w:tblStylePr w:type="lastRow">
      <w:rPr>
        <w:b/>
        <w:bCs/>
      </w:rPr>
      <w:tblPr/>
      <w:tcPr>
        <w:tcBorders>
          <w:top w:val="double" w:sz="4" w:space="0" w:color="4EA72E" w:themeColor="accent6"/>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GridTable5Dark">
    <w:name w:val="Grid Table 5 Dark"/>
    <w:basedOn w:val="TableNormal"/>
    <w:uiPriority w:val="50"/>
    <w:rsid w:val="00487A7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487A7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GridTable5Dark-Accent2">
    <w:name w:val="Grid Table 5 Dark Accent 2"/>
    <w:basedOn w:val="TableNormal"/>
    <w:uiPriority w:val="50"/>
    <w:rsid w:val="00487A7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AE2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97132"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97132"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97132"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97132" w:themeFill="accent2"/>
      </w:tcPr>
    </w:tblStylePr>
    <w:tblStylePr w:type="band1Vert">
      <w:tblPr/>
      <w:tcPr>
        <w:shd w:val="clear" w:color="auto" w:fill="F6C5AC" w:themeFill="accent2" w:themeFillTint="66"/>
      </w:tcPr>
    </w:tblStylePr>
    <w:tblStylePr w:type="band1Horz">
      <w:tblPr/>
      <w:tcPr>
        <w:shd w:val="clear" w:color="auto" w:fill="F6C5AC" w:themeFill="accent2" w:themeFillTint="66"/>
      </w:tcPr>
    </w:tblStylePr>
  </w:style>
  <w:style w:type="table" w:styleId="GridTable5Dark-Accent3">
    <w:name w:val="Grid Table 5 Dark Accent 3"/>
    <w:basedOn w:val="TableNormal"/>
    <w:uiPriority w:val="50"/>
    <w:rsid w:val="00487A7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F0C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96B2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96B2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96B2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96B24" w:themeFill="accent3"/>
      </w:tcPr>
    </w:tblStylePr>
    <w:tblStylePr w:type="band1Vert">
      <w:tblPr/>
      <w:tcPr>
        <w:shd w:val="clear" w:color="auto" w:fill="84E290" w:themeFill="accent3" w:themeFillTint="66"/>
      </w:tcPr>
    </w:tblStylePr>
    <w:tblStylePr w:type="band1Horz">
      <w:tblPr/>
      <w:tcPr>
        <w:shd w:val="clear" w:color="auto" w:fill="84E290" w:themeFill="accent3" w:themeFillTint="66"/>
      </w:tcPr>
    </w:tblStylePr>
  </w:style>
  <w:style w:type="table" w:styleId="GridTable5Dark-Accent4">
    <w:name w:val="Grid Table 5 Dark Accent 4"/>
    <w:basedOn w:val="TableNormal"/>
    <w:uiPriority w:val="50"/>
    <w:rsid w:val="00487A7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AEDFB"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9ED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9ED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9ED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9ED5" w:themeFill="accent4"/>
      </w:tcPr>
    </w:tblStylePr>
    <w:tblStylePr w:type="band1Vert">
      <w:tblPr/>
      <w:tcPr>
        <w:shd w:val="clear" w:color="auto" w:fill="95DCF7" w:themeFill="accent4" w:themeFillTint="66"/>
      </w:tcPr>
    </w:tblStylePr>
    <w:tblStylePr w:type="band1Horz">
      <w:tblPr/>
      <w:tcPr>
        <w:shd w:val="clear" w:color="auto" w:fill="95DCF7" w:themeFill="accent4" w:themeFillTint="66"/>
      </w:tcPr>
    </w:tblStylePr>
  </w:style>
  <w:style w:type="table" w:styleId="GridTable5Dark-Accent5">
    <w:name w:val="Grid Table 5 Dark Accent 5"/>
    <w:basedOn w:val="TableNormal"/>
    <w:uiPriority w:val="50"/>
    <w:rsid w:val="00487A7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CEE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02B93"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02B93"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02B93"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02B93" w:themeFill="accent5"/>
      </w:tcPr>
    </w:tblStylePr>
    <w:tblStylePr w:type="band1Vert">
      <w:tblPr/>
      <w:tcPr>
        <w:shd w:val="clear" w:color="auto" w:fill="E59EDC" w:themeFill="accent5" w:themeFillTint="66"/>
      </w:tcPr>
    </w:tblStylePr>
    <w:tblStylePr w:type="band1Horz">
      <w:tblPr/>
      <w:tcPr>
        <w:shd w:val="clear" w:color="auto" w:fill="E59EDC" w:themeFill="accent5" w:themeFillTint="66"/>
      </w:tcPr>
    </w:tblStylePr>
  </w:style>
  <w:style w:type="table" w:styleId="GridTable5Dark-Accent6">
    <w:name w:val="Grid Table 5 Dark Accent 6"/>
    <w:basedOn w:val="TableNormal"/>
    <w:uiPriority w:val="50"/>
    <w:rsid w:val="00487A7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F2D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A72E"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A72E"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A72E"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A72E" w:themeFill="accent6"/>
      </w:tcPr>
    </w:tblStylePr>
    <w:tblStylePr w:type="band1Vert">
      <w:tblPr/>
      <w:tcPr>
        <w:shd w:val="clear" w:color="auto" w:fill="B3E5A1" w:themeFill="accent6" w:themeFillTint="66"/>
      </w:tcPr>
    </w:tblStylePr>
    <w:tblStylePr w:type="band1Horz">
      <w:tblPr/>
      <w:tcPr>
        <w:shd w:val="clear" w:color="auto" w:fill="B3E5A1" w:themeFill="accent6" w:themeFillTint="66"/>
      </w:tcPr>
    </w:tblStylePr>
  </w:style>
  <w:style w:type="table" w:styleId="GridTable6Colorful">
    <w:name w:val="Grid Table 6 Colorful"/>
    <w:basedOn w:val="TableNormal"/>
    <w:uiPriority w:val="51"/>
    <w:rsid w:val="00487A7F"/>
    <w:pPr>
      <w:spacing w:after="0" w:line="240" w:lineRule="auto"/>
    </w:pPr>
    <w:rPr>
      <w:color w:val="000000" w:themeColor="text1"/>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487A7F"/>
    <w:pPr>
      <w:spacing w:after="0" w:line="240" w:lineRule="auto"/>
    </w:pPr>
    <w:rPr>
      <w:color w:val="0F4761" w:themeColor="accent1" w:themeShade="BF"/>
      <w:kern w:val="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GridTable6Colorful-Accent2">
    <w:name w:val="Grid Table 6 Colorful Accent 2"/>
    <w:basedOn w:val="TableNormal"/>
    <w:uiPriority w:val="51"/>
    <w:rsid w:val="00487A7F"/>
    <w:pPr>
      <w:spacing w:after="0" w:line="240" w:lineRule="auto"/>
    </w:pPr>
    <w:rPr>
      <w:color w:val="BF4E14" w:themeColor="accent2" w:themeShade="BF"/>
      <w:kern w:val="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GridTable6Colorful-Accent3">
    <w:name w:val="Grid Table 6 Colorful Accent 3"/>
    <w:basedOn w:val="TableNormal"/>
    <w:uiPriority w:val="51"/>
    <w:rsid w:val="00487A7F"/>
    <w:pPr>
      <w:spacing w:after="0" w:line="240" w:lineRule="auto"/>
    </w:pPr>
    <w:rPr>
      <w:color w:val="124F1A" w:themeColor="accent3" w:themeShade="BF"/>
      <w:kern w:val="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GridTable6Colorful-Accent4">
    <w:name w:val="Grid Table 6 Colorful Accent 4"/>
    <w:basedOn w:val="TableNormal"/>
    <w:uiPriority w:val="51"/>
    <w:rsid w:val="00487A7F"/>
    <w:pPr>
      <w:spacing w:after="0" w:line="240" w:lineRule="auto"/>
    </w:pPr>
    <w:rPr>
      <w:color w:val="0B769F" w:themeColor="accent4" w:themeShade="BF"/>
      <w:kern w:val="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4" w:space="0" w:color="60CAF3" w:themeColor="accent4" w:themeTint="99"/>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GridTable6Colorful-Accent5">
    <w:name w:val="Grid Table 6 Colorful Accent 5"/>
    <w:basedOn w:val="TableNormal"/>
    <w:uiPriority w:val="51"/>
    <w:rsid w:val="00487A7F"/>
    <w:pPr>
      <w:spacing w:after="0" w:line="240" w:lineRule="auto"/>
    </w:pPr>
    <w:rPr>
      <w:color w:val="77206D" w:themeColor="accent5" w:themeShade="BF"/>
      <w:kern w:val="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rPr>
      <w:tblPr/>
      <w:tcPr>
        <w:tcBorders>
          <w:bottom w:val="single" w:sz="12" w:space="0" w:color="D86DCB" w:themeColor="accent5" w:themeTint="99"/>
        </w:tcBorders>
      </w:tcPr>
    </w:tblStylePr>
    <w:tblStylePr w:type="lastRow">
      <w:rPr>
        <w:b/>
        <w:bCs/>
      </w:rPr>
      <w:tblPr/>
      <w:tcPr>
        <w:tcBorders>
          <w:top w:val="double" w:sz="4" w:space="0" w:color="D86DCB" w:themeColor="accent5" w:themeTint="99"/>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GridTable6Colorful-Accent6">
    <w:name w:val="Grid Table 6 Colorful Accent 6"/>
    <w:basedOn w:val="TableNormal"/>
    <w:uiPriority w:val="51"/>
    <w:rsid w:val="00487A7F"/>
    <w:pPr>
      <w:spacing w:after="0" w:line="240" w:lineRule="auto"/>
    </w:pPr>
    <w:rPr>
      <w:color w:val="3A7C22" w:themeColor="accent6" w:themeShade="BF"/>
      <w:kern w:val="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GridTable7Colorful">
    <w:name w:val="Grid Table 7 Colorful"/>
    <w:basedOn w:val="TableNormal"/>
    <w:uiPriority w:val="52"/>
    <w:rsid w:val="00487A7F"/>
    <w:pPr>
      <w:spacing w:after="0" w:line="240" w:lineRule="auto"/>
    </w:pPr>
    <w:rPr>
      <w:color w:val="000000" w:themeColor="text1"/>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487A7F"/>
    <w:pPr>
      <w:spacing w:after="0" w:line="240" w:lineRule="auto"/>
    </w:pPr>
    <w:rPr>
      <w:color w:val="0F4761" w:themeColor="accent1" w:themeShade="BF"/>
      <w:kern w:val="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bottom w:val="single" w:sz="4" w:space="0" w:color="45B0E1" w:themeColor="accent1" w:themeTint="99"/>
        </w:tcBorders>
      </w:tcPr>
    </w:tblStylePr>
    <w:tblStylePr w:type="nwCell">
      <w:tblPr/>
      <w:tcPr>
        <w:tcBorders>
          <w:bottom w:val="single" w:sz="4" w:space="0" w:color="45B0E1" w:themeColor="accent1" w:themeTint="99"/>
        </w:tcBorders>
      </w:tcPr>
    </w:tblStylePr>
    <w:tblStylePr w:type="seCell">
      <w:tblPr/>
      <w:tcPr>
        <w:tcBorders>
          <w:top w:val="single" w:sz="4" w:space="0" w:color="45B0E1" w:themeColor="accent1" w:themeTint="99"/>
        </w:tcBorders>
      </w:tcPr>
    </w:tblStylePr>
    <w:tblStylePr w:type="swCell">
      <w:tblPr/>
      <w:tcPr>
        <w:tcBorders>
          <w:top w:val="single" w:sz="4" w:space="0" w:color="45B0E1" w:themeColor="accent1" w:themeTint="99"/>
        </w:tcBorders>
      </w:tcPr>
    </w:tblStylePr>
  </w:style>
  <w:style w:type="table" w:styleId="GridTable7Colorful-Accent2">
    <w:name w:val="Grid Table 7 Colorful Accent 2"/>
    <w:basedOn w:val="TableNormal"/>
    <w:uiPriority w:val="52"/>
    <w:rsid w:val="00487A7F"/>
    <w:pPr>
      <w:spacing w:after="0" w:line="240" w:lineRule="auto"/>
    </w:pPr>
    <w:rPr>
      <w:color w:val="BF4E14" w:themeColor="accent2" w:themeShade="BF"/>
      <w:kern w:val="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E2D5" w:themeFill="accent2" w:themeFillTint="33"/>
      </w:tcPr>
    </w:tblStylePr>
    <w:tblStylePr w:type="band1Horz">
      <w:tblPr/>
      <w:tcPr>
        <w:shd w:val="clear" w:color="auto" w:fill="FAE2D5" w:themeFill="accent2" w:themeFillTint="33"/>
      </w:tcPr>
    </w:tblStylePr>
    <w:tblStylePr w:type="neCell">
      <w:tblPr/>
      <w:tcPr>
        <w:tcBorders>
          <w:bottom w:val="single" w:sz="4" w:space="0" w:color="F1A983" w:themeColor="accent2" w:themeTint="99"/>
        </w:tcBorders>
      </w:tcPr>
    </w:tblStylePr>
    <w:tblStylePr w:type="nwCell">
      <w:tblPr/>
      <w:tcPr>
        <w:tcBorders>
          <w:bottom w:val="single" w:sz="4" w:space="0" w:color="F1A983" w:themeColor="accent2" w:themeTint="99"/>
        </w:tcBorders>
      </w:tcPr>
    </w:tblStylePr>
    <w:tblStylePr w:type="seCell">
      <w:tblPr/>
      <w:tcPr>
        <w:tcBorders>
          <w:top w:val="single" w:sz="4" w:space="0" w:color="F1A983" w:themeColor="accent2" w:themeTint="99"/>
        </w:tcBorders>
      </w:tcPr>
    </w:tblStylePr>
    <w:tblStylePr w:type="swCell">
      <w:tblPr/>
      <w:tcPr>
        <w:tcBorders>
          <w:top w:val="single" w:sz="4" w:space="0" w:color="F1A983" w:themeColor="accent2" w:themeTint="99"/>
        </w:tcBorders>
      </w:tcPr>
    </w:tblStylePr>
  </w:style>
  <w:style w:type="table" w:styleId="GridTable7Colorful-Accent3">
    <w:name w:val="Grid Table 7 Colorful Accent 3"/>
    <w:basedOn w:val="TableNormal"/>
    <w:uiPriority w:val="52"/>
    <w:rsid w:val="00487A7F"/>
    <w:pPr>
      <w:spacing w:after="0" w:line="240" w:lineRule="auto"/>
    </w:pPr>
    <w:rPr>
      <w:color w:val="124F1A" w:themeColor="accent3" w:themeShade="BF"/>
      <w:kern w:val="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bottom w:val="single" w:sz="4" w:space="0" w:color="47D459" w:themeColor="accent3" w:themeTint="99"/>
        </w:tcBorders>
      </w:tcPr>
    </w:tblStylePr>
    <w:tblStylePr w:type="nwCell">
      <w:tblPr/>
      <w:tcPr>
        <w:tcBorders>
          <w:bottom w:val="single" w:sz="4" w:space="0" w:color="47D459" w:themeColor="accent3" w:themeTint="99"/>
        </w:tcBorders>
      </w:tcPr>
    </w:tblStylePr>
    <w:tblStylePr w:type="seCell">
      <w:tblPr/>
      <w:tcPr>
        <w:tcBorders>
          <w:top w:val="single" w:sz="4" w:space="0" w:color="47D459" w:themeColor="accent3" w:themeTint="99"/>
        </w:tcBorders>
      </w:tcPr>
    </w:tblStylePr>
    <w:tblStylePr w:type="swCell">
      <w:tblPr/>
      <w:tcPr>
        <w:tcBorders>
          <w:top w:val="single" w:sz="4" w:space="0" w:color="47D459" w:themeColor="accent3" w:themeTint="99"/>
        </w:tcBorders>
      </w:tcPr>
    </w:tblStylePr>
  </w:style>
  <w:style w:type="table" w:styleId="GridTable7Colorful-Accent4">
    <w:name w:val="Grid Table 7 Colorful Accent 4"/>
    <w:basedOn w:val="TableNormal"/>
    <w:uiPriority w:val="52"/>
    <w:rsid w:val="00487A7F"/>
    <w:pPr>
      <w:spacing w:after="0" w:line="240" w:lineRule="auto"/>
    </w:pPr>
    <w:rPr>
      <w:color w:val="0B769F" w:themeColor="accent4" w:themeShade="BF"/>
      <w:kern w:val="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AEDFB" w:themeFill="accent4" w:themeFillTint="33"/>
      </w:tcPr>
    </w:tblStylePr>
    <w:tblStylePr w:type="band1Horz">
      <w:tblPr/>
      <w:tcPr>
        <w:shd w:val="clear" w:color="auto" w:fill="CAEDFB" w:themeFill="accent4" w:themeFillTint="33"/>
      </w:tcPr>
    </w:tblStylePr>
    <w:tblStylePr w:type="neCell">
      <w:tblPr/>
      <w:tcPr>
        <w:tcBorders>
          <w:bottom w:val="single" w:sz="4" w:space="0" w:color="60CAF3" w:themeColor="accent4" w:themeTint="99"/>
        </w:tcBorders>
      </w:tcPr>
    </w:tblStylePr>
    <w:tblStylePr w:type="nwCell">
      <w:tblPr/>
      <w:tcPr>
        <w:tcBorders>
          <w:bottom w:val="single" w:sz="4" w:space="0" w:color="60CAF3" w:themeColor="accent4" w:themeTint="99"/>
        </w:tcBorders>
      </w:tcPr>
    </w:tblStylePr>
    <w:tblStylePr w:type="seCell">
      <w:tblPr/>
      <w:tcPr>
        <w:tcBorders>
          <w:top w:val="single" w:sz="4" w:space="0" w:color="60CAF3" w:themeColor="accent4" w:themeTint="99"/>
        </w:tcBorders>
      </w:tcPr>
    </w:tblStylePr>
    <w:tblStylePr w:type="swCell">
      <w:tblPr/>
      <w:tcPr>
        <w:tcBorders>
          <w:top w:val="single" w:sz="4" w:space="0" w:color="60CAF3" w:themeColor="accent4" w:themeTint="99"/>
        </w:tcBorders>
      </w:tcPr>
    </w:tblStylePr>
  </w:style>
  <w:style w:type="table" w:styleId="GridTable7Colorful-Accent5">
    <w:name w:val="Grid Table 7 Colorful Accent 5"/>
    <w:basedOn w:val="TableNormal"/>
    <w:uiPriority w:val="52"/>
    <w:rsid w:val="00487A7F"/>
    <w:pPr>
      <w:spacing w:after="0" w:line="240" w:lineRule="auto"/>
    </w:pPr>
    <w:rPr>
      <w:color w:val="77206D" w:themeColor="accent5" w:themeShade="BF"/>
      <w:kern w:val="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bottom w:val="single" w:sz="4" w:space="0" w:color="D86DCB" w:themeColor="accent5" w:themeTint="99"/>
        </w:tcBorders>
      </w:tcPr>
    </w:tblStylePr>
    <w:tblStylePr w:type="nwCell">
      <w:tblPr/>
      <w:tcPr>
        <w:tcBorders>
          <w:bottom w:val="single" w:sz="4" w:space="0" w:color="D86DCB" w:themeColor="accent5" w:themeTint="99"/>
        </w:tcBorders>
      </w:tcPr>
    </w:tblStylePr>
    <w:tblStylePr w:type="seCell">
      <w:tblPr/>
      <w:tcPr>
        <w:tcBorders>
          <w:top w:val="single" w:sz="4" w:space="0" w:color="D86DCB" w:themeColor="accent5" w:themeTint="99"/>
        </w:tcBorders>
      </w:tcPr>
    </w:tblStylePr>
    <w:tblStylePr w:type="swCell">
      <w:tblPr/>
      <w:tcPr>
        <w:tcBorders>
          <w:top w:val="single" w:sz="4" w:space="0" w:color="D86DCB" w:themeColor="accent5" w:themeTint="99"/>
        </w:tcBorders>
      </w:tcPr>
    </w:tblStylePr>
  </w:style>
  <w:style w:type="table" w:styleId="GridTable7Colorful-Accent6">
    <w:name w:val="Grid Table 7 Colorful Accent 6"/>
    <w:basedOn w:val="TableNormal"/>
    <w:uiPriority w:val="52"/>
    <w:rsid w:val="00487A7F"/>
    <w:pPr>
      <w:spacing w:after="0" w:line="240" w:lineRule="auto"/>
    </w:pPr>
    <w:rPr>
      <w:color w:val="3A7C22" w:themeColor="accent6" w:themeShade="BF"/>
      <w:kern w:val="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F2D0" w:themeFill="accent6" w:themeFillTint="33"/>
      </w:tcPr>
    </w:tblStylePr>
    <w:tblStylePr w:type="band1Horz">
      <w:tblPr/>
      <w:tcPr>
        <w:shd w:val="clear" w:color="auto" w:fill="D9F2D0" w:themeFill="accent6" w:themeFillTint="33"/>
      </w:tcPr>
    </w:tblStylePr>
    <w:tblStylePr w:type="neCell">
      <w:tblPr/>
      <w:tcPr>
        <w:tcBorders>
          <w:bottom w:val="single" w:sz="4" w:space="0" w:color="8DD873" w:themeColor="accent6" w:themeTint="99"/>
        </w:tcBorders>
      </w:tcPr>
    </w:tblStylePr>
    <w:tblStylePr w:type="nwCell">
      <w:tblPr/>
      <w:tcPr>
        <w:tcBorders>
          <w:bottom w:val="single" w:sz="4" w:space="0" w:color="8DD873" w:themeColor="accent6" w:themeTint="99"/>
        </w:tcBorders>
      </w:tcPr>
    </w:tblStylePr>
    <w:tblStylePr w:type="seCell">
      <w:tblPr/>
      <w:tcPr>
        <w:tcBorders>
          <w:top w:val="single" w:sz="4" w:space="0" w:color="8DD873" w:themeColor="accent6" w:themeTint="99"/>
        </w:tcBorders>
      </w:tcPr>
    </w:tblStylePr>
    <w:tblStylePr w:type="swCell">
      <w:tblPr/>
      <w:tcPr>
        <w:tcBorders>
          <w:top w:val="single" w:sz="4" w:space="0" w:color="8DD873" w:themeColor="accent6" w:themeTint="99"/>
        </w:tcBorders>
      </w:tcPr>
    </w:tblStyle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487A7F"/>
    <w:rPr>
      <w:color w:val="2B3A44"/>
      <w:sz w:val="1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487A7F"/>
    <w:rPr>
      <w:rFonts w:ascii="Century Gothic" w:eastAsia="PMingLiU" w:hAnsi="Century Gothic" w:cs="Times New Roman"/>
      <w:color w:val="2B3A44"/>
      <w:kern w:val="0"/>
      <w:sz w:val="18"/>
      <w:szCs w:val="20"/>
      <w:lang w:bidi="ar-DZ"/>
      <w14:ligatures w14:val="none"/>
    </w:rPr>
  </w:style>
  <w:style w:type="paragraph" w:customStyle="1" w:styleId="BulletSubnumber">
    <w:name w:val="*Bullet Subnumber"/>
    <w:basedOn w:val="BodyText"/>
    <w:uiPriority w:val="1"/>
    <w:rsid w:val="00487A7F"/>
    <w:pPr>
      <w:tabs>
        <w:tab w:val="left" w:pos="720"/>
      </w:tabs>
      <w:ind w:left="720" w:hanging="360"/>
    </w:pPr>
  </w:style>
  <w:style w:type="character" w:styleId="Hyperlink">
    <w:name w:val="Hyperlink"/>
    <w:uiPriority w:val="99"/>
    <w:rsid w:val="00487A7F"/>
    <w:rPr>
      <w:rFonts w:ascii="Century Gothic" w:hAnsi="Century Gothic"/>
      <w:color w:val="2B3A44"/>
      <w:sz w:val="22"/>
      <w:szCs w:val="18"/>
      <w:u w:val="single"/>
      <w:lang w:val="en-US" w:bidi="ar-DZ"/>
    </w:rPr>
  </w:style>
  <w:style w:type="paragraph" w:styleId="Index1">
    <w:name w:val="index 1"/>
    <w:basedOn w:val="Normal"/>
    <w:next w:val="Normal"/>
    <w:autoRedefine/>
    <w:semiHidden/>
    <w:rsid w:val="00487A7F"/>
    <w:pPr>
      <w:ind w:left="220" w:hanging="220"/>
    </w:pPr>
  </w:style>
  <w:style w:type="paragraph" w:styleId="Index2">
    <w:name w:val="index 2"/>
    <w:basedOn w:val="Normal"/>
    <w:next w:val="Normal"/>
    <w:autoRedefine/>
    <w:semiHidden/>
    <w:rsid w:val="00487A7F"/>
    <w:pPr>
      <w:ind w:left="440" w:hanging="220"/>
    </w:pPr>
  </w:style>
  <w:style w:type="paragraph" w:styleId="Index3">
    <w:name w:val="index 3"/>
    <w:basedOn w:val="Normal"/>
    <w:next w:val="Normal"/>
    <w:autoRedefine/>
    <w:semiHidden/>
    <w:rsid w:val="00487A7F"/>
    <w:pPr>
      <w:ind w:left="660" w:hanging="220"/>
    </w:pPr>
  </w:style>
  <w:style w:type="paragraph" w:styleId="Index4">
    <w:name w:val="index 4"/>
    <w:basedOn w:val="Normal"/>
    <w:next w:val="Normal"/>
    <w:autoRedefine/>
    <w:semiHidden/>
    <w:rsid w:val="00487A7F"/>
    <w:pPr>
      <w:ind w:left="880" w:hanging="220"/>
    </w:pPr>
  </w:style>
  <w:style w:type="paragraph" w:styleId="Index5">
    <w:name w:val="index 5"/>
    <w:basedOn w:val="Normal"/>
    <w:next w:val="Normal"/>
    <w:autoRedefine/>
    <w:semiHidden/>
    <w:rsid w:val="00487A7F"/>
    <w:pPr>
      <w:numPr>
        <w:numId w:val="9"/>
      </w:numPr>
    </w:pPr>
  </w:style>
  <w:style w:type="paragraph" w:styleId="Index6">
    <w:name w:val="index 6"/>
    <w:basedOn w:val="Normal"/>
    <w:next w:val="Normal"/>
    <w:autoRedefine/>
    <w:semiHidden/>
    <w:rsid w:val="00487A7F"/>
    <w:pPr>
      <w:ind w:left="1320" w:hanging="220"/>
    </w:pPr>
  </w:style>
  <w:style w:type="paragraph" w:styleId="Index7">
    <w:name w:val="index 7"/>
    <w:basedOn w:val="Normal"/>
    <w:next w:val="Normal"/>
    <w:autoRedefine/>
    <w:semiHidden/>
    <w:rsid w:val="00487A7F"/>
    <w:pPr>
      <w:ind w:left="1540" w:hanging="220"/>
    </w:pPr>
  </w:style>
  <w:style w:type="paragraph" w:styleId="Index8">
    <w:name w:val="index 8"/>
    <w:basedOn w:val="Normal"/>
    <w:next w:val="Normal"/>
    <w:autoRedefine/>
    <w:semiHidden/>
    <w:rsid w:val="00487A7F"/>
    <w:pPr>
      <w:ind w:left="1760" w:hanging="220"/>
    </w:pPr>
  </w:style>
  <w:style w:type="paragraph" w:styleId="Index9">
    <w:name w:val="index 9"/>
    <w:basedOn w:val="Normal"/>
    <w:next w:val="Normal"/>
    <w:autoRedefine/>
    <w:semiHidden/>
    <w:rsid w:val="00487A7F"/>
    <w:pPr>
      <w:ind w:left="1980" w:hanging="220"/>
    </w:pPr>
  </w:style>
  <w:style w:type="paragraph" w:styleId="IndexHeading">
    <w:name w:val="index heading"/>
    <w:basedOn w:val="Normal"/>
    <w:next w:val="Index1"/>
    <w:semiHidden/>
    <w:rsid w:val="00487A7F"/>
    <w:rPr>
      <w:rFonts w:cs="Arial"/>
      <w:b/>
      <w:bCs/>
    </w:rPr>
  </w:style>
  <w:style w:type="table" w:styleId="LightGrid">
    <w:name w:val="Light Grid"/>
    <w:basedOn w:val="TableNormal"/>
    <w:uiPriority w:val="62"/>
    <w:semiHidden/>
    <w:unhideWhenUsed/>
    <w:rsid w:val="00487A7F"/>
    <w:pPr>
      <w:spacing w:after="0" w:line="240" w:lineRule="auto"/>
    </w:pPr>
    <w:rPr>
      <w:kern w:val="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487A7F"/>
    <w:pPr>
      <w:spacing w:after="0" w:line="240" w:lineRule="auto"/>
    </w:pPr>
    <w:rPr>
      <w:kern w:val="0"/>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LightGrid-Accent2">
    <w:name w:val="Light Grid Accent 2"/>
    <w:basedOn w:val="TableNormal"/>
    <w:uiPriority w:val="62"/>
    <w:semiHidden/>
    <w:unhideWhenUsed/>
    <w:rsid w:val="00487A7F"/>
    <w:pPr>
      <w:spacing w:after="0" w:line="240" w:lineRule="auto"/>
    </w:pPr>
    <w:rPr>
      <w:kern w:val="0"/>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18" w:space="0" w:color="E97132" w:themeColor="accent2"/>
          <w:right w:val="single" w:sz="8" w:space="0" w:color="E97132" w:themeColor="accent2"/>
          <w:insideH w:val="nil"/>
          <w:insideV w:val="single" w:sz="8" w:space="0" w:color="E97132"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insideH w:val="nil"/>
          <w:insideV w:val="single" w:sz="8" w:space="0" w:color="E97132"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shd w:val="clear" w:color="auto" w:fill="F9DBCC" w:themeFill="accent2" w:themeFillTint="3F"/>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shd w:val="clear" w:color="auto" w:fill="F9DBCC" w:themeFill="accent2" w:themeFillTint="3F"/>
      </w:tcPr>
    </w:tblStylePr>
    <w:tblStylePr w:type="band2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tcPr>
    </w:tblStylePr>
  </w:style>
  <w:style w:type="table" w:styleId="LightGrid-Accent3">
    <w:name w:val="Light Grid Accent 3"/>
    <w:basedOn w:val="TableNormal"/>
    <w:uiPriority w:val="62"/>
    <w:semiHidden/>
    <w:unhideWhenUsed/>
    <w:rsid w:val="00487A7F"/>
    <w:pPr>
      <w:spacing w:after="0" w:line="240" w:lineRule="auto"/>
    </w:pPr>
    <w:rPr>
      <w:kern w:val="0"/>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18" w:space="0" w:color="196B24" w:themeColor="accent3"/>
          <w:right w:val="single" w:sz="8" w:space="0" w:color="196B24" w:themeColor="accent3"/>
          <w:insideH w:val="nil"/>
          <w:insideV w:val="single" w:sz="8" w:space="0" w:color="196B24"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insideH w:val="nil"/>
          <w:insideV w:val="single" w:sz="8" w:space="0" w:color="196B24"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shd w:val="clear" w:color="auto" w:fill="B3EDBA" w:themeFill="accent3" w:themeFillTint="3F"/>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shd w:val="clear" w:color="auto" w:fill="B3EDBA" w:themeFill="accent3" w:themeFillTint="3F"/>
      </w:tcPr>
    </w:tblStylePr>
    <w:tblStylePr w:type="band2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tcPr>
    </w:tblStylePr>
  </w:style>
  <w:style w:type="table" w:styleId="LightGrid-Accent4">
    <w:name w:val="Light Grid Accent 4"/>
    <w:basedOn w:val="TableNormal"/>
    <w:uiPriority w:val="62"/>
    <w:semiHidden/>
    <w:unhideWhenUsed/>
    <w:rsid w:val="00487A7F"/>
    <w:pPr>
      <w:spacing w:after="0" w:line="240" w:lineRule="auto"/>
    </w:pPr>
    <w:rPr>
      <w:kern w:val="0"/>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18" w:space="0" w:color="0F9ED5" w:themeColor="accent4"/>
          <w:right w:val="single" w:sz="8" w:space="0" w:color="0F9ED5" w:themeColor="accent4"/>
          <w:insideH w:val="nil"/>
          <w:insideV w:val="single" w:sz="8" w:space="0" w:color="0F9ED5"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insideH w:val="nil"/>
          <w:insideV w:val="single" w:sz="8" w:space="0" w:color="0F9ED5"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shd w:val="clear" w:color="auto" w:fill="BDE9FA" w:themeFill="accent4" w:themeFillTint="3F"/>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shd w:val="clear" w:color="auto" w:fill="BDE9FA" w:themeFill="accent4" w:themeFillTint="3F"/>
      </w:tcPr>
    </w:tblStylePr>
    <w:tblStylePr w:type="band2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tcPr>
    </w:tblStylePr>
  </w:style>
  <w:style w:type="table" w:styleId="LightGrid-Accent5">
    <w:name w:val="Light Grid Accent 5"/>
    <w:basedOn w:val="TableNormal"/>
    <w:uiPriority w:val="62"/>
    <w:semiHidden/>
    <w:unhideWhenUsed/>
    <w:rsid w:val="00487A7F"/>
    <w:pPr>
      <w:spacing w:after="0" w:line="240" w:lineRule="auto"/>
    </w:pPr>
    <w:rPr>
      <w:kern w:val="0"/>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18" w:space="0" w:color="A02B93" w:themeColor="accent5"/>
          <w:right w:val="single" w:sz="8" w:space="0" w:color="A02B93" w:themeColor="accent5"/>
          <w:insideH w:val="nil"/>
          <w:insideV w:val="single" w:sz="8" w:space="0" w:color="A02B9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insideH w:val="nil"/>
          <w:insideV w:val="single" w:sz="8" w:space="0" w:color="A02B9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shd w:val="clear" w:color="auto" w:fill="EFC3E9" w:themeFill="accent5" w:themeFillTint="3F"/>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shd w:val="clear" w:color="auto" w:fill="EFC3E9" w:themeFill="accent5" w:themeFillTint="3F"/>
      </w:tcPr>
    </w:tblStylePr>
    <w:tblStylePr w:type="band2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tcPr>
    </w:tblStylePr>
  </w:style>
  <w:style w:type="table" w:styleId="LightGrid-Accent6">
    <w:name w:val="Light Grid Accent 6"/>
    <w:basedOn w:val="TableNormal"/>
    <w:uiPriority w:val="62"/>
    <w:semiHidden/>
    <w:unhideWhenUsed/>
    <w:rsid w:val="00487A7F"/>
    <w:pPr>
      <w:spacing w:after="0" w:line="240" w:lineRule="auto"/>
    </w:pPr>
    <w:rPr>
      <w:kern w:val="0"/>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18" w:space="0" w:color="4EA72E" w:themeColor="accent6"/>
          <w:right w:val="single" w:sz="8" w:space="0" w:color="4EA72E" w:themeColor="accent6"/>
          <w:insideH w:val="nil"/>
          <w:insideV w:val="single" w:sz="8" w:space="0" w:color="4EA72E"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insideH w:val="nil"/>
          <w:insideV w:val="single" w:sz="8" w:space="0" w:color="4EA72E"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shd w:val="clear" w:color="auto" w:fill="D0EFC5" w:themeFill="accent6" w:themeFillTint="3F"/>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shd w:val="clear" w:color="auto" w:fill="D0EFC5" w:themeFill="accent6" w:themeFillTint="3F"/>
      </w:tcPr>
    </w:tblStylePr>
    <w:tblStylePr w:type="band2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tcPr>
    </w:tblStylePr>
  </w:style>
  <w:style w:type="table" w:styleId="LightList">
    <w:name w:val="Light List"/>
    <w:basedOn w:val="TableNormal"/>
    <w:uiPriority w:val="61"/>
    <w:semiHidden/>
    <w:unhideWhenUsed/>
    <w:rsid w:val="00487A7F"/>
    <w:pPr>
      <w:spacing w:after="0" w:line="240" w:lineRule="auto"/>
    </w:pPr>
    <w:rPr>
      <w:kern w:val="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487A7F"/>
    <w:pPr>
      <w:spacing w:after="0" w:line="240" w:lineRule="auto"/>
    </w:pPr>
    <w:rPr>
      <w:kern w:val="0"/>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0" w:after="0" w:line="240" w:lineRule="auto"/>
      </w:pPr>
      <w:rPr>
        <w:b/>
        <w:bCs/>
        <w:color w:val="FFFFFF" w:themeColor="background1"/>
      </w:rPr>
      <w:tblPr/>
      <w:tcPr>
        <w:shd w:val="clear" w:color="auto" w:fill="156082" w:themeFill="accent1"/>
      </w:tcPr>
    </w:tblStylePr>
    <w:tblStylePr w:type="lastRow">
      <w:pPr>
        <w:spacing w:before="0" w:after="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List-Accent2">
    <w:name w:val="Light List Accent 2"/>
    <w:basedOn w:val="TableNormal"/>
    <w:uiPriority w:val="61"/>
    <w:semiHidden/>
    <w:unhideWhenUsed/>
    <w:rsid w:val="00487A7F"/>
    <w:pPr>
      <w:spacing w:after="0" w:line="240" w:lineRule="auto"/>
    </w:pPr>
    <w:rPr>
      <w:kern w:val="0"/>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pPr>
        <w:spacing w:before="0" w:after="0" w:line="240" w:lineRule="auto"/>
      </w:pPr>
      <w:rPr>
        <w:b/>
        <w:bCs/>
        <w:color w:val="FFFFFF" w:themeColor="background1"/>
      </w:rPr>
      <w:tblPr/>
      <w:tcPr>
        <w:shd w:val="clear" w:color="auto" w:fill="E97132" w:themeFill="accent2"/>
      </w:tcPr>
    </w:tblStylePr>
    <w:tblStylePr w:type="lastRow">
      <w:pPr>
        <w:spacing w:before="0" w:after="0" w:line="240" w:lineRule="auto"/>
      </w:pPr>
      <w:rPr>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tcBorders>
      </w:tcPr>
    </w:tblStylePr>
    <w:tblStylePr w:type="firstCol">
      <w:rPr>
        <w:b/>
        <w:bCs/>
      </w:rPr>
    </w:tblStylePr>
    <w:tblStylePr w:type="lastCol">
      <w:rPr>
        <w:b/>
        <w:bCs/>
      </w:r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style>
  <w:style w:type="table" w:styleId="LightList-Accent3">
    <w:name w:val="Light List Accent 3"/>
    <w:basedOn w:val="TableNormal"/>
    <w:uiPriority w:val="61"/>
    <w:semiHidden/>
    <w:unhideWhenUsed/>
    <w:rsid w:val="00487A7F"/>
    <w:pPr>
      <w:spacing w:after="0" w:line="240" w:lineRule="auto"/>
    </w:pPr>
    <w:rPr>
      <w:kern w:val="0"/>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pPr>
        <w:spacing w:before="0" w:after="0" w:line="240" w:lineRule="auto"/>
      </w:pPr>
      <w:rPr>
        <w:b/>
        <w:bCs/>
        <w:color w:val="FFFFFF" w:themeColor="background1"/>
      </w:rPr>
      <w:tblPr/>
      <w:tcPr>
        <w:shd w:val="clear" w:color="auto" w:fill="196B24" w:themeFill="accent3"/>
      </w:tcPr>
    </w:tblStylePr>
    <w:tblStylePr w:type="lastRow">
      <w:pPr>
        <w:spacing w:before="0" w:after="0" w:line="240" w:lineRule="auto"/>
      </w:pPr>
      <w:rPr>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tcBorders>
      </w:tcPr>
    </w:tblStylePr>
    <w:tblStylePr w:type="firstCol">
      <w:rPr>
        <w:b/>
        <w:bCs/>
      </w:rPr>
    </w:tblStylePr>
    <w:tblStylePr w:type="lastCol">
      <w:rPr>
        <w:b/>
        <w:bCs/>
      </w:r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style>
  <w:style w:type="table" w:styleId="LightList-Accent4">
    <w:name w:val="Light List Accent 4"/>
    <w:basedOn w:val="TableNormal"/>
    <w:uiPriority w:val="61"/>
    <w:semiHidden/>
    <w:unhideWhenUsed/>
    <w:rsid w:val="00487A7F"/>
    <w:pPr>
      <w:spacing w:after="0" w:line="240" w:lineRule="auto"/>
    </w:pPr>
    <w:rPr>
      <w:kern w:val="0"/>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pPr>
        <w:spacing w:before="0" w:after="0" w:line="240" w:lineRule="auto"/>
      </w:pPr>
      <w:rPr>
        <w:b/>
        <w:bCs/>
        <w:color w:val="FFFFFF" w:themeColor="background1"/>
      </w:rPr>
      <w:tblPr/>
      <w:tcPr>
        <w:shd w:val="clear" w:color="auto" w:fill="0F9ED5" w:themeFill="accent4"/>
      </w:tcPr>
    </w:tblStylePr>
    <w:tblStylePr w:type="lastRow">
      <w:pPr>
        <w:spacing w:before="0" w:after="0" w:line="240" w:lineRule="auto"/>
      </w:pPr>
      <w:rPr>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tcBorders>
      </w:tcPr>
    </w:tblStylePr>
    <w:tblStylePr w:type="firstCol">
      <w:rPr>
        <w:b/>
        <w:bCs/>
      </w:rPr>
    </w:tblStylePr>
    <w:tblStylePr w:type="lastCol">
      <w:rPr>
        <w:b/>
        <w:bCs/>
      </w:r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style>
  <w:style w:type="table" w:styleId="LightList-Accent5">
    <w:name w:val="Light List Accent 5"/>
    <w:basedOn w:val="TableNormal"/>
    <w:uiPriority w:val="61"/>
    <w:semiHidden/>
    <w:unhideWhenUsed/>
    <w:rsid w:val="00487A7F"/>
    <w:pPr>
      <w:spacing w:after="0" w:line="240" w:lineRule="auto"/>
    </w:pPr>
    <w:rPr>
      <w:kern w:val="0"/>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pPr>
        <w:spacing w:before="0" w:after="0" w:line="240" w:lineRule="auto"/>
      </w:pPr>
      <w:rPr>
        <w:b/>
        <w:bCs/>
        <w:color w:val="FFFFFF" w:themeColor="background1"/>
      </w:rPr>
      <w:tblPr/>
      <w:tcPr>
        <w:shd w:val="clear" w:color="auto" w:fill="A02B93" w:themeFill="accent5"/>
      </w:tcPr>
    </w:tblStylePr>
    <w:tblStylePr w:type="lastRow">
      <w:pPr>
        <w:spacing w:before="0" w:after="0" w:line="240" w:lineRule="auto"/>
      </w:pPr>
      <w:rPr>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tcBorders>
      </w:tcPr>
    </w:tblStylePr>
    <w:tblStylePr w:type="firstCol">
      <w:rPr>
        <w:b/>
        <w:bCs/>
      </w:rPr>
    </w:tblStylePr>
    <w:tblStylePr w:type="lastCol">
      <w:rPr>
        <w:b/>
        <w:bCs/>
      </w:r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style>
  <w:style w:type="table" w:styleId="LightList-Accent6">
    <w:name w:val="Light List Accent 6"/>
    <w:basedOn w:val="TableNormal"/>
    <w:uiPriority w:val="61"/>
    <w:semiHidden/>
    <w:unhideWhenUsed/>
    <w:rsid w:val="00487A7F"/>
    <w:pPr>
      <w:spacing w:after="0" w:line="240" w:lineRule="auto"/>
    </w:pPr>
    <w:rPr>
      <w:kern w:val="0"/>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pPr>
        <w:spacing w:before="0" w:after="0" w:line="240" w:lineRule="auto"/>
      </w:pPr>
      <w:rPr>
        <w:b/>
        <w:bCs/>
        <w:color w:val="FFFFFF" w:themeColor="background1"/>
      </w:rPr>
      <w:tblPr/>
      <w:tcPr>
        <w:shd w:val="clear" w:color="auto" w:fill="4EA72E" w:themeFill="accent6"/>
      </w:tcPr>
    </w:tblStylePr>
    <w:tblStylePr w:type="lastRow">
      <w:pPr>
        <w:spacing w:before="0" w:after="0" w:line="240" w:lineRule="auto"/>
      </w:pPr>
      <w:rPr>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tcBorders>
      </w:tcPr>
    </w:tblStylePr>
    <w:tblStylePr w:type="firstCol">
      <w:rPr>
        <w:b/>
        <w:bCs/>
      </w:rPr>
    </w:tblStylePr>
    <w:tblStylePr w:type="lastCol">
      <w:rPr>
        <w:b/>
        <w:bCs/>
      </w:r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style>
  <w:style w:type="table" w:styleId="LightShading">
    <w:name w:val="Light Shading"/>
    <w:basedOn w:val="TableNormal"/>
    <w:uiPriority w:val="60"/>
    <w:semiHidden/>
    <w:unhideWhenUsed/>
    <w:rsid w:val="00487A7F"/>
    <w:pPr>
      <w:spacing w:after="0" w:line="240" w:lineRule="auto"/>
    </w:pPr>
    <w:rPr>
      <w:color w:val="000000" w:themeColor="text1" w:themeShade="BF"/>
      <w:kern w:val="0"/>
      <w14:ligatures w14:val="none"/>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487A7F"/>
    <w:pPr>
      <w:spacing w:after="0" w:line="240" w:lineRule="auto"/>
    </w:pPr>
    <w:rPr>
      <w:color w:val="0F4761" w:themeColor="accent1" w:themeShade="BF"/>
      <w:kern w:val="0"/>
      <w14:ligatures w14:val="none"/>
    </w:rPr>
    <w:tblPr>
      <w:tblStyleRowBandSize w:val="1"/>
      <w:tblStyleColBandSize w:val="1"/>
      <w:tblBorders>
        <w:top w:val="single" w:sz="8" w:space="0" w:color="156082" w:themeColor="accent1"/>
        <w:bottom w:val="single" w:sz="8" w:space="0" w:color="156082" w:themeColor="accent1"/>
      </w:tblBorders>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Shading-Accent2">
    <w:name w:val="Light Shading Accent 2"/>
    <w:basedOn w:val="TableNormal"/>
    <w:uiPriority w:val="60"/>
    <w:semiHidden/>
    <w:unhideWhenUsed/>
    <w:rsid w:val="00487A7F"/>
    <w:pPr>
      <w:spacing w:after="0" w:line="240" w:lineRule="auto"/>
    </w:pPr>
    <w:rPr>
      <w:color w:val="BF4E14" w:themeColor="accent2" w:themeShade="BF"/>
      <w:kern w:val="0"/>
      <w14:ligatures w14:val="none"/>
    </w:rPr>
    <w:tblPr>
      <w:tblStyleRowBandSize w:val="1"/>
      <w:tblStyleColBandSize w:val="1"/>
      <w:tblBorders>
        <w:top w:val="single" w:sz="8" w:space="0" w:color="E97132" w:themeColor="accent2"/>
        <w:bottom w:val="single" w:sz="8" w:space="0" w:color="E97132" w:themeColor="accent2"/>
      </w:tblBorders>
    </w:tblPr>
    <w:tblStylePr w:type="fir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la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left w:val="nil"/>
          <w:right w:val="nil"/>
          <w:insideH w:val="nil"/>
          <w:insideV w:val="nil"/>
        </w:tcBorders>
        <w:shd w:val="clear" w:color="auto" w:fill="F9DBCC" w:themeFill="accent2" w:themeFillTint="3F"/>
      </w:tcPr>
    </w:tblStylePr>
  </w:style>
  <w:style w:type="table" w:styleId="LightShading-Accent3">
    <w:name w:val="Light Shading Accent 3"/>
    <w:basedOn w:val="TableNormal"/>
    <w:uiPriority w:val="60"/>
    <w:semiHidden/>
    <w:unhideWhenUsed/>
    <w:rsid w:val="00487A7F"/>
    <w:pPr>
      <w:spacing w:after="0" w:line="240" w:lineRule="auto"/>
    </w:pPr>
    <w:rPr>
      <w:color w:val="124F1A" w:themeColor="accent3" w:themeShade="BF"/>
      <w:kern w:val="0"/>
      <w14:ligatures w14:val="none"/>
    </w:rPr>
    <w:tblPr>
      <w:tblStyleRowBandSize w:val="1"/>
      <w:tblStyleColBandSize w:val="1"/>
      <w:tblBorders>
        <w:top w:val="single" w:sz="8" w:space="0" w:color="196B24" w:themeColor="accent3"/>
        <w:bottom w:val="single" w:sz="8" w:space="0" w:color="196B24" w:themeColor="accent3"/>
      </w:tblBorders>
    </w:tblPr>
    <w:tblStylePr w:type="fir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la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left w:val="nil"/>
          <w:right w:val="nil"/>
          <w:insideH w:val="nil"/>
          <w:insideV w:val="nil"/>
        </w:tcBorders>
        <w:shd w:val="clear" w:color="auto" w:fill="B3EDBA" w:themeFill="accent3" w:themeFillTint="3F"/>
      </w:tcPr>
    </w:tblStylePr>
  </w:style>
  <w:style w:type="table" w:styleId="LightShading-Accent4">
    <w:name w:val="Light Shading Accent 4"/>
    <w:basedOn w:val="TableNormal"/>
    <w:uiPriority w:val="60"/>
    <w:semiHidden/>
    <w:unhideWhenUsed/>
    <w:rsid w:val="00487A7F"/>
    <w:pPr>
      <w:spacing w:after="0" w:line="240" w:lineRule="auto"/>
    </w:pPr>
    <w:rPr>
      <w:color w:val="0B769F" w:themeColor="accent4" w:themeShade="BF"/>
      <w:kern w:val="0"/>
      <w14:ligatures w14:val="none"/>
    </w:rPr>
    <w:tblPr>
      <w:tblStyleRowBandSize w:val="1"/>
      <w:tblStyleColBandSize w:val="1"/>
      <w:tblBorders>
        <w:top w:val="single" w:sz="8" w:space="0" w:color="0F9ED5" w:themeColor="accent4"/>
        <w:bottom w:val="single" w:sz="8" w:space="0" w:color="0F9ED5" w:themeColor="accent4"/>
      </w:tblBorders>
    </w:tblPr>
    <w:tblStylePr w:type="fir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la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left w:val="nil"/>
          <w:right w:val="nil"/>
          <w:insideH w:val="nil"/>
          <w:insideV w:val="nil"/>
        </w:tcBorders>
        <w:shd w:val="clear" w:color="auto" w:fill="BDE9FA" w:themeFill="accent4" w:themeFillTint="3F"/>
      </w:tcPr>
    </w:tblStylePr>
  </w:style>
  <w:style w:type="table" w:styleId="LightShading-Accent5">
    <w:name w:val="Light Shading Accent 5"/>
    <w:basedOn w:val="TableNormal"/>
    <w:uiPriority w:val="60"/>
    <w:semiHidden/>
    <w:unhideWhenUsed/>
    <w:rsid w:val="00487A7F"/>
    <w:pPr>
      <w:spacing w:after="0" w:line="240" w:lineRule="auto"/>
    </w:pPr>
    <w:rPr>
      <w:color w:val="77206D" w:themeColor="accent5" w:themeShade="BF"/>
      <w:kern w:val="0"/>
      <w14:ligatures w14:val="none"/>
    </w:rPr>
    <w:tblPr>
      <w:tblStyleRowBandSize w:val="1"/>
      <w:tblStyleColBandSize w:val="1"/>
      <w:tblBorders>
        <w:top w:val="single" w:sz="8" w:space="0" w:color="A02B93" w:themeColor="accent5"/>
        <w:bottom w:val="single" w:sz="8" w:space="0" w:color="A02B93" w:themeColor="accent5"/>
      </w:tblBorders>
    </w:tblPr>
    <w:tblStylePr w:type="fir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la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left w:val="nil"/>
          <w:right w:val="nil"/>
          <w:insideH w:val="nil"/>
          <w:insideV w:val="nil"/>
        </w:tcBorders>
        <w:shd w:val="clear" w:color="auto" w:fill="EFC3E9" w:themeFill="accent5" w:themeFillTint="3F"/>
      </w:tcPr>
    </w:tblStylePr>
  </w:style>
  <w:style w:type="table" w:styleId="LightShading-Accent6">
    <w:name w:val="Light Shading Accent 6"/>
    <w:basedOn w:val="TableNormal"/>
    <w:uiPriority w:val="60"/>
    <w:semiHidden/>
    <w:unhideWhenUsed/>
    <w:rsid w:val="00487A7F"/>
    <w:pPr>
      <w:spacing w:after="0" w:line="240" w:lineRule="auto"/>
    </w:pPr>
    <w:rPr>
      <w:color w:val="3A7C22" w:themeColor="accent6" w:themeShade="BF"/>
      <w:kern w:val="0"/>
      <w14:ligatures w14:val="none"/>
    </w:rPr>
    <w:tblPr>
      <w:tblStyleRowBandSize w:val="1"/>
      <w:tblStyleColBandSize w:val="1"/>
      <w:tblBorders>
        <w:top w:val="single" w:sz="8" w:space="0" w:color="4EA72E" w:themeColor="accent6"/>
        <w:bottom w:val="single" w:sz="8" w:space="0" w:color="4EA72E" w:themeColor="accent6"/>
      </w:tblBorders>
    </w:tblPr>
    <w:tblStylePr w:type="fir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la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left w:val="nil"/>
          <w:right w:val="nil"/>
          <w:insideH w:val="nil"/>
          <w:insideV w:val="nil"/>
        </w:tcBorders>
        <w:shd w:val="clear" w:color="auto" w:fill="D0EFC5" w:themeFill="accent6" w:themeFillTint="3F"/>
      </w:tcPr>
    </w:tblStylePr>
  </w:style>
  <w:style w:type="character" w:styleId="LineNumber">
    <w:name w:val="line number"/>
    <w:basedOn w:val="DefaultParagraphFont"/>
    <w:uiPriority w:val="99"/>
    <w:semiHidden/>
    <w:unhideWhenUsed/>
    <w:rsid w:val="00487A7F"/>
    <w:rPr>
      <w:lang w:val="en-US" w:bidi="ar-DZ"/>
    </w:rPr>
  </w:style>
  <w:style w:type="paragraph" w:styleId="List">
    <w:name w:val="List"/>
    <w:basedOn w:val="Normal"/>
    <w:uiPriority w:val="99"/>
    <w:semiHidden/>
    <w:unhideWhenUsed/>
    <w:rsid w:val="00487A7F"/>
    <w:pPr>
      <w:ind w:left="283" w:hanging="283"/>
      <w:contextualSpacing/>
    </w:pPr>
  </w:style>
  <w:style w:type="paragraph" w:styleId="List2">
    <w:name w:val="List 2"/>
    <w:basedOn w:val="Normal"/>
    <w:uiPriority w:val="99"/>
    <w:semiHidden/>
    <w:unhideWhenUsed/>
    <w:rsid w:val="00487A7F"/>
    <w:pPr>
      <w:ind w:left="566" w:hanging="283"/>
      <w:contextualSpacing/>
    </w:pPr>
  </w:style>
  <w:style w:type="paragraph" w:styleId="List3">
    <w:name w:val="List 3"/>
    <w:basedOn w:val="Normal"/>
    <w:uiPriority w:val="99"/>
    <w:semiHidden/>
    <w:unhideWhenUsed/>
    <w:rsid w:val="00487A7F"/>
    <w:pPr>
      <w:ind w:left="849" w:hanging="283"/>
      <w:contextualSpacing/>
    </w:pPr>
  </w:style>
  <w:style w:type="paragraph" w:styleId="List4">
    <w:name w:val="List 4"/>
    <w:basedOn w:val="Normal"/>
    <w:uiPriority w:val="99"/>
    <w:semiHidden/>
    <w:unhideWhenUsed/>
    <w:rsid w:val="00487A7F"/>
    <w:pPr>
      <w:ind w:left="1132" w:hanging="283"/>
      <w:contextualSpacing/>
    </w:pPr>
  </w:style>
  <w:style w:type="paragraph" w:styleId="List5">
    <w:name w:val="List 5"/>
    <w:basedOn w:val="Normal"/>
    <w:uiPriority w:val="99"/>
    <w:semiHidden/>
    <w:unhideWhenUsed/>
    <w:rsid w:val="00487A7F"/>
    <w:pPr>
      <w:ind w:left="1415" w:hanging="283"/>
      <w:contextualSpacing/>
    </w:pPr>
  </w:style>
  <w:style w:type="paragraph" w:styleId="ListBullet">
    <w:name w:val="List Bullet"/>
    <w:basedOn w:val="Normal"/>
    <w:uiPriority w:val="99"/>
    <w:unhideWhenUsed/>
    <w:rsid w:val="00487A7F"/>
    <w:pPr>
      <w:numPr>
        <w:numId w:val="10"/>
      </w:numPr>
      <w:contextualSpacing/>
    </w:pPr>
  </w:style>
  <w:style w:type="paragraph" w:styleId="ListBullet2">
    <w:name w:val="List Bullet 2"/>
    <w:basedOn w:val="Normal"/>
    <w:uiPriority w:val="99"/>
    <w:semiHidden/>
    <w:unhideWhenUsed/>
    <w:rsid w:val="00487A7F"/>
    <w:pPr>
      <w:numPr>
        <w:numId w:val="11"/>
      </w:numPr>
      <w:contextualSpacing/>
    </w:pPr>
  </w:style>
  <w:style w:type="paragraph" w:styleId="ListBullet3">
    <w:name w:val="List Bullet 3"/>
    <w:basedOn w:val="Normal"/>
    <w:uiPriority w:val="99"/>
    <w:semiHidden/>
    <w:unhideWhenUsed/>
    <w:rsid w:val="00487A7F"/>
    <w:pPr>
      <w:numPr>
        <w:numId w:val="53"/>
      </w:numPr>
      <w:contextualSpacing/>
    </w:pPr>
  </w:style>
  <w:style w:type="paragraph" w:styleId="ListBullet4">
    <w:name w:val="List Bullet 4"/>
    <w:basedOn w:val="Normal"/>
    <w:uiPriority w:val="99"/>
    <w:semiHidden/>
    <w:unhideWhenUsed/>
    <w:rsid w:val="00487A7F"/>
    <w:pPr>
      <w:numPr>
        <w:numId w:val="54"/>
      </w:numPr>
      <w:contextualSpacing/>
    </w:pPr>
  </w:style>
  <w:style w:type="paragraph" w:styleId="ListBullet5">
    <w:name w:val="List Bullet 5"/>
    <w:basedOn w:val="Normal"/>
    <w:uiPriority w:val="99"/>
    <w:semiHidden/>
    <w:unhideWhenUsed/>
    <w:rsid w:val="00487A7F"/>
    <w:pPr>
      <w:numPr>
        <w:numId w:val="55"/>
      </w:numPr>
      <w:contextualSpacing/>
    </w:pPr>
  </w:style>
  <w:style w:type="paragraph" w:styleId="ListContinue">
    <w:name w:val="List Continue"/>
    <w:basedOn w:val="Normal"/>
    <w:uiPriority w:val="99"/>
    <w:semiHidden/>
    <w:unhideWhenUsed/>
    <w:rsid w:val="00487A7F"/>
    <w:pPr>
      <w:spacing w:after="120"/>
      <w:ind w:left="283"/>
      <w:contextualSpacing/>
    </w:pPr>
  </w:style>
  <w:style w:type="paragraph" w:styleId="ListContinue2">
    <w:name w:val="List Continue 2"/>
    <w:basedOn w:val="Normal"/>
    <w:uiPriority w:val="99"/>
    <w:semiHidden/>
    <w:unhideWhenUsed/>
    <w:rsid w:val="00487A7F"/>
    <w:pPr>
      <w:spacing w:after="120"/>
      <w:ind w:left="566"/>
      <w:contextualSpacing/>
    </w:pPr>
  </w:style>
  <w:style w:type="paragraph" w:styleId="ListContinue3">
    <w:name w:val="List Continue 3"/>
    <w:basedOn w:val="Normal"/>
    <w:uiPriority w:val="99"/>
    <w:semiHidden/>
    <w:unhideWhenUsed/>
    <w:rsid w:val="00487A7F"/>
    <w:pPr>
      <w:spacing w:after="120"/>
      <w:ind w:left="849"/>
      <w:contextualSpacing/>
    </w:pPr>
  </w:style>
  <w:style w:type="paragraph" w:styleId="ListContinue4">
    <w:name w:val="List Continue 4"/>
    <w:basedOn w:val="Normal"/>
    <w:uiPriority w:val="99"/>
    <w:semiHidden/>
    <w:unhideWhenUsed/>
    <w:rsid w:val="00487A7F"/>
    <w:pPr>
      <w:spacing w:after="120"/>
      <w:ind w:left="1132"/>
      <w:contextualSpacing/>
    </w:pPr>
  </w:style>
  <w:style w:type="paragraph" w:styleId="ListContinue5">
    <w:name w:val="List Continue 5"/>
    <w:basedOn w:val="Normal"/>
    <w:uiPriority w:val="99"/>
    <w:semiHidden/>
    <w:unhideWhenUsed/>
    <w:rsid w:val="00487A7F"/>
    <w:pPr>
      <w:spacing w:after="120"/>
      <w:ind w:left="1415"/>
      <w:contextualSpacing/>
    </w:pPr>
  </w:style>
  <w:style w:type="paragraph" w:styleId="ListNumber">
    <w:name w:val="List Number"/>
    <w:basedOn w:val="Normal"/>
    <w:uiPriority w:val="99"/>
    <w:semiHidden/>
    <w:unhideWhenUsed/>
    <w:rsid w:val="00487A7F"/>
    <w:pPr>
      <w:numPr>
        <w:numId w:val="12"/>
      </w:numPr>
      <w:contextualSpacing/>
    </w:pPr>
  </w:style>
  <w:style w:type="paragraph" w:styleId="ListNumber2">
    <w:name w:val="List Number 2"/>
    <w:basedOn w:val="Normal"/>
    <w:uiPriority w:val="99"/>
    <w:semiHidden/>
    <w:unhideWhenUsed/>
    <w:rsid w:val="00487A7F"/>
    <w:pPr>
      <w:numPr>
        <w:numId w:val="13"/>
      </w:numPr>
      <w:contextualSpacing/>
    </w:pPr>
  </w:style>
  <w:style w:type="paragraph" w:styleId="ListNumber3">
    <w:name w:val="List Number 3"/>
    <w:basedOn w:val="Normal"/>
    <w:uiPriority w:val="99"/>
    <w:semiHidden/>
    <w:unhideWhenUsed/>
    <w:rsid w:val="00487A7F"/>
    <w:pPr>
      <w:numPr>
        <w:numId w:val="14"/>
      </w:numPr>
      <w:contextualSpacing/>
    </w:pPr>
  </w:style>
  <w:style w:type="paragraph" w:styleId="ListNumber4">
    <w:name w:val="List Number 4"/>
    <w:basedOn w:val="Normal"/>
    <w:uiPriority w:val="99"/>
    <w:semiHidden/>
    <w:unhideWhenUsed/>
    <w:rsid w:val="00487A7F"/>
    <w:pPr>
      <w:numPr>
        <w:numId w:val="15"/>
      </w:numPr>
      <w:contextualSpacing/>
    </w:pPr>
  </w:style>
  <w:style w:type="paragraph" w:styleId="ListNumber5">
    <w:name w:val="List Number 5"/>
    <w:basedOn w:val="Normal"/>
    <w:uiPriority w:val="99"/>
    <w:semiHidden/>
    <w:unhideWhenUsed/>
    <w:rsid w:val="00487A7F"/>
    <w:pPr>
      <w:numPr>
        <w:numId w:val="16"/>
      </w:numPr>
      <w:contextualSpacing/>
    </w:pPr>
  </w:style>
  <w:style w:type="table" w:styleId="ListTable1Light">
    <w:name w:val="List Table 1 Light"/>
    <w:basedOn w:val="TableNormal"/>
    <w:uiPriority w:val="46"/>
    <w:rsid w:val="00487A7F"/>
    <w:pPr>
      <w:spacing w:after="0" w:line="240" w:lineRule="auto"/>
    </w:pPr>
    <w:rPr>
      <w:kern w:val="0"/>
      <w14:ligatures w14:val="none"/>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487A7F"/>
    <w:pPr>
      <w:spacing w:after="0" w:line="240" w:lineRule="auto"/>
    </w:pPr>
    <w:rPr>
      <w:kern w:val="0"/>
      <w14:ligatures w14:val="none"/>
    </w:rPr>
    <w:tblPr>
      <w:tblStyleRowBandSize w:val="1"/>
      <w:tblStyleColBandSize w:val="1"/>
    </w:tblPr>
    <w:tblStylePr w:type="firstRow">
      <w:rPr>
        <w:b/>
        <w:bCs/>
      </w:rPr>
      <w:tblPr/>
      <w:tcPr>
        <w:tcBorders>
          <w:bottom w:val="single" w:sz="4" w:space="0" w:color="45B0E1" w:themeColor="accent1" w:themeTint="99"/>
        </w:tcBorders>
      </w:tcPr>
    </w:tblStylePr>
    <w:tblStylePr w:type="lastRow">
      <w:rPr>
        <w:b/>
        <w:bCs/>
      </w:rPr>
      <w:tblPr/>
      <w:tcPr>
        <w:tcBorders>
          <w:top w:val="sing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ListTable1Light-Accent2">
    <w:name w:val="List Table 1 Light Accent 2"/>
    <w:basedOn w:val="TableNormal"/>
    <w:uiPriority w:val="46"/>
    <w:rsid w:val="00487A7F"/>
    <w:pPr>
      <w:spacing w:after="0" w:line="240" w:lineRule="auto"/>
    </w:pPr>
    <w:rPr>
      <w:kern w:val="0"/>
      <w14:ligatures w14:val="none"/>
    </w:rPr>
    <w:tblPr>
      <w:tblStyleRowBandSize w:val="1"/>
      <w:tblStyleColBandSize w:val="1"/>
    </w:tblPr>
    <w:tblStylePr w:type="firstRow">
      <w:rPr>
        <w:b/>
        <w:bCs/>
      </w:rPr>
      <w:tblPr/>
      <w:tcPr>
        <w:tcBorders>
          <w:bottom w:val="single" w:sz="4" w:space="0" w:color="F1A983" w:themeColor="accent2" w:themeTint="99"/>
        </w:tcBorders>
      </w:tcPr>
    </w:tblStylePr>
    <w:tblStylePr w:type="lastRow">
      <w:rPr>
        <w:b/>
        <w:bCs/>
      </w:rPr>
      <w:tblPr/>
      <w:tcPr>
        <w:tcBorders>
          <w:top w:val="sing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ListTable1Light-Accent3">
    <w:name w:val="List Table 1 Light Accent 3"/>
    <w:basedOn w:val="TableNormal"/>
    <w:uiPriority w:val="46"/>
    <w:rsid w:val="00487A7F"/>
    <w:pPr>
      <w:spacing w:after="0" w:line="240" w:lineRule="auto"/>
    </w:pPr>
    <w:rPr>
      <w:kern w:val="0"/>
      <w14:ligatures w14:val="none"/>
    </w:rPr>
    <w:tblPr>
      <w:tblStyleRowBandSize w:val="1"/>
      <w:tblStyleColBandSize w:val="1"/>
    </w:tblPr>
    <w:tblStylePr w:type="firstRow">
      <w:rPr>
        <w:b/>
        <w:bCs/>
      </w:rPr>
      <w:tblPr/>
      <w:tcPr>
        <w:tcBorders>
          <w:bottom w:val="single" w:sz="4" w:space="0" w:color="47D459" w:themeColor="accent3" w:themeTint="99"/>
        </w:tcBorders>
      </w:tcPr>
    </w:tblStylePr>
    <w:tblStylePr w:type="lastRow">
      <w:rPr>
        <w:b/>
        <w:bCs/>
      </w:rPr>
      <w:tblPr/>
      <w:tcPr>
        <w:tcBorders>
          <w:top w:val="sing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ListTable1Light-Accent4">
    <w:name w:val="List Table 1 Light Accent 4"/>
    <w:basedOn w:val="TableNormal"/>
    <w:uiPriority w:val="46"/>
    <w:rsid w:val="00487A7F"/>
    <w:pPr>
      <w:spacing w:after="0" w:line="240" w:lineRule="auto"/>
    </w:pPr>
    <w:rPr>
      <w:kern w:val="0"/>
      <w14:ligatures w14:val="none"/>
    </w:rPr>
    <w:tblPr>
      <w:tblStyleRowBandSize w:val="1"/>
      <w:tblStyleColBandSize w:val="1"/>
    </w:tblPr>
    <w:tblStylePr w:type="firstRow">
      <w:rPr>
        <w:b/>
        <w:bCs/>
      </w:rPr>
      <w:tblPr/>
      <w:tcPr>
        <w:tcBorders>
          <w:bottom w:val="single" w:sz="4" w:space="0" w:color="60CAF3" w:themeColor="accent4" w:themeTint="99"/>
        </w:tcBorders>
      </w:tcPr>
    </w:tblStylePr>
    <w:tblStylePr w:type="lastRow">
      <w:rPr>
        <w:b/>
        <w:bCs/>
      </w:rPr>
      <w:tblPr/>
      <w:tcPr>
        <w:tcBorders>
          <w:top w:val="single" w:sz="4" w:space="0" w:color="60CAF3" w:themeColor="accent4" w:themeTint="99"/>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1Light-Accent5">
    <w:name w:val="List Table 1 Light Accent 5"/>
    <w:basedOn w:val="TableNormal"/>
    <w:uiPriority w:val="46"/>
    <w:rsid w:val="00487A7F"/>
    <w:pPr>
      <w:spacing w:after="0" w:line="240" w:lineRule="auto"/>
    </w:pPr>
    <w:rPr>
      <w:kern w:val="0"/>
      <w14:ligatures w14:val="none"/>
    </w:rPr>
    <w:tblPr>
      <w:tblStyleRowBandSize w:val="1"/>
      <w:tblStyleColBandSize w:val="1"/>
    </w:tblPr>
    <w:tblStylePr w:type="firstRow">
      <w:rPr>
        <w:b/>
        <w:bCs/>
      </w:rPr>
      <w:tblPr/>
      <w:tcPr>
        <w:tcBorders>
          <w:bottom w:val="single" w:sz="4" w:space="0" w:color="D86DCB" w:themeColor="accent5" w:themeTint="99"/>
        </w:tcBorders>
      </w:tcPr>
    </w:tblStylePr>
    <w:tblStylePr w:type="lastRow">
      <w:rPr>
        <w:b/>
        <w:bCs/>
      </w:rPr>
      <w:tblPr/>
      <w:tcPr>
        <w:tcBorders>
          <w:top w:val="single" w:sz="4" w:space="0" w:color="D86DCB" w:themeColor="accent5" w:themeTint="99"/>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ListTable1Light-Accent6">
    <w:name w:val="List Table 1 Light Accent 6"/>
    <w:basedOn w:val="TableNormal"/>
    <w:uiPriority w:val="46"/>
    <w:rsid w:val="00487A7F"/>
    <w:pPr>
      <w:spacing w:after="0" w:line="240" w:lineRule="auto"/>
    </w:pPr>
    <w:rPr>
      <w:kern w:val="0"/>
      <w14:ligatures w14:val="none"/>
    </w:rPr>
    <w:tblPr>
      <w:tblStyleRowBandSize w:val="1"/>
      <w:tblStyleColBandSize w:val="1"/>
    </w:tblPr>
    <w:tblStylePr w:type="firstRow">
      <w:rPr>
        <w:b/>
        <w:bCs/>
      </w:rPr>
      <w:tblPr/>
      <w:tcPr>
        <w:tcBorders>
          <w:bottom w:val="single" w:sz="4" w:space="0" w:color="8DD873" w:themeColor="accent6" w:themeTint="99"/>
        </w:tcBorders>
      </w:tcPr>
    </w:tblStylePr>
    <w:tblStylePr w:type="lastRow">
      <w:rPr>
        <w:b/>
        <w:bCs/>
      </w:rPr>
      <w:tblPr/>
      <w:tcPr>
        <w:tcBorders>
          <w:top w:val="sing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ListTable2">
    <w:name w:val="List Table 2"/>
    <w:basedOn w:val="TableNormal"/>
    <w:uiPriority w:val="47"/>
    <w:rsid w:val="00487A7F"/>
    <w:pPr>
      <w:spacing w:after="0" w:line="240" w:lineRule="auto"/>
    </w:pPr>
    <w:rPr>
      <w:kern w:val="0"/>
      <w14:ligatures w14:val="none"/>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487A7F"/>
    <w:pPr>
      <w:spacing w:after="0" w:line="240" w:lineRule="auto"/>
    </w:pPr>
    <w:rPr>
      <w:kern w:val="0"/>
      <w14:ligatures w14:val="none"/>
    </w:rPr>
    <w:tblPr>
      <w:tblStyleRowBandSize w:val="1"/>
      <w:tblStyleColBandSize w:val="1"/>
      <w:tblBorders>
        <w:top w:val="single" w:sz="4" w:space="0" w:color="45B0E1" w:themeColor="accent1" w:themeTint="99"/>
        <w:bottom w:val="single" w:sz="4" w:space="0" w:color="45B0E1" w:themeColor="accent1" w:themeTint="99"/>
        <w:insideH w:val="single" w:sz="4" w:space="0" w:color="45B0E1"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ListTable2-Accent2">
    <w:name w:val="List Table 2 Accent 2"/>
    <w:basedOn w:val="TableNormal"/>
    <w:uiPriority w:val="47"/>
    <w:rsid w:val="00487A7F"/>
    <w:pPr>
      <w:spacing w:after="0" w:line="240" w:lineRule="auto"/>
    </w:pPr>
    <w:rPr>
      <w:kern w:val="0"/>
      <w14:ligatures w14:val="none"/>
    </w:rPr>
    <w:tblPr>
      <w:tblStyleRowBandSize w:val="1"/>
      <w:tblStyleColBandSize w:val="1"/>
      <w:tblBorders>
        <w:top w:val="single" w:sz="4" w:space="0" w:color="F1A983" w:themeColor="accent2" w:themeTint="99"/>
        <w:bottom w:val="single" w:sz="4" w:space="0" w:color="F1A983" w:themeColor="accent2" w:themeTint="99"/>
        <w:insideH w:val="single" w:sz="4" w:space="0" w:color="F1A9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ListTable2-Accent3">
    <w:name w:val="List Table 2 Accent 3"/>
    <w:basedOn w:val="TableNormal"/>
    <w:uiPriority w:val="47"/>
    <w:rsid w:val="00487A7F"/>
    <w:pPr>
      <w:spacing w:after="0" w:line="240" w:lineRule="auto"/>
    </w:pPr>
    <w:rPr>
      <w:kern w:val="0"/>
      <w14:ligatures w14:val="none"/>
    </w:rPr>
    <w:tblPr>
      <w:tblStyleRowBandSize w:val="1"/>
      <w:tblStyleColBandSize w:val="1"/>
      <w:tblBorders>
        <w:top w:val="single" w:sz="4" w:space="0" w:color="47D459" w:themeColor="accent3" w:themeTint="99"/>
        <w:bottom w:val="single" w:sz="4" w:space="0" w:color="47D459" w:themeColor="accent3" w:themeTint="99"/>
        <w:insideH w:val="single" w:sz="4" w:space="0" w:color="47D45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ListTable2-Accent4">
    <w:name w:val="List Table 2 Accent 4"/>
    <w:basedOn w:val="TableNormal"/>
    <w:uiPriority w:val="47"/>
    <w:rsid w:val="00487A7F"/>
    <w:pPr>
      <w:spacing w:after="0" w:line="240" w:lineRule="auto"/>
    </w:pPr>
    <w:rPr>
      <w:kern w:val="0"/>
      <w14:ligatures w14:val="none"/>
    </w:rPr>
    <w:tblPr>
      <w:tblStyleRowBandSize w:val="1"/>
      <w:tblStyleColBandSize w:val="1"/>
      <w:tblBorders>
        <w:top w:val="single" w:sz="4" w:space="0" w:color="60CAF3" w:themeColor="accent4" w:themeTint="99"/>
        <w:bottom w:val="single" w:sz="4" w:space="0" w:color="60CAF3" w:themeColor="accent4" w:themeTint="99"/>
        <w:insideH w:val="single" w:sz="4" w:space="0" w:color="60CAF3"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2-Accent5">
    <w:name w:val="List Table 2 Accent 5"/>
    <w:basedOn w:val="TableNormal"/>
    <w:uiPriority w:val="47"/>
    <w:rsid w:val="00487A7F"/>
    <w:pPr>
      <w:spacing w:after="0" w:line="240" w:lineRule="auto"/>
    </w:pPr>
    <w:rPr>
      <w:kern w:val="0"/>
      <w14:ligatures w14:val="none"/>
    </w:rPr>
    <w:tblPr>
      <w:tblStyleRowBandSize w:val="1"/>
      <w:tblStyleColBandSize w:val="1"/>
      <w:tblBorders>
        <w:top w:val="single" w:sz="4" w:space="0" w:color="D86DCB" w:themeColor="accent5" w:themeTint="99"/>
        <w:bottom w:val="single" w:sz="4" w:space="0" w:color="D86DCB" w:themeColor="accent5" w:themeTint="99"/>
        <w:insideH w:val="single" w:sz="4" w:space="0" w:color="D86DCB"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ListTable2-Accent6">
    <w:name w:val="List Table 2 Accent 6"/>
    <w:basedOn w:val="TableNormal"/>
    <w:uiPriority w:val="47"/>
    <w:rsid w:val="00487A7F"/>
    <w:pPr>
      <w:spacing w:after="0" w:line="240" w:lineRule="auto"/>
    </w:pPr>
    <w:rPr>
      <w:kern w:val="0"/>
      <w14:ligatures w14:val="none"/>
    </w:rPr>
    <w:tblPr>
      <w:tblStyleRowBandSize w:val="1"/>
      <w:tblStyleColBandSize w:val="1"/>
      <w:tblBorders>
        <w:top w:val="single" w:sz="4" w:space="0" w:color="8DD873" w:themeColor="accent6" w:themeTint="99"/>
        <w:bottom w:val="single" w:sz="4" w:space="0" w:color="8DD873" w:themeColor="accent6" w:themeTint="99"/>
        <w:insideH w:val="single" w:sz="4" w:space="0" w:color="8DD87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ListTable3">
    <w:name w:val="List Table 3"/>
    <w:basedOn w:val="TableNormal"/>
    <w:uiPriority w:val="48"/>
    <w:rsid w:val="00487A7F"/>
    <w:pPr>
      <w:spacing w:after="0" w:line="240" w:lineRule="auto"/>
    </w:pPr>
    <w:rPr>
      <w:kern w:val="0"/>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487A7F"/>
    <w:pPr>
      <w:spacing w:after="0" w:line="240" w:lineRule="auto"/>
    </w:pPr>
    <w:rPr>
      <w:kern w:val="0"/>
      <w14:ligatures w14:val="none"/>
    </w:r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b/>
        <w:bCs/>
        <w:color w:val="FFFFFF" w:themeColor="background1"/>
      </w:rPr>
      <w:tblPr/>
      <w:tcPr>
        <w:shd w:val="clear" w:color="auto" w:fill="156082" w:themeFill="accent1"/>
      </w:tcPr>
    </w:tblStylePr>
    <w:tblStylePr w:type="lastRow">
      <w:rPr>
        <w:b/>
        <w:bCs/>
      </w:rPr>
      <w:tblPr/>
      <w:tcPr>
        <w:tcBorders>
          <w:top w:val="double" w:sz="4" w:space="0" w:color="15608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56082" w:themeColor="accent1"/>
          <w:right w:val="single" w:sz="4" w:space="0" w:color="156082" w:themeColor="accent1"/>
        </w:tcBorders>
      </w:tcPr>
    </w:tblStylePr>
    <w:tblStylePr w:type="band1Horz">
      <w:tblPr/>
      <w:tcPr>
        <w:tcBorders>
          <w:top w:val="single" w:sz="4" w:space="0" w:color="156082" w:themeColor="accent1"/>
          <w:bottom w:val="single" w:sz="4" w:space="0" w:color="15608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56082" w:themeColor="accent1"/>
          <w:left w:val="nil"/>
        </w:tcBorders>
      </w:tcPr>
    </w:tblStylePr>
    <w:tblStylePr w:type="swCell">
      <w:tblPr/>
      <w:tcPr>
        <w:tcBorders>
          <w:top w:val="double" w:sz="4" w:space="0" w:color="156082" w:themeColor="accent1"/>
          <w:right w:val="nil"/>
        </w:tcBorders>
      </w:tcPr>
    </w:tblStylePr>
  </w:style>
  <w:style w:type="table" w:styleId="ListTable3-Accent2">
    <w:name w:val="List Table 3 Accent 2"/>
    <w:basedOn w:val="TableNormal"/>
    <w:uiPriority w:val="48"/>
    <w:rsid w:val="00487A7F"/>
    <w:pPr>
      <w:spacing w:after="0" w:line="240" w:lineRule="auto"/>
    </w:pPr>
    <w:rPr>
      <w:kern w:val="0"/>
      <w14:ligatures w14:val="none"/>
    </w:rPr>
    <w:tblPr>
      <w:tblStyleRowBandSize w:val="1"/>
      <w:tblStyleColBandSize w:val="1"/>
      <w:tblBorders>
        <w:top w:val="single" w:sz="4" w:space="0" w:color="E97132" w:themeColor="accent2"/>
        <w:left w:val="single" w:sz="4" w:space="0" w:color="E97132" w:themeColor="accent2"/>
        <w:bottom w:val="single" w:sz="4" w:space="0" w:color="E97132" w:themeColor="accent2"/>
        <w:right w:val="single" w:sz="4" w:space="0" w:color="E97132" w:themeColor="accent2"/>
      </w:tblBorders>
    </w:tblPr>
    <w:tblStylePr w:type="firstRow">
      <w:rPr>
        <w:b/>
        <w:bCs/>
        <w:color w:val="FFFFFF" w:themeColor="background1"/>
      </w:rPr>
      <w:tblPr/>
      <w:tcPr>
        <w:shd w:val="clear" w:color="auto" w:fill="E97132" w:themeFill="accent2"/>
      </w:tcPr>
    </w:tblStylePr>
    <w:tblStylePr w:type="lastRow">
      <w:rPr>
        <w:b/>
        <w:bCs/>
      </w:rPr>
      <w:tblPr/>
      <w:tcPr>
        <w:tcBorders>
          <w:top w:val="double" w:sz="4" w:space="0" w:color="E9713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97132" w:themeColor="accent2"/>
          <w:right w:val="single" w:sz="4" w:space="0" w:color="E97132" w:themeColor="accent2"/>
        </w:tcBorders>
      </w:tcPr>
    </w:tblStylePr>
    <w:tblStylePr w:type="band1Horz">
      <w:tblPr/>
      <w:tcPr>
        <w:tcBorders>
          <w:top w:val="single" w:sz="4" w:space="0" w:color="E97132" w:themeColor="accent2"/>
          <w:bottom w:val="single" w:sz="4" w:space="0" w:color="E97132"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97132" w:themeColor="accent2"/>
          <w:left w:val="nil"/>
        </w:tcBorders>
      </w:tcPr>
    </w:tblStylePr>
    <w:tblStylePr w:type="swCell">
      <w:tblPr/>
      <w:tcPr>
        <w:tcBorders>
          <w:top w:val="double" w:sz="4" w:space="0" w:color="E97132" w:themeColor="accent2"/>
          <w:right w:val="nil"/>
        </w:tcBorders>
      </w:tcPr>
    </w:tblStylePr>
  </w:style>
  <w:style w:type="table" w:styleId="ListTable3-Accent3">
    <w:name w:val="List Table 3 Accent 3"/>
    <w:basedOn w:val="TableNormal"/>
    <w:uiPriority w:val="48"/>
    <w:rsid w:val="00487A7F"/>
    <w:pPr>
      <w:spacing w:after="0" w:line="240" w:lineRule="auto"/>
    </w:pPr>
    <w:rPr>
      <w:kern w:val="0"/>
      <w14:ligatures w14:val="none"/>
    </w:rPr>
    <w:tblPr>
      <w:tblStyleRowBandSize w:val="1"/>
      <w:tblStyleColBandSize w:val="1"/>
      <w:tblBorders>
        <w:top w:val="single" w:sz="4" w:space="0" w:color="196B24" w:themeColor="accent3"/>
        <w:left w:val="single" w:sz="4" w:space="0" w:color="196B24" w:themeColor="accent3"/>
        <w:bottom w:val="single" w:sz="4" w:space="0" w:color="196B24" w:themeColor="accent3"/>
        <w:right w:val="single" w:sz="4" w:space="0" w:color="196B24" w:themeColor="accent3"/>
      </w:tblBorders>
    </w:tblPr>
    <w:tblStylePr w:type="firstRow">
      <w:rPr>
        <w:b/>
        <w:bCs/>
        <w:color w:val="FFFFFF" w:themeColor="background1"/>
      </w:rPr>
      <w:tblPr/>
      <w:tcPr>
        <w:shd w:val="clear" w:color="auto" w:fill="196B24" w:themeFill="accent3"/>
      </w:tcPr>
    </w:tblStylePr>
    <w:tblStylePr w:type="lastRow">
      <w:rPr>
        <w:b/>
        <w:bCs/>
      </w:rPr>
      <w:tblPr/>
      <w:tcPr>
        <w:tcBorders>
          <w:top w:val="double" w:sz="4" w:space="0" w:color="196B2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96B24" w:themeColor="accent3"/>
          <w:right w:val="single" w:sz="4" w:space="0" w:color="196B24" w:themeColor="accent3"/>
        </w:tcBorders>
      </w:tcPr>
    </w:tblStylePr>
    <w:tblStylePr w:type="band1Horz">
      <w:tblPr/>
      <w:tcPr>
        <w:tcBorders>
          <w:top w:val="single" w:sz="4" w:space="0" w:color="196B24" w:themeColor="accent3"/>
          <w:bottom w:val="single" w:sz="4" w:space="0" w:color="196B2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96B24" w:themeColor="accent3"/>
          <w:left w:val="nil"/>
        </w:tcBorders>
      </w:tcPr>
    </w:tblStylePr>
    <w:tblStylePr w:type="swCell">
      <w:tblPr/>
      <w:tcPr>
        <w:tcBorders>
          <w:top w:val="double" w:sz="4" w:space="0" w:color="196B24" w:themeColor="accent3"/>
          <w:right w:val="nil"/>
        </w:tcBorders>
      </w:tcPr>
    </w:tblStylePr>
  </w:style>
  <w:style w:type="table" w:styleId="ListTable3-Accent4">
    <w:name w:val="List Table 3 Accent 4"/>
    <w:basedOn w:val="TableNormal"/>
    <w:uiPriority w:val="48"/>
    <w:rsid w:val="00487A7F"/>
    <w:pPr>
      <w:spacing w:after="0" w:line="240" w:lineRule="auto"/>
    </w:pPr>
    <w:rPr>
      <w:kern w:val="0"/>
      <w14:ligatures w14:val="none"/>
    </w:rPr>
    <w:tblPr>
      <w:tblStyleRowBandSize w:val="1"/>
      <w:tblStyleColBandSize w:val="1"/>
      <w:tblBorders>
        <w:top w:val="single" w:sz="4" w:space="0" w:color="0F9ED5" w:themeColor="accent4"/>
        <w:left w:val="single" w:sz="4" w:space="0" w:color="0F9ED5" w:themeColor="accent4"/>
        <w:bottom w:val="single" w:sz="4" w:space="0" w:color="0F9ED5" w:themeColor="accent4"/>
        <w:right w:val="single" w:sz="4" w:space="0" w:color="0F9ED5" w:themeColor="accent4"/>
      </w:tblBorders>
    </w:tblPr>
    <w:tblStylePr w:type="firstRow">
      <w:rPr>
        <w:b/>
        <w:bCs/>
        <w:color w:val="FFFFFF" w:themeColor="background1"/>
      </w:rPr>
      <w:tblPr/>
      <w:tcPr>
        <w:shd w:val="clear" w:color="auto" w:fill="0F9ED5" w:themeFill="accent4"/>
      </w:tcPr>
    </w:tblStylePr>
    <w:tblStylePr w:type="lastRow">
      <w:rPr>
        <w:b/>
        <w:bCs/>
      </w:rPr>
      <w:tblPr/>
      <w:tcPr>
        <w:tcBorders>
          <w:top w:val="double" w:sz="4" w:space="0" w:color="0F9ED5"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F9ED5" w:themeColor="accent4"/>
          <w:right w:val="single" w:sz="4" w:space="0" w:color="0F9ED5" w:themeColor="accent4"/>
        </w:tcBorders>
      </w:tcPr>
    </w:tblStylePr>
    <w:tblStylePr w:type="band1Horz">
      <w:tblPr/>
      <w:tcPr>
        <w:tcBorders>
          <w:top w:val="single" w:sz="4" w:space="0" w:color="0F9ED5" w:themeColor="accent4"/>
          <w:bottom w:val="single" w:sz="4" w:space="0" w:color="0F9ED5"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F9ED5" w:themeColor="accent4"/>
          <w:left w:val="nil"/>
        </w:tcBorders>
      </w:tcPr>
    </w:tblStylePr>
    <w:tblStylePr w:type="swCell">
      <w:tblPr/>
      <w:tcPr>
        <w:tcBorders>
          <w:top w:val="double" w:sz="4" w:space="0" w:color="0F9ED5" w:themeColor="accent4"/>
          <w:right w:val="nil"/>
        </w:tcBorders>
      </w:tcPr>
    </w:tblStylePr>
  </w:style>
  <w:style w:type="table" w:styleId="ListTable3-Accent5">
    <w:name w:val="List Table 3 Accent 5"/>
    <w:basedOn w:val="TableNormal"/>
    <w:uiPriority w:val="48"/>
    <w:rsid w:val="00487A7F"/>
    <w:pPr>
      <w:spacing w:after="0" w:line="240" w:lineRule="auto"/>
    </w:pPr>
    <w:rPr>
      <w:kern w:val="0"/>
      <w14:ligatures w14:val="none"/>
    </w:r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tblBorders>
    </w:tblPr>
    <w:tblStylePr w:type="firstRow">
      <w:rPr>
        <w:b/>
        <w:bCs/>
        <w:color w:val="FFFFFF" w:themeColor="background1"/>
      </w:rPr>
      <w:tblPr/>
      <w:tcPr>
        <w:shd w:val="clear" w:color="auto" w:fill="A02B93" w:themeFill="accent5"/>
      </w:tcPr>
    </w:tblStylePr>
    <w:tblStylePr w:type="lastRow">
      <w:rPr>
        <w:b/>
        <w:bCs/>
      </w:rPr>
      <w:tblPr/>
      <w:tcPr>
        <w:tcBorders>
          <w:top w:val="double" w:sz="4" w:space="0" w:color="A02B93"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02B93" w:themeColor="accent5"/>
          <w:right w:val="single" w:sz="4" w:space="0" w:color="A02B93" w:themeColor="accent5"/>
        </w:tcBorders>
      </w:tcPr>
    </w:tblStylePr>
    <w:tblStylePr w:type="band1Horz">
      <w:tblPr/>
      <w:tcPr>
        <w:tcBorders>
          <w:top w:val="single" w:sz="4" w:space="0" w:color="A02B93" w:themeColor="accent5"/>
          <w:bottom w:val="single" w:sz="4" w:space="0" w:color="A02B93"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02B93" w:themeColor="accent5"/>
          <w:left w:val="nil"/>
        </w:tcBorders>
      </w:tcPr>
    </w:tblStylePr>
    <w:tblStylePr w:type="swCell">
      <w:tblPr/>
      <w:tcPr>
        <w:tcBorders>
          <w:top w:val="double" w:sz="4" w:space="0" w:color="A02B93" w:themeColor="accent5"/>
          <w:right w:val="nil"/>
        </w:tcBorders>
      </w:tcPr>
    </w:tblStylePr>
  </w:style>
  <w:style w:type="table" w:styleId="ListTable3-Accent6">
    <w:name w:val="List Table 3 Accent 6"/>
    <w:basedOn w:val="TableNormal"/>
    <w:uiPriority w:val="48"/>
    <w:rsid w:val="00487A7F"/>
    <w:pPr>
      <w:spacing w:after="0" w:line="240" w:lineRule="auto"/>
    </w:pPr>
    <w:rPr>
      <w:kern w:val="0"/>
      <w14:ligatures w14:val="none"/>
    </w:r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tblBorders>
    </w:tblPr>
    <w:tblStylePr w:type="firstRow">
      <w:rPr>
        <w:b/>
        <w:bCs/>
        <w:color w:val="FFFFFF" w:themeColor="background1"/>
      </w:rPr>
      <w:tblPr/>
      <w:tcPr>
        <w:shd w:val="clear" w:color="auto" w:fill="4EA72E" w:themeFill="accent6"/>
      </w:tcPr>
    </w:tblStylePr>
    <w:tblStylePr w:type="lastRow">
      <w:rPr>
        <w:b/>
        <w:bCs/>
      </w:rPr>
      <w:tblPr/>
      <w:tcPr>
        <w:tcBorders>
          <w:top w:val="double" w:sz="4" w:space="0" w:color="4EA72E"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EA72E" w:themeColor="accent6"/>
          <w:right w:val="single" w:sz="4" w:space="0" w:color="4EA72E" w:themeColor="accent6"/>
        </w:tcBorders>
      </w:tcPr>
    </w:tblStylePr>
    <w:tblStylePr w:type="band1Horz">
      <w:tblPr/>
      <w:tcPr>
        <w:tcBorders>
          <w:top w:val="single" w:sz="4" w:space="0" w:color="4EA72E" w:themeColor="accent6"/>
          <w:bottom w:val="single" w:sz="4" w:space="0" w:color="4EA72E"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EA72E" w:themeColor="accent6"/>
          <w:left w:val="nil"/>
        </w:tcBorders>
      </w:tcPr>
    </w:tblStylePr>
    <w:tblStylePr w:type="swCell">
      <w:tblPr/>
      <w:tcPr>
        <w:tcBorders>
          <w:top w:val="double" w:sz="4" w:space="0" w:color="4EA72E" w:themeColor="accent6"/>
          <w:right w:val="nil"/>
        </w:tcBorders>
      </w:tcPr>
    </w:tblStylePr>
  </w:style>
  <w:style w:type="table" w:styleId="ListTable4">
    <w:name w:val="List Table 4"/>
    <w:basedOn w:val="TableNormal"/>
    <w:uiPriority w:val="49"/>
    <w:rsid w:val="00487A7F"/>
    <w:pPr>
      <w:spacing w:after="0" w:line="240" w:lineRule="auto"/>
    </w:pPr>
    <w:rPr>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487A7F"/>
    <w:pPr>
      <w:spacing w:after="0" w:line="240" w:lineRule="auto"/>
    </w:pPr>
    <w:rPr>
      <w:kern w:val="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tcBorders>
        <w:shd w:val="clear" w:color="auto" w:fill="156082" w:themeFill="accent1"/>
      </w:tcPr>
    </w:tblStylePr>
    <w:tblStylePr w:type="lastRow">
      <w:rPr>
        <w:b/>
        <w:bCs/>
      </w:rPr>
      <w:tblPr/>
      <w:tcPr>
        <w:tcBorders>
          <w:top w:val="doub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ListTable4-Accent2">
    <w:name w:val="List Table 4 Accent 2"/>
    <w:basedOn w:val="TableNormal"/>
    <w:uiPriority w:val="49"/>
    <w:rsid w:val="00487A7F"/>
    <w:pPr>
      <w:spacing w:after="0" w:line="240" w:lineRule="auto"/>
    </w:pPr>
    <w:rPr>
      <w:kern w:val="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tcBorders>
        <w:shd w:val="clear" w:color="auto" w:fill="E97132" w:themeFill="accent2"/>
      </w:tcPr>
    </w:tblStylePr>
    <w:tblStylePr w:type="lastRow">
      <w:rPr>
        <w:b/>
        <w:bCs/>
      </w:rPr>
      <w:tblPr/>
      <w:tcPr>
        <w:tcBorders>
          <w:top w:val="doub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ListTable4-Accent3">
    <w:name w:val="List Table 4 Accent 3"/>
    <w:basedOn w:val="TableNormal"/>
    <w:uiPriority w:val="49"/>
    <w:rsid w:val="00487A7F"/>
    <w:pPr>
      <w:spacing w:after="0" w:line="240" w:lineRule="auto"/>
    </w:pPr>
    <w:rPr>
      <w:kern w:val="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tblBorders>
    </w:tblPr>
    <w:tblStylePr w:type="firstRow">
      <w:rPr>
        <w:b/>
        <w:bCs/>
        <w:color w:val="FFFFFF" w:themeColor="background1"/>
      </w:rPr>
      <w:tblPr/>
      <w:tcPr>
        <w:tcBorders>
          <w:top w:val="single" w:sz="4" w:space="0" w:color="196B24" w:themeColor="accent3"/>
          <w:left w:val="single" w:sz="4" w:space="0" w:color="196B24" w:themeColor="accent3"/>
          <w:bottom w:val="single" w:sz="4" w:space="0" w:color="196B24" w:themeColor="accent3"/>
          <w:right w:val="single" w:sz="4" w:space="0" w:color="196B24" w:themeColor="accent3"/>
          <w:insideH w:val="nil"/>
        </w:tcBorders>
        <w:shd w:val="clear" w:color="auto" w:fill="196B24" w:themeFill="accent3"/>
      </w:tcPr>
    </w:tblStylePr>
    <w:tblStylePr w:type="lastRow">
      <w:rPr>
        <w:b/>
        <w:bCs/>
      </w:rPr>
      <w:tblPr/>
      <w:tcPr>
        <w:tcBorders>
          <w:top w:val="doub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ListTable4-Accent4">
    <w:name w:val="List Table 4 Accent 4"/>
    <w:basedOn w:val="TableNormal"/>
    <w:uiPriority w:val="49"/>
    <w:rsid w:val="00487A7F"/>
    <w:pPr>
      <w:spacing w:after="0" w:line="240" w:lineRule="auto"/>
    </w:pPr>
    <w:rPr>
      <w:kern w:val="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tcBorders>
        <w:shd w:val="clear" w:color="auto" w:fill="0F9ED5" w:themeFill="accent4"/>
      </w:tcPr>
    </w:tblStylePr>
    <w:tblStylePr w:type="lastRow">
      <w:rPr>
        <w:b/>
        <w:bCs/>
      </w:rPr>
      <w:tblPr/>
      <w:tcPr>
        <w:tcBorders>
          <w:top w:val="double" w:sz="4" w:space="0" w:color="60CAF3" w:themeColor="accent4" w:themeTint="99"/>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Accent5">
    <w:name w:val="List Table 4 Accent 5"/>
    <w:basedOn w:val="TableNormal"/>
    <w:uiPriority w:val="49"/>
    <w:rsid w:val="00487A7F"/>
    <w:pPr>
      <w:spacing w:after="0" w:line="240" w:lineRule="auto"/>
    </w:pPr>
    <w:rPr>
      <w:kern w:val="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tcBorders>
        <w:shd w:val="clear" w:color="auto" w:fill="A02B93" w:themeFill="accent5"/>
      </w:tcPr>
    </w:tblStylePr>
    <w:tblStylePr w:type="lastRow">
      <w:rPr>
        <w:b/>
        <w:bCs/>
      </w:rPr>
      <w:tblPr/>
      <w:tcPr>
        <w:tcBorders>
          <w:top w:val="double" w:sz="4" w:space="0" w:color="D86DCB" w:themeColor="accent5" w:themeTint="99"/>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ListTable4-Accent6">
    <w:name w:val="List Table 4 Accent 6"/>
    <w:basedOn w:val="TableNormal"/>
    <w:uiPriority w:val="49"/>
    <w:rsid w:val="00487A7F"/>
    <w:pPr>
      <w:spacing w:after="0" w:line="240" w:lineRule="auto"/>
    </w:pPr>
    <w:rPr>
      <w:kern w:val="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tblBorders>
    </w:tblPr>
    <w:tblStylePr w:type="firstRow">
      <w:rPr>
        <w:b/>
        <w:bCs/>
        <w:color w:val="FFFFFF" w:themeColor="background1"/>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insideH w:val="nil"/>
        </w:tcBorders>
        <w:shd w:val="clear" w:color="auto" w:fill="4EA72E" w:themeFill="accent6"/>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ListTable5Dark">
    <w:name w:val="List Table 5 Dark"/>
    <w:basedOn w:val="TableNormal"/>
    <w:uiPriority w:val="50"/>
    <w:rsid w:val="00487A7F"/>
    <w:pPr>
      <w:spacing w:after="0" w:line="240" w:lineRule="auto"/>
    </w:pPr>
    <w:rPr>
      <w:color w:val="FFFFFF" w:themeColor="background1"/>
      <w:kern w:val="0"/>
      <w14:ligatures w14:val="none"/>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487A7F"/>
    <w:pPr>
      <w:spacing w:after="0" w:line="240" w:lineRule="auto"/>
    </w:pPr>
    <w:rPr>
      <w:color w:val="FFFFFF" w:themeColor="background1"/>
      <w:kern w:val="0"/>
      <w14:ligatures w14:val="none"/>
    </w:rPr>
    <w:tblPr>
      <w:tblStyleRowBandSize w:val="1"/>
      <w:tblStyleColBandSize w:val="1"/>
      <w:tblBorders>
        <w:top w:val="single" w:sz="24" w:space="0" w:color="156082" w:themeColor="accent1"/>
        <w:left w:val="single" w:sz="24" w:space="0" w:color="156082" w:themeColor="accent1"/>
        <w:bottom w:val="single" w:sz="24" w:space="0" w:color="156082" w:themeColor="accent1"/>
        <w:right w:val="single" w:sz="24" w:space="0" w:color="156082" w:themeColor="accent1"/>
      </w:tblBorders>
    </w:tblPr>
    <w:tcPr>
      <w:shd w:val="clear" w:color="auto" w:fill="15608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487A7F"/>
    <w:pPr>
      <w:spacing w:after="0" w:line="240" w:lineRule="auto"/>
    </w:pPr>
    <w:rPr>
      <w:color w:val="FFFFFF" w:themeColor="background1"/>
      <w:kern w:val="0"/>
      <w14:ligatures w14:val="none"/>
    </w:rPr>
    <w:tblPr>
      <w:tblStyleRowBandSize w:val="1"/>
      <w:tblStyleColBandSize w:val="1"/>
      <w:tblBorders>
        <w:top w:val="single" w:sz="24" w:space="0" w:color="E97132" w:themeColor="accent2"/>
        <w:left w:val="single" w:sz="24" w:space="0" w:color="E97132" w:themeColor="accent2"/>
        <w:bottom w:val="single" w:sz="24" w:space="0" w:color="E97132" w:themeColor="accent2"/>
        <w:right w:val="single" w:sz="24" w:space="0" w:color="E97132" w:themeColor="accent2"/>
      </w:tblBorders>
    </w:tblPr>
    <w:tcPr>
      <w:shd w:val="clear" w:color="auto" w:fill="E97132"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487A7F"/>
    <w:pPr>
      <w:spacing w:after="0" w:line="240" w:lineRule="auto"/>
    </w:pPr>
    <w:rPr>
      <w:color w:val="FFFFFF" w:themeColor="background1"/>
      <w:kern w:val="0"/>
      <w14:ligatures w14:val="none"/>
    </w:rPr>
    <w:tblPr>
      <w:tblStyleRowBandSize w:val="1"/>
      <w:tblStyleColBandSize w:val="1"/>
      <w:tblBorders>
        <w:top w:val="single" w:sz="24" w:space="0" w:color="196B24" w:themeColor="accent3"/>
        <w:left w:val="single" w:sz="24" w:space="0" w:color="196B24" w:themeColor="accent3"/>
        <w:bottom w:val="single" w:sz="24" w:space="0" w:color="196B24" w:themeColor="accent3"/>
        <w:right w:val="single" w:sz="24" w:space="0" w:color="196B24" w:themeColor="accent3"/>
      </w:tblBorders>
    </w:tblPr>
    <w:tcPr>
      <w:shd w:val="clear" w:color="auto" w:fill="196B24"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487A7F"/>
    <w:pPr>
      <w:spacing w:after="0" w:line="240" w:lineRule="auto"/>
    </w:pPr>
    <w:rPr>
      <w:color w:val="FFFFFF" w:themeColor="background1"/>
      <w:kern w:val="0"/>
      <w14:ligatures w14:val="none"/>
    </w:rPr>
    <w:tblPr>
      <w:tblStyleRowBandSize w:val="1"/>
      <w:tblStyleColBandSize w:val="1"/>
      <w:tblBorders>
        <w:top w:val="single" w:sz="24" w:space="0" w:color="0F9ED5" w:themeColor="accent4"/>
        <w:left w:val="single" w:sz="24" w:space="0" w:color="0F9ED5" w:themeColor="accent4"/>
        <w:bottom w:val="single" w:sz="24" w:space="0" w:color="0F9ED5" w:themeColor="accent4"/>
        <w:right w:val="single" w:sz="24" w:space="0" w:color="0F9ED5" w:themeColor="accent4"/>
      </w:tblBorders>
    </w:tblPr>
    <w:tcPr>
      <w:shd w:val="clear" w:color="auto" w:fill="0F9ED5"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487A7F"/>
    <w:pPr>
      <w:spacing w:after="0" w:line="240" w:lineRule="auto"/>
    </w:pPr>
    <w:rPr>
      <w:color w:val="FFFFFF" w:themeColor="background1"/>
      <w:kern w:val="0"/>
      <w14:ligatures w14:val="none"/>
    </w:rPr>
    <w:tblPr>
      <w:tblStyleRowBandSize w:val="1"/>
      <w:tblStyleColBandSize w:val="1"/>
      <w:tblBorders>
        <w:top w:val="single" w:sz="24" w:space="0" w:color="A02B93" w:themeColor="accent5"/>
        <w:left w:val="single" w:sz="24" w:space="0" w:color="A02B93" w:themeColor="accent5"/>
        <w:bottom w:val="single" w:sz="24" w:space="0" w:color="A02B93" w:themeColor="accent5"/>
        <w:right w:val="single" w:sz="24" w:space="0" w:color="A02B93" w:themeColor="accent5"/>
      </w:tblBorders>
    </w:tblPr>
    <w:tcPr>
      <w:shd w:val="clear" w:color="auto" w:fill="A02B93"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487A7F"/>
    <w:pPr>
      <w:spacing w:after="0" w:line="240" w:lineRule="auto"/>
    </w:pPr>
    <w:rPr>
      <w:color w:val="FFFFFF" w:themeColor="background1"/>
      <w:kern w:val="0"/>
      <w14:ligatures w14:val="none"/>
    </w:rPr>
    <w:tblPr>
      <w:tblStyleRowBandSize w:val="1"/>
      <w:tblStyleColBandSize w:val="1"/>
      <w:tblBorders>
        <w:top w:val="single" w:sz="24" w:space="0" w:color="4EA72E" w:themeColor="accent6"/>
        <w:left w:val="single" w:sz="24" w:space="0" w:color="4EA72E" w:themeColor="accent6"/>
        <w:bottom w:val="single" w:sz="24" w:space="0" w:color="4EA72E" w:themeColor="accent6"/>
        <w:right w:val="single" w:sz="24" w:space="0" w:color="4EA72E" w:themeColor="accent6"/>
      </w:tblBorders>
    </w:tblPr>
    <w:tcPr>
      <w:shd w:val="clear" w:color="auto" w:fill="4EA72E"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487A7F"/>
    <w:pPr>
      <w:spacing w:after="0" w:line="240" w:lineRule="auto"/>
    </w:pPr>
    <w:rPr>
      <w:color w:val="000000" w:themeColor="text1"/>
      <w:kern w:val="0"/>
      <w14:ligatures w14:val="none"/>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487A7F"/>
    <w:pPr>
      <w:spacing w:after="0" w:line="240" w:lineRule="auto"/>
    </w:pPr>
    <w:rPr>
      <w:color w:val="0F4761" w:themeColor="accent1" w:themeShade="BF"/>
      <w:kern w:val="0"/>
      <w14:ligatures w14:val="none"/>
    </w:rPr>
    <w:tblPr>
      <w:tblStyleRowBandSize w:val="1"/>
      <w:tblStyleColBandSize w:val="1"/>
      <w:tblBorders>
        <w:top w:val="single" w:sz="4" w:space="0" w:color="156082" w:themeColor="accent1"/>
        <w:bottom w:val="single" w:sz="4" w:space="0" w:color="156082" w:themeColor="accent1"/>
      </w:tblBorders>
    </w:tblPr>
    <w:tblStylePr w:type="firstRow">
      <w:rPr>
        <w:b/>
        <w:bCs/>
      </w:rPr>
      <w:tblPr/>
      <w:tcPr>
        <w:tcBorders>
          <w:bottom w:val="single" w:sz="4" w:space="0" w:color="156082" w:themeColor="accent1"/>
        </w:tcBorders>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ListTable6Colorful-Accent2">
    <w:name w:val="List Table 6 Colorful Accent 2"/>
    <w:basedOn w:val="TableNormal"/>
    <w:uiPriority w:val="51"/>
    <w:rsid w:val="00487A7F"/>
    <w:pPr>
      <w:spacing w:after="0" w:line="240" w:lineRule="auto"/>
    </w:pPr>
    <w:rPr>
      <w:color w:val="BF4E14" w:themeColor="accent2" w:themeShade="BF"/>
      <w:kern w:val="0"/>
      <w14:ligatures w14:val="none"/>
    </w:rPr>
    <w:tblPr>
      <w:tblStyleRowBandSize w:val="1"/>
      <w:tblStyleColBandSize w:val="1"/>
      <w:tblBorders>
        <w:top w:val="single" w:sz="4" w:space="0" w:color="E97132" w:themeColor="accent2"/>
        <w:bottom w:val="single" w:sz="4" w:space="0" w:color="E97132" w:themeColor="accent2"/>
      </w:tblBorders>
    </w:tblPr>
    <w:tblStylePr w:type="firstRow">
      <w:rPr>
        <w:b/>
        <w:bCs/>
      </w:rPr>
      <w:tblPr/>
      <w:tcPr>
        <w:tcBorders>
          <w:bottom w:val="single" w:sz="4" w:space="0" w:color="E97132" w:themeColor="accent2"/>
        </w:tcBorders>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ListTable6Colorful-Accent3">
    <w:name w:val="List Table 6 Colorful Accent 3"/>
    <w:basedOn w:val="TableNormal"/>
    <w:uiPriority w:val="51"/>
    <w:rsid w:val="00487A7F"/>
    <w:pPr>
      <w:spacing w:after="0" w:line="240" w:lineRule="auto"/>
    </w:pPr>
    <w:rPr>
      <w:color w:val="124F1A" w:themeColor="accent3" w:themeShade="BF"/>
      <w:kern w:val="0"/>
      <w14:ligatures w14:val="none"/>
    </w:rPr>
    <w:tblPr>
      <w:tblStyleRowBandSize w:val="1"/>
      <w:tblStyleColBandSize w:val="1"/>
      <w:tblBorders>
        <w:top w:val="single" w:sz="4" w:space="0" w:color="196B24" w:themeColor="accent3"/>
        <w:bottom w:val="single" w:sz="4" w:space="0" w:color="196B24" w:themeColor="accent3"/>
      </w:tblBorders>
    </w:tblPr>
    <w:tblStylePr w:type="firstRow">
      <w:rPr>
        <w:b/>
        <w:bCs/>
      </w:rPr>
      <w:tblPr/>
      <w:tcPr>
        <w:tcBorders>
          <w:bottom w:val="single" w:sz="4" w:space="0" w:color="196B24" w:themeColor="accent3"/>
        </w:tcBorders>
      </w:tcPr>
    </w:tblStylePr>
    <w:tblStylePr w:type="lastRow">
      <w:rPr>
        <w:b/>
        <w:bCs/>
      </w:rPr>
      <w:tblPr/>
      <w:tcPr>
        <w:tcBorders>
          <w:top w:val="double" w:sz="4" w:space="0" w:color="196B24" w:themeColor="accent3"/>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ListTable6Colorful-Accent4">
    <w:name w:val="List Table 6 Colorful Accent 4"/>
    <w:basedOn w:val="TableNormal"/>
    <w:uiPriority w:val="51"/>
    <w:rsid w:val="00487A7F"/>
    <w:pPr>
      <w:spacing w:after="0" w:line="240" w:lineRule="auto"/>
    </w:pPr>
    <w:rPr>
      <w:color w:val="0B769F" w:themeColor="accent4" w:themeShade="BF"/>
      <w:kern w:val="0"/>
      <w14:ligatures w14:val="none"/>
    </w:rPr>
    <w:tblPr>
      <w:tblStyleRowBandSize w:val="1"/>
      <w:tblStyleColBandSize w:val="1"/>
      <w:tblBorders>
        <w:top w:val="single" w:sz="4" w:space="0" w:color="0F9ED5" w:themeColor="accent4"/>
        <w:bottom w:val="single" w:sz="4" w:space="0" w:color="0F9ED5" w:themeColor="accent4"/>
      </w:tblBorders>
    </w:tblPr>
    <w:tblStylePr w:type="firstRow">
      <w:rPr>
        <w:b/>
        <w:bCs/>
      </w:rPr>
      <w:tblPr/>
      <w:tcPr>
        <w:tcBorders>
          <w:bottom w:val="single" w:sz="4" w:space="0" w:color="0F9ED5" w:themeColor="accent4"/>
        </w:tcBorders>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6Colorful-Accent5">
    <w:name w:val="List Table 6 Colorful Accent 5"/>
    <w:basedOn w:val="TableNormal"/>
    <w:uiPriority w:val="51"/>
    <w:rsid w:val="00487A7F"/>
    <w:pPr>
      <w:spacing w:after="0" w:line="240" w:lineRule="auto"/>
    </w:pPr>
    <w:rPr>
      <w:color w:val="77206D" w:themeColor="accent5" w:themeShade="BF"/>
      <w:kern w:val="0"/>
      <w14:ligatures w14:val="none"/>
    </w:rPr>
    <w:tblPr>
      <w:tblStyleRowBandSize w:val="1"/>
      <w:tblStyleColBandSize w:val="1"/>
      <w:tblBorders>
        <w:top w:val="single" w:sz="4" w:space="0" w:color="A02B93" w:themeColor="accent5"/>
        <w:bottom w:val="single" w:sz="4" w:space="0" w:color="A02B93" w:themeColor="accent5"/>
      </w:tblBorders>
    </w:tblPr>
    <w:tblStylePr w:type="firstRow">
      <w:rPr>
        <w:b/>
        <w:bCs/>
      </w:rPr>
      <w:tblPr/>
      <w:tcPr>
        <w:tcBorders>
          <w:bottom w:val="single" w:sz="4" w:space="0" w:color="A02B93" w:themeColor="accent5"/>
        </w:tcBorders>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ListTable6Colorful-Accent6">
    <w:name w:val="List Table 6 Colorful Accent 6"/>
    <w:basedOn w:val="TableNormal"/>
    <w:uiPriority w:val="51"/>
    <w:rsid w:val="00487A7F"/>
    <w:pPr>
      <w:spacing w:after="0" w:line="240" w:lineRule="auto"/>
    </w:pPr>
    <w:rPr>
      <w:color w:val="3A7C22" w:themeColor="accent6" w:themeShade="BF"/>
      <w:kern w:val="0"/>
      <w14:ligatures w14:val="none"/>
    </w:rPr>
    <w:tblPr>
      <w:tblStyleRowBandSize w:val="1"/>
      <w:tblStyleColBandSize w:val="1"/>
      <w:tblBorders>
        <w:top w:val="single" w:sz="4" w:space="0" w:color="4EA72E" w:themeColor="accent6"/>
        <w:bottom w:val="single" w:sz="4" w:space="0" w:color="4EA72E" w:themeColor="accent6"/>
      </w:tblBorders>
    </w:tblPr>
    <w:tblStylePr w:type="firstRow">
      <w:rPr>
        <w:b/>
        <w:bCs/>
      </w:rPr>
      <w:tblPr/>
      <w:tcPr>
        <w:tcBorders>
          <w:bottom w:val="single" w:sz="4" w:space="0" w:color="4EA72E" w:themeColor="accent6"/>
        </w:tcBorders>
      </w:tcPr>
    </w:tblStylePr>
    <w:tblStylePr w:type="lastRow">
      <w:rPr>
        <w:b/>
        <w:bCs/>
      </w:rPr>
      <w:tblPr/>
      <w:tcPr>
        <w:tcBorders>
          <w:top w:val="double" w:sz="4" w:space="0" w:color="4EA72E" w:themeColor="accent6"/>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ListTable7Colorful">
    <w:name w:val="List Table 7 Colorful"/>
    <w:basedOn w:val="TableNormal"/>
    <w:uiPriority w:val="52"/>
    <w:rsid w:val="00487A7F"/>
    <w:pPr>
      <w:spacing w:after="0" w:line="240" w:lineRule="auto"/>
    </w:pPr>
    <w:rPr>
      <w:color w:val="000000" w:themeColor="text1"/>
      <w:kern w:val="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487A7F"/>
    <w:pPr>
      <w:spacing w:after="0" w:line="240" w:lineRule="auto"/>
    </w:pPr>
    <w:rPr>
      <w:color w:val="0F4761" w:themeColor="accent1" w:themeShade="BF"/>
      <w:kern w:val="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487A7F"/>
    <w:pPr>
      <w:spacing w:after="0" w:line="240" w:lineRule="auto"/>
    </w:pPr>
    <w:rPr>
      <w:color w:val="BF4E14" w:themeColor="accent2" w:themeShade="BF"/>
      <w:kern w:val="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97132"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97132"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97132"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97132" w:themeColor="accent2"/>
        </w:tcBorders>
        <w:shd w:val="clear" w:color="auto" w:fill="FFFFFF" w:themeFill="background1"/>
      </w:tcPr>
    </w:tblStylePr>
    <w:tblStylePr w:type="band1Vert">
      <w:tblPr/>
      <w:tcPr>
        <w:shd w:val="clear" w:color="auto" w:fill="FAE2D5" w:themeFill="accent2" w:themeFillTint="33"/>
      </w:tcPr>
    </w:tblStylePr>
    <w:tblStylePr w:type="band1Horz">
      <w:tblPr/>
      <w:tcPr>
        <w:shd w:val="clear" w:color="auto" w:fill="FAE2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487A7F"/>
    <w:pPr>
      <w:spacing w:after="0" w:line="240" w:lineRule="auto"/>
    </w:pPr>
    <w:rPr>
      <w:color w:val="124F1A" w:themeColor="accent3" w:themeShade="BF"/>
      <w:kern w:val="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96B2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96B2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96B2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96B24" w:themeColor="accent3"/>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487A7F"/>
    <w:pPr>
      <w:spacing w:after="0" w:line="240" w:lineRule="auto"/>
    </w:pPr>
    <w:rPr>
      <w:color w:val="0B769F" w:themeColor="accent4" w:themeShade="BF"/>
      <w:kern w:val="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F9ED5"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F9ED5"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F9ED5"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F9ED5" w:themeColor="accent4"/>
        </w:tcBorders>
        <w:shd w:val="clear" w:color="auto" w:fill="FFFFFF" w:themeFill="background1"/>
      </w:tcPr>
    </w:tblStylePr>
    <w:tblStylePr w:type="band1Vert">
      <w:tblPr/>
      <w:tcPr>
        <w:shd w:val="clear" w:color="auto" w:fill="CAEDFB" w:themeFill="accent4" w:themeFillTint="33"/>
      </w:tcPr>
    </w:tblStylePr>
    <w:tblStylePr w:type="band1Horz">
      <w:tblPr/>
      <w:tcPr>
        <w:shd w:val="clear" w:color="auto" w:fill="CAEDFB"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487A7F"/>
    <w:pPr>
      <w:spacing w:after="0" w:line="240" w:lineRule="auto"/>
    </w:pPr>
    <w:rPr>
      <w:color w:val="77206D" w:themeColor="accent5" w:themeShade="BF"/>
      <w:kern w:val="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02B93"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02B93"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02B93"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02B93" w:themeColor="accent5"/>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487A7F"/>
    <w:pPr>
      <w:spacing w:after="0" w:line="240" w:lineRule="auto"/>
    </w:pPr>
    <w:rPr>
      <w:color w:val="3A7C22" w:themeColor="accent6" w:themeShade="BF"/>
      <w:kern w:val="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EA72E"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EA72E"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EA72E"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EA72E" w:themeColor="accent6"/>
        </w:tcBorders>
        <w:shd w:val="clear" w:color="auto" w:fill="FFFFFF" w:themeFill="background1"/>
      </w:tcPr>
    </w:tblStylePr>
    <w:tblStylePr w:type="band1Vert">
      <w:tblPr/>
      <w:tcPr>
        <w:shd w:val="clear" w:color="auto" w:fill="D9F2D0" w:themeFill="accent6" w:themeFillTint="33"/>
      </w:tcPr>
    </w:tblStylePr>
    <w:tblStylePr w:type="band1Horz">
      <w:tblPr/>
      <w:tcPr>
        <w:shd w:val="clear" w:color="auto" w:fill="D9F2D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semiHidden/>
    <w:rsid w:val="00487A7F"/>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PMingLiU" w:hAnsi="Courier New" w:cs="Courier New"/>
      <w:color w:val="000000"/>
      <w:kern w:val="0"/>
      <w:sz w:val="20"/>
      <w:szCs w:val="20"/>
      <w:lang w:bidi="ar-DZ"/>
      <w14:ligatures w14:val="none"/>
    </w:rPr>
  </w:style>
  <w:style w:type="character" w:customStyle="1" w:styleId="MacroTextChar">
    <w:name w:val="Macro Text Char"/>
    <w:basedOn w:val="DefaultParagraphFont"/>
    <w:link w:val="MacroText"/>
    <w:semiHidden/>
    <w:rsid w:val="00487A7F"/>
    <w:rPr>
      <w:rFonts w:ascii="Courier New" w:eastAsia="PMingLiU" w:hAnsi="Courier New" w:cs="Courier New"/>
      <w:color w:val="000000"/>
      <w:kern w:val="0"/>
      <w:sz w:val="20"/>
      <w:szCs w:val="20"/>
      <w:lang w:bidi="ar-DZ"/>
      <w14:ligatures w14:val="none"/>
    </w:rPr>
  </w:style>
  <w:style w:type="table" w:styleId="MediumGrid1">
    <w:name w:val="Medium Grid 1"/>
    <w:basedOn w:val="TableNormal"/>
    <w:uiPriority w:val="67"/>
    <w:semiHidden/>
    <w:unhideWhenUsed/>
    <w:rsid w:val="00487A7F"/>
    <w:pPr>
      <w:spacing w:after="0" w:line="240" w:lineRule="auto"/>
    </w:pPr>
    <w:rPr>
      <w:kern w:val="0"/>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487A7F"/>
    <w:pPr>
      <w:spacing w:after="0" w:line="240" w:lineRule="auto"/>
    </w:pPr>
    <w:rPr>
      <w:kern w:val="0"/>
      <w14:ligatures w14:val="none"/>
    </w:r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insideV w:val="single" w:sz="8" w:space="0" w:color="2198CF" w:themeColor="accent1" w:themeTint="BF"/>
      </w:tblBorders>
    </w:tblPr>
    <w:tcPr>
      <w:shd w:val="clear" w:color="auto" w:fill="B2DEF2" w:themeFill="accent1" w:themeFillTint="3F"/>
    </w:tcPr>
    <w:tblStylePr w:type="firstRow">
      <w:rPr>
        <w:b/>
        <w:bCs/>
      </w:rPr>
    </w:tblStylePr>
    <w:tblStylePr w:type="lastRow">
      <w:rPr>
        <w:b/>
        <w:bCs/>
      </w:rPr>
      <w:tblPr/>
      <w:tcPr>
        <w:tcBorders>
          <w:top w:val="single" w:sz="18" w:space="0" w:color="2198CF" w:themeColor="accent1" w:themeTint="BF"/>
        </w:tcBorders>
      </w:tcPr>
    </w:tblStylePr>
    <w:tblStylePr w:type="firstCol">
      <w:rPr>
        <w:b/>
        <w:bCs/>
      </w:rPr>
    </w:tblStylePr>
    <w:tblStylePr w:type="lastCol">
      <w:rPr>
        <w:b/>
        <w:bCs/>
      </w:r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MediumGrid1-Accent2">
    <w:name w:val="Medium Grid 1 Accent 2"/>
    <w:basedOn w:val="TableNormal"/>
    <w:uiPriority w:val="67"/>
    <w:semiHidden/>
    <w:unhideWhenUsed/>
    <w:rsid w:val="00487A7F"/>
    <w:pPr>
      <w:spacing w:after="0" w:line="240" w:lineRule="auto"/>
    </w:pPr>
    <w:rPr>
      <w:kern w:val="0"/>
      <w14:ligatures w14:val="none"/>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insideV w:val="single" w:sz="8" w:space="0" w:color="EE9465" w:themeColor="accent2" w:themeTint="BF"/>
      </w:tblBorders>
    </w:tblPr>
    <w:tcPr>
      <w:shd w:val="clear" w:color="auto" w:fill="F9DBCC" w:themeFill="accent2" w:themeFillTint="3F"/>
    </w:tcPr>
    <w:tblStylePr w:type="firstRow">
      <w:rPr>
        <w:b/>
        <w:bCs/>
      </w:rPr>
    </w:tblStylePr>
    <w:tblStylePr w:type="lastRow">
      <w:rPr>
        <w:b/>
        <w:bCs/>
      </w:rPr>
      <w:tblPr/>
      <w:tcPr>
        <w:tcBorders>
          <w:top w:val="single" w:sz="18" w:space="0" w:color="EE9465" w:themeColor="accent2" w:themeTint="BF"/>
        </w:tcBorders>
      </w:tcPr>
    </w:tblStylePr>
    <w:tblStylePr w:type="firstCol">
      <w:rPr>
        <w:b/>
        <w:bCs/>
      </w:rPr>
    </w:tblStylePr>
    <w:tblStylePr w:type="lastCol">
      <w:rPr>
        <w:b/>
        <w:bCs/>
      </w:r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MediumGrid1-Accent3">
    <w:name w:val="Medium Grid 1 Accent 3"/>
    <w:basedOn w:val="TableNormal"/>
    <w:uiPriority w:val="67"/>
    <w:semiHidden/>
    <w:unhideWhenUsed/>
    <w:rsid w:val="00487A7F"/>
    <w:pPr>
      <w:spacing w:after="0" w:line="240" w:lineRule="auto"/>
    </w:pPr>
    <w:rPr>
      <w:kern w:val="0"/>
      <w14:ligatures w14:val="none"/>
    </w:r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insideV w:val="single" w:sz="8" w:space="0" w:color="2BB73D" w:themeColor="accent3" w:themeTint="BF"/>
      </w:tblBorders>
    </w:tblPr>
    <w:tcPr>
      <w:shd w:val="clear" w:color="auto" w:fill="B3EDBA" w:themeFill="accent3" w:themeFillTint="3F"/>
    </w:tcPr>
    <w:tblStylePr w:type="firstRow">
      <w:rPr>
        <w:b/>
        <w:bCs/>
      </w:rPr>
    </w:tblStylePr>
    <w:tblStylePr w:type="lastRow">
      <w:rPr>
        <w:b/>
        <w:bCs/>
      </w:rPr>
      <w:tblPr/>
      <w:tcPr>
        <w:tcBorders>
          <w:top w:val="single" w:sz="18" w:space="0" w:color="2BB73D" w:themeColor="accent3" w:themeTint="BF"/>
        </w:tcBorders>
      </w:tcPr>
    </w:tblStylePr>
    <w:tblStylePr w:type="firstCol">
      <w:rPr>
        <w:b/>
        <w:bCs/>
      </w:rPr>
    </w:tblStylePr>
    <w:tblStylePr w:type="lastCol">
      <w:rPr>
        <w:b/>
        <w:bCs/>
      </w:r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MediumGrid1-Accent4">
    <w:name w:val="Medium Grid 1 Accent 4"/>
    <w:basedOn w:val="TableNormal"/>
    <w:uiPriority w:val="67"/>
    <w:semiHidden/>
    <w:unhideWhenUsed/>
    <w:rsid w:val="00487A7F"/>
    <w:pPr>
      <w:spacing w:after="0" w:line="240" w:lineRule="auto"/>
    </w:pPr>
    <w:rPr>
      <w:kern w:val="0"/>
      <w14:ligatures w14:val="none"/>
    </w:r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insideV w:val="single" w:sz="8" w:space="0" w:color="39BEF1" w:themeColor="accent4" w:themeTint="BF"/>
      </w:tblBorders>
    </w:tblPr>
    <w:tcPr>
      <w:shd w:val="clear" w:color="auto" w:fill="BDE9FA" w:themeFill="accent4" w:themeFillTint="3F"/>
    </w:tcPr>
    <w:tblStylePr w:type="firstRow">
      <w:rPr>
        <w:b/>
        <w:bCs/>
      </w:rPr>
    </w:tblStylePr>
    <w:tblStylePr w:type="lastRow">
      <w:rPr>
        <w:b/>
        <w:bCs/>
      </w:rPr>
      <w:tblPr/>
      <w:tcPr>
        <w:tcBorders>
          <w:top w:val="single" w:sz="18" w:space="0" w:color="39BEF1" w:themeColor="accent4" w:themeTint="BF"/>
        </w:tcBorders>
      </w:tcPr>
    </w:tblStylePr>
    <w:tblStylePr w:type="firstCol">
      <w:rPr>
        <w:b/>
        <w:bCs/>
      </w:rPr>
    </w:tblStylePr>
    <w:tblStylePr w:type="lastCol">
      <w:rPr>
        <w:b/>
        <w:bCs/>
      </w:r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MediumGrid1-Accent5">
    <w:name w:val="Medium Grid 1 Accent 5"/>
    <w:basedOn w:val="TableNormal"/>
    <w:uiPriority w:val="67"/>
    <w:semiHidden/>
    <w:unhideWhenUsed/>
    <w:rsid w:val="00487A7F"/>
    <w:pPr>
      <w:spacing w:after="0" w:line="240" w:lineRule="auto"/>
    </w:pPr>
    <w:rPr>
      <w:kern w:val="0"/>
      <w14:ligatures w14:val="none"/>
    </w:r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insideV w:val="single" w:sz="8" w:space="0" w:color="CE49BF" w:themeColor="accent5" w:themeTint="BF"/>
      </w:tblBorders>
    </w:tblPr>
    <w:tcPr>
      <w:shd w:val="clear" w:color="auto" w:fill="EFC3E9" w:themeFill="accent5" w:themeFillTint="3F"/>
    </w:tcPr>
    <w:tblStylePr w:type="firstRow">
      <w:rPr>
        <w:b/>
        <w:bCs/>
      </w:rPr>
    </w:tblStylePr>
    <w:tblStylePr w:type="lastRow">
      <w:rPr>
        <w:b/>
        <w:bCs/>
      </w:rPr>
      <w:tblPr/>
      <w:tcPr>
        <w:tcBorders>
          <w:top w:val="single" w:sz="18" w:space="0" w:color="CE49BF" w:themeColor="accent5" w:themeTint="BF"/>
        </w:tcBorders>
      </w:tcPr>
    </w:tblStylePr>
    <w:tblStylePr w:type="firstCol">
      <w:rPr>
        <w:b/>
        <w:bCs/>
      </w:rPr>
    </w:tblStylePr>
    <w:tblStylePr w:type="lastCol">
      <w:rPr>
        <w:b/>
        <w:bCs/>
      </w:r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MediumGrid1-Accent6">
    <w:name w:val="Medium Grid 1 Accent 6"/>
    <w:basedOn w:val="TableNormal"/>
    <w:uiPriority w:val="67"/>
    <w:semiHidden/>
    <w:unhideWhenUsed/>
    <w:rsid w:val="00487A7F"/>
    <w:pPr>
      <w:spacing w:after="0" w:line="240" w:lineRule="auto"/>
    </w:pPr>
    <w:rPr>
      <w:kern w:val="0"/>
      <w14:ligatures w14:val="none"/>
    </w:r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insideV w:val="single" w:sz="8" w:space="0" w:color="71CF50" w:themeColor="accent6" w:themeTint="BF"/>
      </w:tblBorders>
    </w:tblPr>
    <w:tcPr>
      <w:shd w:val="clear" w:color="auto" w:fill="D0EFC5" w:themeFill="accent6" w:themeFillTint="3F"/>
    </w:tcPr>
    <w:tblStylePr w:type="firstRow">
      <w:rPr>
        <w:b/>
        <w:bCs/>
      </w:rPr>
    </w:tblStylePr>
    <w:tblStylePr w:type="lastRow">
      <w:rPr>
        <w:b/>
        <w:bCs/>
      </w:rPr>
      <w:tblPr/>
      <w:tcPr>
        <w:tcBorders>
          <w:top w:val="single" w:sz="18" w:space="0" w:color="71CF50" w:themeColor="accent6" w:themeTint="BF"/>
        </w:tcBorders>
      </w:tcPr>
    </w:tblStylePr>
    <w:tblStylePr w:type="firstCol">
      <w:rPr>
        <w:b/>
        <w:bCs/>
      </w:rPr>
    </w:tblStylePr>
    <w:tblStylePr w:type="lastCol">
      <w:rPr>
        <w:b/>
        <w:bCs/>
      </w:r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MediumGrid2">
    <w:name w:val="Medium Grid 2"/>
    <w:basedOn w:val="TableNormal"/>
    <w:uiPriority w:val="68"/>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cPr>
      <w:shd w:val="clear" w:color="auto" w:fill="B2DEF2" w:themeFill="accent1" w:themeFillTint="3F"/>
    </w:tcPr>
    <w:tblStylePr w:type="firstRow">
      <w:rPr>
        <w:b/>
        <w:bCs/>
        <w:color w:val="000000" w:themeColor="text1"/>
      </w:rPr>
      <w:tblPr/>
      <w:tcPr>
        <w:shd w:val="clear" w:color="auto" w:fill="E0F2FA"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4F5" w:themeFill="accent1" w:themeFillTint="33"/>
      </w:tcPr>
    </w:tblStylePr>
    <w:tblStylePr w:type="band1Vert">
      <w:tblPr/>
      <w:tcPr>
        <w:shd w:val="clear" w:color="auto" w:fill="64BDE6" w:themeFill="accent1" w:themeFillTint="7F"/>
      </w:tcPr>
    </w:tblStylePr>
    <w:tblStylePr w:type="band1Horz">
      <w:tblPr/>
      <w:tcPr>
        <w:tcBorders>
          <w:insideH w:val="single" w:sz="6" w:space="0" w:color="156082" w:themeColor="accent1"/>
          <w:insideV w:val="single" w:sz="6" w:space="0" w:color="156082" w:themeColor="accent1"/>
        </w:tcBorders>
        <w:shd w:val="clear" w:color="auto" w:fill="64BDE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cPr>
      <w:shd w:val="clear" w:color="auto" w:fill="F9DBCC" w:themeFill="accent2" w:themeFillTint="3F"/>
    </w:tcPr>
    <w:tblStylePr w:type="firstRow">
      <w:rPr>
        <w:b/>
        <w:bCs/>
        <w:color w:val="000000" w:themeColor="text1"/>
      </w:rPr>
      <w:tblPr/>
      <w:tcPr>
        <w:shd w:val="clear" w:color="auto" w:fill="FCF0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AE2D5" w:themeFill="accent2" w:themeFillTint="33"/>
      </w:tcPr>
    </w:tblStylePr>
    <w:tblStylePr w:type="band1Vert">
      <w:tblPr/>
      <w:tcPr>
        <w:shd w:val="clear" w:color="auto" w:fill="F4B798" w:themeFill="accent2" w:themeFillTint="7F"/>
      </w:tcPr>
    </w:tblStylePr>
    <w:tblStylePr w:type="band1Horz">
      <w:tblPr/>
      <w:tcPr>
        <w:tcBorders>
          <w:insideH w:val="single" w:sz="6" w:space="0" w:color="E97132" w:themeColor="accent2"/>
          <w:insideV w:val="single" w:sz="6" w:space="0" w:color="E97132" w:themeColor="accent2"/>
        </w:tcBorders>
        <w:shd w:val="clear" w:color="auto" w:fill="F4B7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cPr>
      <w:shd w:val="clear" w:color="auto" w:fill="B3EDBA" w:themeFill="accent3" w:themeFillTint="3F"/>
    </w:tcPr>
    <w:tblStylePr w:type="firstRow">
      <w:rPr>
        <w:b/>
        <w:bCs/>
        <w:color w:val="000000" w:themeColor="text1"/>
      </w:rPr>
      <w:tblPr/>
      <w:tcPr>
        <w:shd w:val="clear" w:color="auto" w:fill="E0F8E3"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F0C7" w:themeFill="accent3" w:themeFillTint="33"/>
      </w:tcPr>
    </w:tblStylePr>
    <w:tblStylePr w:type="band1Vert">
      <w:tblPr/>
      <w:tcPr>
        <w:shd w:val="clear" w:color="auto" w:fill="66DB75" w:themeFill="accent3" w:themeFillTint="7F"/>
      </w:tcPr>
    </w:tblStylePr>
    <w:tblStylePr w:type="band1Horz">
      <w:tblPr/>
      <w:tcPr>
        <w:tcBorders>
          <w:insideH w:val="single" w:sz="6" w:space="0" w:color="196B24" w:themeColor="accent3"/>
          <w:insideV w:val="single" w:sz="6" w:space="0" w:color="196B24" w:themeColor="accent3"/>
        </w:tcBorders>
        <w:shd w:val="clear" w:color="auto" w:fill="66DB75"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cPr>
      <w:shd w:val="clear" w:color="auto" w:fill="BDE9FA" w:themeFill="accent4" w:themeFillTint="3F"/>
    </w:tcPr>
    <w:tblStylePr w:type="firstRow">
      <w:rPr>
        <w:b/>
        <w:bCs/>
        <w:color w:val="000000" w:themeColor="text1"/>
      </w:rPr>
      <w:tblPr/>
      <w:tcPr>
        <w:shd w:val="clear" w:color="auto" w:fill="E5F6FD"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AEDFB" w:themeFill="accent4" w:themeFillTint="33"/>
      </w:tcPr>
    </w:tblStylePr>
    <w:tblStylePr w:type="band1Vert">
      <w:tblPr/>
      <w:tcPr>
        <w:shd w:val="clear" w:color="auto" w:fill="7BD3F5" w:themeFill="accent4" w:themeFillTint="7F"/>
      </w:tcPr>
    </w:tblStylePr>
    <w:tblStylePr w:type="band1Horz">
      <w:tblPr/>
      <w:tcPr>
        <w:tcBorders>
          <w:insideH w:val="single" w:sz="6" w:space="0" w:color="0F9ED5" w:themeColor="accent4"/>
          <w:insideV w:val="single" w:sz="6" w:space="0" w:color="0F9ED5" w:themeColor="accent4"/>
        </w:tcBorders>
        <w:shd w:val="clear" w:color="auto" w:fill="7BD3F5"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cPr>
      <w:shd w:val="clear" w:color="auto" w:fill="EFC3E9" w:themeFill="accent5" w:themeFillTint="3F"/>
    </w:tcPr>
    <w:tblStylePr w:type="firstRow">
      <w:rPr>
        <w:b/>
        <w:bCs/>
        <w:color w:val="000000" w:themeColor="text1"/>
      </w:rPr>
      <w:tblPr/>
      <w:tcPr>
        <w:shd w:val="clear" w:color="auto" w:fill="F8E7F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CEED" w:themeFill="accent5" w:themeFillTint="33"/>
      </w:tcPr>
    </w:tblStylePr>
    <w:tblStylePr w:type="band1Vert">
      <w:tblPr/>
      <w:tcPr>
        <w:shd w:val="clear" w:color="auto" w:fill="DE86D4" w:themeFill="accent5" w:themeFillTint="7F"/>
      </w:tcPr>
    </w:tblStylePr>
    <w:tblStylePr w:type="band1Horz">
      <w:tblPr/>
      <w:tcPr>
        <w:tcBorders>
          <w:insideH w:val="single" w:sz="6" w:space="0" w:color="A02B93" w:themeColor="accent5"/>
          <w:insideV w:val="single" w:sz="6" w:space="0" w:color="A02B93" w:themeColor="accent5"/>
        </w:tcBorders>
        <w:shd w:val="clear" w:color="auto" w:fill="DE86D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cPr>
      <w:shd w:val="clear" w:color="auto" w:fill="D0EFC5" w:themeFill="accent6" w:themeFillTint="3F"/>
    </w:tcPr>
    <w:tblStylePr w:type="firstRow">
      <w:rPr>
        <w:b/>
        <w:bCs/>
        <w:color w:val="000000" w:themeColor="text1"/>
      </w:rPr>
      <w:tblPr/>
      <w:tcPr>
        <w:shd w:val="clear" w:color="auto" w:fill="ECF8E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F2D0" w:themeFill="accent6" w:themeFillTint="33"/>
      </w:tcPr>
    </w:tblStylePr>
    <w:tblStylePr w:type="band1Vert">
      <w:tblPr/>
      <w:tcPr>
        <w:shd w:val="clear" w:color="auto" w:fill="A0DF8A" w:themeFill="accent6" w:themeFillTint="7F"/>
      </w:tcPr>
    </w:tblStylePr>
    <w:tblStylePr w:type="band1Horz">
      <w:tblPr/>
      <w:tcPr>
        <w:tcBorders>
          <w:insideH w:val="single" w:sz="6" w:space="0" w:color="4EA72E" w:themeColor="accent6"/>
          <w:insideV w:val="single" w:sz="6" w:space="0" w:color="4EA72E" w:themeColor="accent6"/>
        </w:tcBorders>
        <w:shd w:val="clear" w:color="auto" w:fill="A0DF8A"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487A7F"/>
    <w:pPr>
      <w:spacing w:after="0" w:line="240" w:lineRule="auto"/>
    </w:pPr>
    <w:rPr>
      <w:kern w:val="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487A7F"/>
    <w:pPr>
      <w:spacing w:after="0" w:line="240" w:lineRule="auto"/>
    </w:pPr>
    <w:rPr>
      <w:kern w:val="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DEF2"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5608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5608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4BDE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4BDE6" w:themeFill="accent1" w:themeFillTint="7F"/>
      </w:tcPr>
    </w:tblStylePr>
  </w:style>
  <w:style w:type="table" w:styleId="MediumGrid3-Accent2">
    <w:name w:val="Medium Grid 3 Accent 2"/>
    <w:basedOn w:val="TableNormal"/>
    <w:uiPriority w:val="69"/>
    <w:semiHidden/>
    <w:unhideWhenUsed/>
    <w:rsid w:val="00487A7F"/>
    <w:pPr>
      <w:spacing w:after="0" w:line="240" w:lineRule="auto"/>
    </w:pPr>
    <w:rPr>
      <w:kern w:val="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9DBC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97132"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97132"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4B7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4B798" w:themeFill="accent2" w:themeFillTint="7F"/>
      </w:tcPr>
    </w:tblStylePr>
  </w:style>
  <w:style w:type="table" w:styleId="MediumGrid3-Accent3">
    <w:name w:val="Medium Grid 3 Accent 3"/>
    <w:basedOn w:val="TableNormal"/>
    <w:uiPriority w:val="69"/>
    <w:semiHidden/>
    <w:unhideWhenUsed/>
    <w:rsid w:val="00487A7F"/>
    <w:pPr>
      <w:spacing w:after="0" w:line="240" w:lineRule="auto"/>
    </w:pPr>
    <w:rPr>
      <w:kern w:val="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3EDB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96B24"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96B24"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6DB75"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6DB75" w:themeFill="accent3" w:themeFillTint="7F"/>
      </w:tcPr>
    </w:tblStylePr>
  </w:style>
  <w:style w:type="table" w:styleId="MediumGrid3-Accent4">
    <w:name w:val="Medium Grid 3 Accent 4"/>
    <w:basedOn w:val="TableNormal"/>
    <w:uiPriority w:val="69"/>
    <w:semiHidden/>
    <w:unhideWhenUsed/>
    <w:rsid w:val="00487A7F"/>
    <w:pPr>
      <w:spacing w:after="0" w:line="240" w:lineRule="auto"/>
    </w:pPr>
    <w:rPr>
      <w:kern w:val="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E9F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9ED5"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9ED5"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BD3F5"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BD3F5" w:themeFill="accent4" w:themeFillTint="7F"/>
      </w:tcPr>
    </w:tblStylePr>
  </w:style>
  <w:style w:type="table" w:styleId="MediumGrid3-Accent5">
    <w:name w:val="Medium Grid 3 Accent 5"/>
    <w:basedOn w:val="TableNormal"/>
    <w:uiPriority w:val="69"/>
    <w:semiHidden/>
    <w:unhideWhenUsed/>
    <w:rsid w:val="00487A7F"/>
    <w:pPr>
      <w:spacing w:after="0" w:line="240" w:lineRule="auto"/>
    </w:pPr>
    <w:rPr>
      <w:kern w:val="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C3E9"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02B9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02B9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E86D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E86D4" w:themeFill="accent5" w:themeFillTint="7F"/>
      </w:tcPr>
    </w:tblStylePr>
  </w:style>
  <w:style w:type="table" w:styleId="MediumGrid3-Accent6">
    <w:name w:val="Medium Grid 3 Accent 6"/>
    <w:basedOn w:val="TableNormal"/>
    <w:uiPriority w:val="69"/>
    <w:semiHidden/>
    <w:unhideWhenUsed/>
    <w:rsid w:val="00487A7F"/>
    <w:pPr>
      <w:spacing w:after="0" w:line="240" w:lineRule="auto"/>
    </w:pPr>
    <w:rPr>
      <w:kern w:val="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EFC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EA72E"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EA72E"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DF8A"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DF8A" w:themeFill="accent6" w:themeFillTint="7F"/>
      </w:tcPr>
    </w:tblStylePr>
  </w:style>
  <w:style w:type="table" w:styleId="MediumList1">
    <w:name w:val="Medium List 1"/>
    <w:basedOn w:val="TableNormal"/>
    <w:uiPriority w:val="65"/>
    <w:semiHidden/>
    <w:unhideWhenUsed/>
    <w:rsid w:val="00487A7F"/>
    <w:pPr>
      <w:spacing w:after="0" w:line="240" w:lineRule="auto"/>
    </w:pPr>
    <w:rPr>
      <w:color w:val="000000" w:themeColor="text1"/>
      <w:kern w:val="0"/>
      <w14:ligatures w14:val="none"/>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487A7F"/>
    <w:pPr>
      <w:spacing w:after="0" w:line="240" w:lineRule="auto"/>
    </w:pPr>
    <w:rPr>
      <w:color w:val="000000" w:themeColor="text1"/>
      <w:kern w:val="0"/>
      <w14:ligatures w14:val="none"/>
    </w:rPr>
    <w:tblPr>
      <w:tblStyleRowBandSize w:val="1"/>
      <w:tblStyleColBandSize w:val="1"/>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table" w:styleId="MediumList1-Accent2">
    <w:name w:val="Medium List 1 Accent 2"/>
    <w:basedOn w:val="TableNormal"/>
    <w:uiPriority w:val="65"/>
    <w:semiHidden/>
    <w:unhideWhenUsed/>
    <w:rsid w:val="00487A7F"/>
    <w:pPr>
      <w:spacing w:after="0" w:line="240" w:lineRule="auto"/>
    </w:pPr>
    <w:rPr>
      <w:color w:val="000000" w:themeColor="text1"/>
      <w:kern w:val="0"/>
      <w14:ligatures w14:val="none"/>
    </w:rPr>
    <w:tblPr>
      <w:tblStyleRowBandSize w:val="1"/>
      <w:tblStyleColBandSize w:val="1"/>
      <w:tblBorders>
        <w:top w:val="single" w:sz="8" w:space="0" w:color="E97132" w:themeColor="accent2"/>
        <w:bottom w:val="single" w:sz="8" w:space="0" w:color="E97132" w:themeColor="accent2"/>
      </w:tblBorders>
    </w:tblPr>
    <w:tblStylePr w:type="firstRow">
      <w:rPr>
        <w:rFonts w:asciiTheme="majorHAnsi" w:eastAsiaTheme="majorEastAsia" w:hAnsiTheme="majorHAnsi" w:cstheme="majorBidi"/>
      </w:rPr>
      <w:tblPr/>
      <w:tcPr>
        <w:tcBorders>
          <w:top w:val="nil"/>
          <w:bottom w:val="single" w:sz="8" w:space="0" w:color="E97132" w:themeColor="accent2"/>
        </w:tcBorders>
      </w:tcPr>
    </w:tblStylePr>
    <w:tblStylePr w:type="lastRow">
      <w:rPr>
        <w:b/>
        <w:bCs/>
        <w:color w:val="0E2841" w:themeColor="text2"/>
      </w:rPr>
      <w:tblPr/>
      <w:tcPr>
        <w:tcBorders>
          <w:top w:val="single" w:sz="8" w:space="0" w:color="E97132" w:themeColor="accent2"/>
          <w:bottom w:val="single" w:sz="8" w:space="0" w:color="E97132" w:themeColor="accent2"/>
        </w:tcBorders>
      </w:tcPr>
    </w:tblStylePr>
    <w:tblStylePr w:type="firstCol">
      <w:rPr>
        <w:b/>
        <w:bCs/>
      </w:rPr>
    </w:tblStylePr>
    <w:tblStylePr w:type="lastCol">
      <w:rPr>
        <w:b/>
        <w:bCs/>
      </w:rPr>
      <w:tblPr/>
      <w:tcPr>
        <w:tcBorders>
          <w:top w:val="single" w:sz="8" w:space="0" w:color="E97132" w:themeColor="accent2"/>
          <w:bottom w:val="single" w:sz="8" w:space="0" w:color="E97132" w:themeColor="accent2"/>
        </w:tcBorders>
      </w:tcPr>
    </w:tblStylePr>
    <w:tblStylePr w:type="band1Vert">
      <w:tblPr/>
      <w:tcPr>
        <w:shd w:val="clear" w:color="auto" w:fill="F9DBCC" w:themeFill="accent2" w:themeFillTint="3F"/>
      </w:tcPr>
    </w:tblStylePr>
    <w:tblStylePr w:type="band1Horz">
      <w:tblPr/>
      <w:tcPr>
        <w:shd w:val="clear" w:color="auto" w:fill="F9DBCC" w:themeFill="accent2" w:themeFillTint="3F"/>
      </w:tcPr>
    </w:tblStylePr>
  </w:style>
  <w:style w:type="table" w:styleId="MediumList1-Accent3">
    <w:name w:val="Medium List 1 Accent 3"/>
    <w:basedOn w:val="TableNormal"/>
    <w:uiPriority w:val="65"/>
    <w:semiHidden/>
    <w:unhideWhenUsed/>
    <w:rsid w:val="00487A7F"/>
    <w:pPr>
      <w:spacing w:after="0" w:line="240" w:lineRule="auto"/>
    </w:pPr>
    <w:rPr>
      <w:color w:val="000000" w:themeColor="text1"/>
      <w:kern w:val="0"/>
      <w14:ligatures w14:val="none"/>
    </w:rPr>
    <w:tblPr>
      <w:tblStyleRowBandSize w:val="1"/>
      <w:tblStyleColBandSize w:val="1"/>
      <w:tblBorders>
        <w:top w:val="single" w:sz="8" w:space="0" w:color="196B24" w:themeColor="accent3"/>
        <w:bottom w:val="single" w:sz="8" w:space="0" w:color="196B24" w:themeColor="accent3"/>
      </w:tblBorders>
    </w:tblPr>
    <w:tblStylePr w:type="firstRow">
      <w:rPr>
        <w:rFonts w:asciiTheme="majorHAnsi" w:eastAsiaTheme="majorEastAsia" w:hAnsiTheme="majorHAnsi" w:cstheme="majorBidi"/>
      </w:rPr>
      <w:tblPr/>
      <w:tcPr>
        <w:tcBorders>
          <w:top w:val="nil"/>
          <w:bottom w:val="single" w:sz="8" w:space="0" w:color="196B24" w:themeColor="accent3"/>
        </w:tcBorders>
      </w:tcPr>
    </w:tblStylePr>
    <w:tblStylePr w:type="lastRow">
      <w:rPr>
        <w:b/>
        <w:bCs/>
        <w:color w:val="0E2841" w:themeColor="text2"/>
      </w:rPr>
      <w:tblPr/>
      <w:tcPr>
        <w:tcBorders>
          <w:top w:val="single" w:sz="8" w:space="0" w:color="196B24" w:themeColor="accent3"/>
          <w:bottom w:val="single" w:sz="8" w:space="0" w:color="196B24" w:themeColor="accent3"/>
        </w:tcBorders>
      </w:tcPr>
    </w:tblStylePr>
    <w:tblStylePr w:type="firstCol">
      <w:rPr>
        <w:b/>
        <w:bCs/>
      </w:rPr>
    </w:tblStylePr>
    <w:tblStylePr w:type="lastCol">
      <w:rPr>
        <w:b/>
        <w:bCs/>
      </w:rPr>
      <w:tblPr/>
      <w:tcPr>
        <w:tcBorders>
          <w:top w:val="single" w:sz="8" w:space="0" w:color="196B24" w:themeColor="accent3"/>
          <w:bottom w:val="single" w:sz="8" w:space="0" w:color="196B24" w:themeColor="accent3"/>
        </w:tcBorders>
      </w:tcPr>
    </w:tblStylePr>
    <w:tblStylePr w:type="band1Vert">
      <w:tblPr/>
      <w:tcPr>
        <w:shd w:val="clear" w:color="auto" w:fill="B3EDBA" w:themeFill="accent3" w:themeFillTint="3F"/>
      </w:tcPr>
    </w:tblStylePr>
    <w:tblStylePr w:type="band1Horz">
      <w:tblPr/>
      <w:tcPr>
        <w:shd w:val="clear" w:color="auto" w:fill="B3EDBA" w:themeFill="accent3" w:themeFillTint="3F"/>
      </w:tcPr>
    </w:tblStylePr>
  </w:style>
  <w:style w:type="table" w:styleId="MediumList1-Accent4">
    <w:name w:val="Medium List 1 Accent 4"/>
    <w:basedOn w:val="TableNormal"/>
    <w:uiPriority w:val="65"/>
    <w:semiHidden/>
    <w:unhideWhenUsed/>
    <w:rsid w:val="00487A7F"/>
    <w:pPr>
      <w:spacing w:after="0" w:line="240" w:lineRule="auto"/>
    </w:pPr>
    <w:rPr>
      <w:color w:val="000000" w:themeColor="text1"/>
      <w:kern w:val="0"/>
      <w14:ligatures w14:val="none"/>
    </w:rPr>
    <w:tblPr>
      <w:tblStyleRowBandSize w:val="1"/>
      <w:tblStyleColBandSize w:val="1"/>
      <w:tblBorders>
        <w:top w:val="single" w:sz="8" w:space="0" w:color="0F9ED5" w:themeColor="accent4"/>
        <w:bottom w:val="single" w:sz="8" w:space="0" w:color="0F9ED5" w:themeColor="accent4"/>
      </w:tblBorders>
    </w:tblPr>
    <w:tblStylePr w:type="firstRow">
      <w:rPr>
        <w:rFonts w:asciiTheme="majorHAnsi" w:eastAsiaTheme="majorEastAsia" w:hAnsiTheme="majorHAnsi" w:cstheme="majorBidi"/>
      </w:rPr>
      <w:tblPr/>
      <w:tcPr>
        <w:tcBorders>
          <w:top w:val="nil"/>
          <w:bottom w:val="single" w:sz="8" w:space="0" w:color="0F9ED5" w:themeColor="accent4"/>
        </w:tcBorders>
      </w:tcPr>
    </w:tblStylePr>
    <w:tblStylePr w:type="lastRow">
      <w:rPr>
        <w:b/>
        <w:bCs/>
        <w:color w:val="0E2841" w:themeColor="text2"/>
      </w:rPr>
      <w:tblPr/>
      <w:tcPr>
        <w:tcBorders>
          <w:top w:val="single" w:sz="8" w:space="0" w:color="0F9ED5" w:themeColor="accent4"/>
          <w:bottom w:val="single" w:sz="8" w:space="0" w:color="0F9ED5" w:themeColor="accent4"/>
        </w:tcBorders>
      </w:tcPr>
    </w:tblStylePr>
    <w:tblStylePr w:type="firstCol">
      <w:rPr>
        <w:b/>
        <w:bCs/>
      </w:rPr>
    </w:tblStylePr>
    <w:tblStylePr w:type="lastCol">
      <w:rPr>
        <w:b/>
        <w:bCs/>
      </w:rPr>
      <w:tblPr/>
      <w:tcPr>
        <w:tcBorders>
          <w:top w:val="single" w:sz="8" w:space="0" w:color="0F9ED5" w:themeColor="accent4"/>
          <w:bottom w:val="single" w:sz="8" w:space="0" w:color="0F9ED5" w:themeColor="accent4"/>
        </w:tcBorders>
      </w:tcPr>
    </w:tblStylePr>
    <w:tblStylePr w:type="band1Vert">
      <w:tblPr/>
      <w:tcPr>
        <w:shd w:val="clear" w:color="auto" w:fill="BDE9FA" w:themeFill="accent4" w:themeFillTint="3F"/>
      </w:tcPr>
    </w:tblStylePr>
    <w:tblStylePr w:type="band1Horz">
      <w:tblPr/>
      <w:tcPr>
        <w:shd w:val="clear" w:color="auto" w:fill="BDE9FA" w:themeFill="accent4" w:themeFillTint="3F"/>
      </w:tcPr>
    </w:tblStylePr>
  </w:style>
  <w:style w:type="table" w:styleId="MediumList1-Accent5">
    <w:name w:val="Medium List 1 Accent 5"/>
    <w:basedOn w:val="TableNormal"/>
    <w:uiPriority w:val="65"/>
    <w:semiHidden/>
    <w:unhideWhenUsed/>
    <w:rsid w:val="00487A7F"/>
    <w:pPr>
      <w:spacing w:after="0" w:line="240" w:lineRule="auto"/>
    </w:pPr>
    <w:rPr>
      <w:color w:val="000000" w:themeColor="text1"/>
      <w:kern w:val="0"/>
      <w14:ligatures w14:val="none"/>
    </w:rPr>
    <w:tblPr>
      <w:tblStyleRowBandSize w:val="1"/>
      <w:tblStyleColBandSize w:val="1"/>
      <w:tblBorders>
        <w:top w:val="single" w:sz="8" w:space="0" w:color="A02B93" w:themeColor="accent5"/>
        <w:bottom w:val="single" w:sz="8" w:space="0" w:color="A02B93" w:themeColor="accent5"/>
      </w:tblBorders>
    </w:tblPr>
    <w:tblStylePr w:type="firstRow">
      <w:rPr>
        <w:rFonts w:asciiTheme="majorHAnsi" w:eastAsiaTheme="majorEastAsia" w:hAnsiTheme="majorHAnsi" w:cstheme="majorBidi"/>
      </w:rPr>
      <w:tblPr/>
      <w:tcPr>
        <w:tcBorders>
          <w:top w:val="nil"/>
          <w:bottom w:val="single" w:sz="8" w:space="0" w:color="A02B93" w:themeColor="accent5"/>
        </w:tcBorders>
      </w:tcPr>
    </w:tblStylePr>
    <w:tblStylePr w:type="lastRow">
      <w:rPr>
        <w:b/>
        <w:bCs/>
        <w:color w:val="0E2841" w:themeColor="text2"/>
      </w:rPr>
      <w:tblPr/>
      <w:tcPr>
        <w:tcBorders>
          <w:top w:val="single" w:sz="8" w:space="0" w:color="A02B93" w:themeColor="accent5"/>
          <w:bottom w:val="single" w:sz="8" w:space="0" w:color="A02B93" w:themeColor="accent5"/>
        </w:tcBorders>
      </w:tcPr>
    </w:tblStylePr>
    <w:tblStylePr w:type="firstCol">
      <w:rPr>
        <w:b/>
        <w:bCs/>
      </w:rPr>
    </w:tblStylePr>
    <w:tblStylePr w:type="lastCol">
      <w:rPr>
        <w:b/>
        <w:bCs/>
      </w:rPr>
      <w:tblPr/>
      <w:tcPr>
        <w:tcBorders>
          <w:top w:val="single" w:sz="8" w:space="0" w:color="A02B93" w:themeColor="accent5"/>
          <w:bottom w:val="single" w:sz="8" w:space="0" w:color="A02B93" w:themeColor="accent5"/>
        </w:tcBorders>
      </w:tcPr>
    </w:tblStylePr>
    <w:tblStylePr w:type="band1Vert">
      <w:tblPr/>
      <w:tcPr>
        <w:shd w:val="clear" w:color="auto" w:fill="EFC3E9" w:themeFill="accent5" w:themeFillTint="3F"/>
      </w:tcPr>
    </w:tblStylePr>
    <w:tblStylePr w:type="band1Horz">
      <w:tblPr/>
      <w:tcPr>
        <w:shd w:val="clear" w:color="auto" w:fill="EFC3E9" w:themeFill="accent5" w:themeFillTint="3F"/>
      </w:tcPr>
    </w:tblStylePr>
  </w:style>
  <w:style w:type="table" w:styleId="MediumList1-Accent6">
    <w:name w:val="Medium List 1 Accent 6"/>
    <w:basedOn w:val="TableNormal"/>
    <w:uiPriority w:val="65"/>
    <w:semiHidden/>
    <w:unhideWhenUsed/>
    <w:rsid w:val="00487A7F"/>
    <w:pPr>
      <w:spacing w:after="0" w:line="240" w:lineRule="auto"/>
    </w:pPr>
    <w:rPr>
      <w:color w:val="000000" w:themeColor="text1"/>
      <w:kern w:val="0"/>
      <w14:ligatures w14:val="none"/>
    </w:rPr>
    <w:tblPr>
      <w:tblStyleRowBandSize w:val="1"/>
      <w:tblStyleColBandSize w:val="1"/>
      <w:tblBorders>
        <w:top w:val="single" w:sz="8" w:space="0" w:color="4EA72E" w:themeColor="accent6"/>
        <w:bottom w:val="single" w:sz="8" w:space="0" w:color="4EA72E" w:themeColor="accent6"/>
      </w:tblBorders>
    </w:tblPr>
    <w:tblStylePr w:type="firstRow">
      <w:rPr>
        <w:rFonts w:asciiTheme="majorHAnsi" w:eastAsiaTheme="majorEastAsia" w:hAnsiTheme="majorHAnsi" w:cstheme="majorBidi"/>
      </w:rPr>
      <w:tblPr/>
      <w:tcPr>
        <w:tcBorders>
          <w:top w:val="nil"/>
          <w:bottom w:val="single" w:sz="8" w:space="0" w:color="4EA72E" w:themeColor="accent6"/>
        </w:tcBorders>
      </w:tcPr>
    </w:tblStylePr>
    <w:tblStylePr w:type="lastRow">
      <w:rPr>
        <w:b/>
        <w:bCs/>
        <w:color w:val="0E2841" w:themeColor="text2"/>
      </w:rPr>
      <w:tblPr/>
      <w:tcPr>
        <w:tcBorders>
          <w:top w:val="single" w:sz="8" w:space="0" w:color="4EA72E" w:themeColor="accent6"/>
          <w:bottom w:val="single" w:sz="8" w:space="0" w:color="4EA72E" w:themeColor="accent6"/>
        </w:tcBorders>
      </w:tcPr>
    </w:tblStylePr>
    <w:tblStylePr w:type="firstCol">
      <w:rPr>
        <w:b/>
        <w:bCs/>
      </w:rPr>
    </w:tblStylePr>
    <w:tblStylePr w:type="lastCol">
      <w:rPr>
        <w:b/>
        <w:bCs/>
      </w:rPr>
      <w:tblPr/>
      <w:tcPr>
        <w:tcBorders>
          <w:top w:val="single" w:sz="8" w:space="0" w:color="4EA72E" w:themeColor="accent6"/>
          <w:bottom w:val="single" w:sz="8" w:space="0" w:color="4EA72E" w:themeColor="accent6"/>
        </w:tcBorders>
      </w:tcPr>
    </w:tblStylePr>
    <w:tblStylePr w:type="band1Vert">
      <w:tblPr/>
      <w:tcPr>
        <w:shd w:val="clear" w:color="auto" w:fill="D0EFC5" w:themeFill="accent6" w:themeFillTint="3F"/>
      </w:tcPr>
    </w:tblStylePr>
    <w:tblStylePr w:type="band1Horz">
      <w:tblPr/>
      <w:tcPr>
        <w:shd w:val="clear" w:color="auto" w:fill="D0EFC5" w:themeFill="accent6" w:themeFillTint="3F"/>
      </w:tcPr>
    </w:tblStylePr>
  </w:style>
  <w:style w:type="table" w:styleId="MediumList2">
    <w:name w:val="Medium List 2"/>
    <w:basedOn w:val="TableNormal"/>
    <w:uiPriority w:val="66"/>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rPr>
        <w:sz w:val="24"/>
        <w:szCs w:val="24"/>
      </w:rPr>
      <w:tblPr/>
      <w:tcPr>
        <w:tcBorders>
          <w:top w:val="nil"/>
          <w:left w:val="nil"/>
          <w:bottom w:val="single" w:sz="24" w:space="0" w:color="156082" w:themeColor="accent1"/>
          <w:right w:val="nil"/>
          <w:insideH w:val="nil"/>
          <w:insideV w:val="nil"/>
        </w:tcBorders>
        <w:shd w:val="clear" w:color="auto" w:fill="FFFFFF" w:themeFill="background1"/>
      </w:tcPr>
    </w:tblStylePr>
    <w:tblStylePr w:type="lastRow">
      <w:tblPr/>
      <w:tcPr>
        <w:tcBorders>
          <w:top w:val="single" w:sz="8" w:space="0" w:color="15608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56082" w:themeColor="accent1"/>
          <w:insideH w:val="nil"/>
          <w:insideV w:val="nil"/>
        </w:tcBorders>
        <w:shd w:val="clear" w:color="auto" w:fill="FFFFFF" w:themeFill="background1"/>
      </w:tcPr>
    </w:tblStylePr>
    <w:tblStylePr w:type="lastCol">
      <w:tblPr/>
      <w:tcPr>
        <w:tcBorders>
          <w:top w:val="nil"/>
          <w:left w:val="single" w:sz="8" w:space="0" w:color="15608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top w:val="nil"/>
          <w:bottom w:val="nil"/>
          <w:insideH w:val="nil"/>
          <w:insideV w:val="nil"/>
        </w:tcBorders>
        <w:shd w:val="clear" w:color="auto" w:fill="B2DEF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rPr>
        <w:sz w:val="24"/>
        <w:szCs w:val="24"/>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tblPr/>
      <w:tcPr>
        <w:tcBorders>
          <w:top w:val="single" w:sz="8" w:space="0" w:color="E97132"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97132" w:themeColor="accent2"/>
          <w:insideH w:val="nil"/>
          <w:insideV w:val="nil"/>
        </w:tcBorders>
        <w:shd w:val="clear" w:color="auto" w:fill="FFFFFF" w:themeFill="background1"/>
      </w:tcPr>
    </w:tblStylePr>
    <w:tblStylePr w:type="lastCol">
      <w:tblPr/>
      <w:tcPr>
        <w:tcBorders>
          <w:top w:val="nil"/>
          <w:left w:val="single" w:sz="8" w:space="0" w:color="E97132"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top w:val="nil"/>
          <w:bottom w:val="nil"/>
          <w:insideH w:val="nil"/>
          <w:insideV w:val="nil"/>
        </w:tcBorders>
        <w:shd w:val="clear" w:color="auto" w:fill="F9DBCC"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rPr>
        <w:sz w:val="24"/>
        <w:szCs w:val="24"/>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tblPr/>
      <w:tcPr>
        <w:tcBorders>
          <w:top w:val="single" w:sz="8" w:space="0" w:color="196B24"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96B24" w:themeColor="accent3"/>
          <w:insideH w:val="nil"/>
          <w:insideV w:val="nil"/>
        </w:tcBorders>
        <w:shd w:val="clear" w:color="auto" w:fill="FFFFFF" w:themeFill="background1"/>
      </w:tcPr>
    </w:tblStylePr>
    <w:tblStylePr w:type="lastCol">
      <w:tblPr/>
      <w:tcPr>
        <w:tcBorders>
          <w:top w:val="nil"/>
          <w:left w:val="single" w:sz="8" w:space="0" w:color="196B24"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top w:val="nil"/>
          <w:bottom w:val="nil"/>
          <w:insideH w:val="nil"/>
          <w:insideV w:val="nil"/>
        </w:tcBorders>
        <w:shd w:val="clear" w:color="auto" w:fill="B3EDBA"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rPr>
        <w:sz w:val="24"/>
        <w:szCs w:val="24"/>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tblPr/>
      <w:tcPr>
        <w:tcBorders>
          <w:top w:val="single" w:sz="8" w:space="0" w:color="0F9ED5"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9ED5" w:themeColor="accent4"/>
          <w:insideH w:val="nil"/>
          <w:insideV w:val="nil"/>
        </w:tcBorders>
        <w:shd w:val="clear" w:color="auto" w:fill="FFFFFF" w:themeFill="background1"/>
      </w:tcPr>
    </w:tblStylePr>
    <w:tblStylePr w:type="lastCol">
      <w:tblPr/>
      <w:tcPr>
        <w:tcBorders>
          <w:top w:val="nil"/>
          <w:left w:val="single" w:sz="8" w:space="0" w:color="0F9ED5"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top w:val="nil"/>
          <w:bottom w:val="nil"/>
          <w:insideH w:val="nil"/>
          <w:insideV w:val="nil"/>
        </w:tcBorders>
        <w:shd w:val="clear" w:color="auto" w:fill="BDE9F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rPr>
        <w:sz w:val="24"/>
        <w:szCs w:val="24"/>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tblPr/>
      <w:tcPr>
        <w:tcBorders>
          <w:top w:val="single" w:sz="8" w:space="0" w:color="A02B93"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02B93" w:themeColor="accent5"/>
          <w:insideH w:val="nil"/>
          <w:insideV w:val="nil"/>
        </w:tcBorders>
        <w:shd w:val="clear" w:color="auto" w:fill="FFFFFF" w:themeFill="background1"/>
      </w:tcPr>
    </w:tblStylePr>
    <w:tblStylePr w:type="lastCol">
      <w:tblPr/>
      <w:tcPr>
        <w:tcBorders>
          <w:top w:val="nil"/>
          <w:left w:val="single" w:sz="8" w:space="0" w:color="A02B93"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top w:val="nil"/>
          <w:bottom w:val="nil"/>
          <w:insideH w:val="nil"/>
          <w:insideV w:val="nil"/>
        </w:tcBorders>
        <w:shd w:val="clear" w:color="auto" w:fill="EFC3E9"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487A7F"/>
    <w:pPr>
      <w:spacing w:after="0" w:line="240" w:lineRule="auto"/>
    </w:pPr>
    <w:rPr>
      <w:rFonts w:asciiTheme="majorHAnsi" w:eastAsiaTheme="majorEastAsia" w:hAnsiTheme="majorHAnsi" w:cstheme="majorBidi"/>
      <w:color w:val="000000" w:themeColor="text1"/>
      <w:kern w:val="0"/>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rPr>
        <w:sz w:val="24"/>
        <w:szCs w:val="24"/>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tblPr/>
      <w:tcPr>
        <w:tcBorders>
          <w:top w:val="single" w:sz="8" w:space="0" w:color="4EA72E"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EA72E" w:themeColor="accent6"/>
          <w:insideH w:val="nil"/>
          <w:insideV w:val="nil"/>
        </w:tcBorders>
        <w:shd w:val="clear" w:color="auto" w:fill="FFFFFF" w:themeFill="background1"/>
      </w:tcPr>
    </w:tblStylePr>
    <w:tblStylePr w:type="lastCol">
      <w:tblPr/>
      <w:tcPr>
        <w:tcBorders>
          <w:top w:val="nil"/>
          <w:left w:val="single" w:sz="8" w:space="0" w:color="4EA72E"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top w:val="nil"/>
          <w:bottom w:val="nil"/>
          <w:insideH w:val="nil"/>
          <w:insideV w:val="nil"/>
        </w:tcBorders>
        <w:shd w:val="clear" w:color="auto" w:fill="D0EFC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487A7F"/>
    <w:pPr>
      <w:spacing w:after="0" w:line="240" w:lineRule="auto"/>
    </w:pPr>
    <w:rPr>
      <w:kern w:val="0"/>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487A7F"/>
    <w:pPr>
      <w:spacing w:after="0" w:line="240" w:lineRule="auto"/>
    </w:pPr>
    <w:rPr>
      <w:kern w:val="0"/>
      <w14:ligatures w14:val="none"/>
    </w:r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0" w:after="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0" w:after="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487A7F"/>
    <w:pPr>
      <w:spacing w:after="0" w:line="240" w:lineRule="auto"/>
    </w:pPr>
    <w:rPr>
      <w:kern w:val="0"/>
      <w14:ligatures w14:val="none"/>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tblBorders>
    </w:tblPr>
    <w:tblStylePr w:type="firstRow">
      <w:pPr>
        <w:spacing w:before="0" w:after="0" w:line="240" w:lineRule="auto"/>
      </w:pPr>
      <w:rPr>
        <w:b/>
        <w:bCs/>
        <w:color w:val="FFFFFF" w:themeColor="background1"/>
      </w:rPr>
      <w:tblPr/>
      <w:tcPr>
        <w:tc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shd w:val="clear" w:color="auto" w:fill="E97132" w:themeFill="accent2"/>
      </w:tcPr>
    </w:tblStylePr>
    <w:tblStylePr w:type="lastRow">
      <w:pPr>
        <w:spacing w:before="0" w:after="0" w:line="240" w:lineRule="auto"/>
      </w:pPr>
      <w:rPr>
        <w:b/>
        <w:bCs/>
      </w:rPr>
      <w:tblPr/>
      <w:tcPr>
        <w:tcBorders>
          <w:top w:val="double" w:sz="6"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9DBCC" w:themeFill="accent2" w:themeFillTint="3F"/>
      </w:tcPr>
    </w:tblStylePr>
    <w:tblStylePr w:type="band1Horz">
      <w:tblPr/>
      <w:tcPr>
        <w:tcBorders>
          <w:insideH w:val="nil"/>
          <w:insideV w:val="nil"/>
        </w:tcBorders>
        <w:shd w:val="clear" w:color="auto" w:fill="F9DBCC"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487A7F"/>
    <w:pPr>
      <w:spacing w:after="0" w:line="240" w:lineRule="auto"/>
    </w:pPr>
    <w:rPr>
      <w:kern w:val="0"/>
      <w14:ligatures w14:val="none"/>
    </w:r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tblBorders>
    </w:tblPr>
    <w:tblStylePr w:type="firstRow">
      <w:pPr>
        <w:spacing w:before="0" w:after="0" w:line="240" w:lineRule="auto"/>
      </w:pPr>
      <w:rPr>
        <w:b/>
        <w:bCs/>
        <w:color w:val="FFFFFF" w:themeColor="background1"/>
      </w:rPr>
      <w:tblPr/>
      <w:tcPr>
        <w:tc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shd w:val="clear" w:color="auto" w:fill="196B24" w:themeFill="accent3"/>
      </w:tcPr>
    </w:tblStylePr>
    <w:tblStylePr w:type="lastRow">
      <w:pPr>
        <w:spacing w:before="0" w:after="0" w:line="240" w:lineRule="auto"/>
      </w:pPr>
      <w:rPr>
        <w:b/>
        <w:bCs/>
      </w:rPr>
      <w:tblPr/>
      <w:tcPr>
        <w:tcBorders>
          <w:top w:val="double" w:sz="6"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tcPr>
    </w:tblStylePr>
    <w:tblStylePr w:type="firstCol">
      <w:rPr>
        <w:b/>
        <w:bCs/>
      </w:rPr>
    </w:tblStylePr>
    <w:tblStylePr w:type="lastCol">
      <w:rPr>
        <w:b/>
        <w:bCs/>
      </w:rPr>
    </w:tblStylePr>
    <w:tblStylePr w:type="band1Vert">
      <w:tblPr/>
      <w:tcPr>
        <w:shd w:val="clear" w:color="auto" w:fill="B3EDBA" w:themeFill="accent3" w:themeFillTint="3F"/>
      </w:tcPr>
    </w:tblStylePr>
    <w:tblStylePr w:type="band1Horz">
      <w:tblPr/>
      <w:tcPr>
        <w:tcBorders>
          <w:insideH w:val="nil"/>
          <w:insideV w:val="nil"/>
        </w:tcBorders>
        <w:shd w:val="clear" w:color="auto" w:fill="B3EDBA"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487A7F"/>
    <w:pPr>
      <w:spacing w:after="0" w:line="240" w:lineRule="auto"/>
    </w:pPr>
    <w:rPr>
      <w:kern w:val="0"/>
      <w14:ligatures w14:val="none"/>
    </w:r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tblBorders>
    </w:tblPr>
    <w:tblStylePr w:type="firstRow">
      <w:pPr>
        <w:spacing w:before="0" w:after="0" w:line="240" w:lineRule="auto"/>
      </w:pPr>
      <w:rPr>
        <w:b/>
        <w:bCs/>
        <w:color w:val="FFFFFF" w:themeColor="background1"/>
      </w:rPr>
      <w:tblPr/>
      <w:tcPr>
        <w:tc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shd w:val="clear" w:color="auto" w:fill="0F9ED5" w:themeFill="accent4"/>
      </w:tcPr>
    </w:tblStylePr>
    <w:tblStylePr w:type="lastRow">
      <w:pPr>
        <w:spacing w:before="0" w:after="0" w:line="240" w:lineRule="auto"/>
      </w:pPr>
      <w:rPr>
        <w:b/>
        <w:bCs/>
      </w:rPr>
      <w:tblPr/>
      <w:tcPr>
        <w:tcBorders>
          <w:top w:val="double" w:sz="6"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tcPr>
    </w:tblStylePr>
    <w:tblStylePr w:type="firstCol">
      <w:rPr>
        <w:b/>
        <w:bCs/>
      </w:rPr>
    </w:tblStylePr>
    <w:tblStylePr w:type="lastCol">
      <w:rPr>
        <w:b/>
        <w:bCs/>
      </w:rPr>
    </w:tblStylePr>
    <w:tblStylePr w:type="band1Vert">
      <w:tblPr/>
      <w:tcPr>
        <w:shd w:val="clear" w:color="auto" w:fill="BDE9FA" w:themeFill="accent4" w:themeFillTint="3F"/>
      </w:tcPr>
    </w:tblStylePr>
    <w:tblStylePr w:type="band1Horz">
      <w:tblPr/>
      <w:tcPr>
        <w:tcBorders>
          <w:insideH w:val="nil"/>
          <w:insideV w:val="nil"/>
        </w:tcBorders>
        <w:shd w:val="clear" w:color="auto" w:fill="BDE9FA"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487A7F"/>
    <w:pPr>
      <w:spacing w:after="0" w:line="240" w:lineRule="auto"/>
    </w:pPr>
    <w:rPr>
      <w:kern w:val="0"/>
      <w14:ligatures w14:val="none"/>
    </w:r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tblBorders>
    </w:tblPr>
    <w:tblStylePr w:type="firstRow">
      <w:pPr>
        <w:spacing w:before="0" w:after="0" w:line="240" w:lineRule="auto"/>
      </w:pPr>
      <w:rPr>
        <w:b/>
        <w:bCs/>
        <w:color w:val="FFFFFF" w:themeColor="background1"/>
      </w:rPr>
      <w:tblPr/>
      <w:tcPr>
        <w:tc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shd w:val="clear" w:color="auto" w:fill="A02B93" w:themeFill="accent5"/>
      </w:tcPr>
    </w:tblStylePr>
    <w:tblStylePr w:type="lastRow">
      <w:pPr>
        <w:spacing w:before="0" w:after="0" w:line="240" w:lineRule="auto"/>
      </w:pPr>
      <w:rPr>
        <w:b/>
        <w:bCs/>
      </w:rPr>
      <w:tblPr/>
      <w:tcPr>
        <w:tcBorders>
          <w:top w:val="double" w:sz="6"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FC3E9" w:themeFill="accent5" w:themeFillTint="3F"/>
      </w:tcPr>
    </w:tblStylePr>
    <w:tblStylePr w:type="band1Horz">
      <w:tblPr/>
      <w:tcPr>
        <w:tcBorders>
          <w:insideH w:val="nil"/>
          <w:insideV w:val="nil"/>
        </w:tcBorders>
        <w:shd w:val="clear" w:color="auto" w:fill="EFC3E9"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487A7F"/>
    <w:pPr>
      <w:spacing w:after="0" w:line="240" w:lineRule="auto"/>
    </w:pPr>
    <w:rPr>
      <w:kern w:val="0"/>
      <w14:ligatures w14:val="none"/>
    </w:r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tblBorders>
    </w:tblPr>
    <w:tblStylePr w:type="firstRow">
      <w:pPr>
        <w:spacing w:before="0" w:after="0" w:line="240" w:lineRule="auto"/>
      </w:pPr>
      <w:rPr>
        <w:b/>
        <w:bCs/>
        <w:color w:val="FFFFFF" w:themeColor="background1"/>
      </w:rPr>
      <w:tblPr/>
      <w:tcPr>
        <w:tc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shd w:val="clear" w:color="auto" w:fill="4EA72E" w:themeFill="accent6"/>
      </w:tcPr>
    </w:tblStylePr>
    <w:tblStylePr w:type="lastRow">
      <w:pPr>
        <w:spacing w:before="0" w:after="0" w:line="240" w:lineRule="auto"/>
      </w:pPr>
      <w:rPr>
        <w:b/>
        <w:bCs/>
      </w:rPr>
      <w:tblPr/>
      <w:tcPr>
        <w:tcBorders>
          <w:top w:val="double" w:sz="6"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tcPr>
    </w:tblStylePr>
    <w:tblStylePr w:type="firstCol">
      <w:rPr>
        <w:b/>
        <w:bCs/>
      </w:rPr>
    </w:tblStylePr>
    <w:tblStylePr w:type="lastCol">
      <w:rPr>
        <w:b/>
        <w:bCs/>
      </w:rPr>
    </w:tblStylePr>
    <w:tblStylePr w:type="band1Vert">
      <w:tblPr/>
      <w:tcPr>
        <w:shd w:val="clear" w:color="auto" w:fill="D0EFC5" w:themeFill="accent6" w:themeFillTint="3F"/>
      </w:tcPr>
    </w:tblStylePr>
    <w:tblStylePr w:type="band1Horz">
      <w:tblPr/>
      <w:tcPr>
        <w:tcBorders>
          <w:insideH w:val="nil"/>
          <w:insideV w:val="nil"/>
        </w:tcBorders>
        <w:shd w:val="clear" w:color="auto" w:fill="D0EFC5"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487A7F"/>
    <w:pPr>
      <w:spacing w:after="0" w:line="240" w:lineRule="auto"/>
    </w:pPr>
    <w:rPr>
      <w:kern w:val="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487A7F"/>
    <w:pPr>
      <w:spacing w:after="0" w:line="240" w:lineRule="auto"/>
    </w:pPr>
    <w:rPr>
      <w:kern w:val="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487A7F"/>
    <w:pPr>
      <w:spacing w:after="0" w:line="240" w:lineRule="auto"/>
    </w:pPr>
    <w:rPr>
      <w:kern w:val="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97132"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97132" w:themeFill="accent2"/>
      </w:tcPr>
    </w:tblStylePr>
    <w:tblStylePr w:type="lastCol">
      <w:rPr>
        <w:b/>
        <w:bCs/>
        <w:color w:val="FFFFFF" w:themeColor="background1"/>
      </w:rPr>
      <w:tblPr/>
      <w:tcPr>
        <w:tcBorders>
          <w:left w:val="nil"/>
          <w:right w:val="nil"/>
          <w:insideH w:val="nil"/>
          <w:insideV w:val="nil"/>
        </w:tcBorders>
        <w:shd w:val="clear" w:color="auto" w:fill="E9713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487A7F"/>
    <w:pPr>
      <w:spacing w:after="0" w:line="240" w:lineRule="auto"/>
    </w:pPr>
    <w:rPr>
      <w:kern w:val="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96B24"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96B24" w:themeFill="accent3"/>
      </w:tcPr>
    </w:tblStylePr>
    <w:tblStylePr w:type="lastCol">
      <w:rPr>
        <w:b/>
        <w:bCs/>
        <w:color w:val="FFFFFF" w:themeColor="background1"/>
      </w:rPr>
      <w:tblPr/>
      <w:tcPr>
        <w:tcBorders>
          <w:left w:val="nil"/>
          <w:right w:val="nil"/>
          <w:insideH w:val="nil"/>
          <w:insideV w:val="nil"/>
        </w:tcBorders>
        <w:shd w:val="clear" w:color="auto" w:fill="196B24"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487A7F"/>
    <w:pPr>
      <w:spacing w:after="0" w:line="240" w:lineRule="auto"/>
    </w:pPr>
    <w:rPr>
      <w:kern w:val="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9ED5"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9ED5" w:themeFill="accent4"/>
      </w:tcPr>
    </w:tblStylePr>
    <w:tblStylePr w:type="lastCol">
      <w:rPr>
        <w:b/>
        <w:bCs/>
        <w:color w:val="FFFFFF" w:themeColor="background1"/>
      </w:rPr>
      <w:tblPr/>
      <w:tcPr>
        <w:tcBorders>
          <w:left w:val="nil"/>
          <w:right w:val="nil"/>
          <w:insideH w:val="nil"/>
          <w:insideV w:val="nil"/>
        </w:tcBorders>
        <w:shd w:val="clear" w:color="auto" w:fill="0F9ED5"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487A7F"/>
    <w:pPr>
      <w:spacing w:after="0" w:line="240" w:lineRule="auto"/>
    </w:pPr>
    <w:rPr>
      <w:kern w:val="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2B93"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2B93" w:themeFill="accent5"/>
      </w:tcPr>
    </w:tblStylePr>
    <w:tblStylePr w:type="lastCol">
      <w:rPr>
        <w:b/>
        <w:bCs/>
        <w:color w:val="FFFFFF" w:themeColor="background1"/>
      </w:rPr>
      <w:tblPr/>
      <w:tcPr>
        <w:tcBorders>
          <w:left w:val="nil"/>
          <w:right w:val="nil"/>
          <w:insideH w:val="nil"/>
          <w:insideV w:val="nil"/>
        </w:tcBorders>
        <w:shd w:val="clear" w:color="auto" w:fill="A02B93"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487A7F"/>
    <w:pPr>
      <w:spacing w:after="0" w:line="240" w:lineRule="auto"/>
    </w:pPr>
    <w:rPr>
      <w:kern w:val="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EA72E"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EA72E" w:themeFill="accent6"/>
      </w:tcPr>
    </w:tblStylePr>
    <w:tblStylePr w:type="lastCol">
      <w:rPr>
        <w:b/>
        <w:bCs/>
        <w:color w:val="FFFFFF" w:themeColor="background1"/>
      </w:rPr>
      <w:tblPr/>
      <w:tcPr>
        <w:tcBorders>
          <w:left w:val="nil"/>
          <w:right w:val="nil"/>
          <w:insideH w:val="nil"/>
          <w:insideV w:val="nil"/>
        </w:tcBorders>
        <w:shd w:val="clear" w:color="auto" w:fill="4EA72E"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487A7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487A7F"/>
    <w:rPr>
      <w:rFonts w:asciiTheme="majorHAnsi" w:eastAsiaTheme="majorEastAsia" w:hAnsiTheme="majorHAnsi" w:cstheme="majorBidi"/>
      <w:color w:val="000000"/>
      <w:kern w:val="0"/>
      <w:sz w:val="24"/>
      <w:szCs w:val="24"/>
      <w:shd w:val="pct20" w:color="auto" w:fill="auto"/>
      <w:lang w:bidi="ar-DZ"/>
      <w14:ligatures w14:val="none"/>
    </w:rPr>
  </w:style>
  <w:style w:type="paragraph" w:styleId="NormalWeb">
    <w:name w:val="Normal (Web)"/>
    <w:basedOn w:val="Normal"/>
    <w:uiPriority w:val="99"/>
    <w:semiHidden/>
    <w:unhideWhenUsed/>
    <w:rsid w:val="00487A7F"/>
    <w:rPr>
      <w:rFonts w:ascii="Times New Roman" w:hAnsi="Times New Roman"/>
      <w:sz w:val="24"/>
      <w:szCs w:val="24"/>
    </w:rPr>
  </w:style>
  <w:style w:type="paragraph" w:styleId="NormalIndent">
    <w:name w:val="Normal Indent"/>
    <w:basedOn w:val="Normal"/>
    <w:uiPriority w:val="99"/>
    <w:semiHidden/>
    <w:unhideWhenUsed/>
    <w:rsid w:val="00487A7F"/>
    <w:pPr>
      <w:ind w:left="720"/>
    </w:pPr>
  </w:style>
  <w:style w:type="paragraph" w:styleId="NoteHeading">
    <w:name w:val="Note Heading"/>
    <w:basedOn w:val="Normal"/>
    <w:next w:val="Normal"/>
    <w:link w:val="NoteHeadingChar"/>
    <w:uiPriority w:val="99"/>
    <w:semiHidden/>
    <w:unhideWhenUsed/>
    <w:rsid w:val="00487A7F"/>
  </w:style>
  <w:style w:type="character" w:customStyle="1" w:styleId="NoteHeadingChar">
    <w:name w:val="Note Heading Char"/>
    <w:basedOn w:val="DefaultParagraphFont"/>
    <w:link w:val="NoteHeading"/>
    <w:uiPriority w:val="99"/>
    <w:semiHidden/>
    <w:rsid w:val="00487A7F"/>
    <w:rPr>
      <w:rFonts w:ascii="Century Gothic" w:eastAsia="PMingLiU" w:hAnsi="Century Gothic" w:cs="Times New Roman"/>
      <w:color w:val="000000"/>
      <w:kern w:val="0"/>
      <w:szCs w:val="20"/>
      <w:lang w:bidi="ar-DZ"/>
      <w14:ligatures w14:val="none"/>
    </w:rPr>
  </w:style>
  <w:style w:type="character" w:styleId="PageNumber">
    <w:name w:val="page number"/>
    <w:semiHidden/>
    <w:rsid w:val="00487A7F"/>
    <w:rPr>
      <w:rFonts w:ascii="Century Gothic" w:hAnsi="Century Gothic"/>
      <w:sz w:val="18"/>
      <w:szCs w:val="18"/>
      <w:lang w:val="en-US" w:bidi="ar-DZ"/>
    </w:rPr>
  </w:style>
  <w:style w:type="character" w:styleId="PlaceholderText">
    <w:name w:val="Placeholder Text"/>
    <w:basedOn w:val="DefaultParagraphFont"/>
    <w:uiPriority w:val="99"/>
    <w:semiHidden/>
    <w:rsid w:val="00487A7F"/>
    <w:rPr>
      <w:color w:val="808080"/>
      <w:lang w:val="en-US" w:bidi="ar-DZ"/>
    </w:rPr>
  </w:style>
  <w:style w:type="table" w:styleId="PlainTable1">
    <w:name w:val="Plain Table 1"/>
    <w:basedOn w:val="TableNormal"/>
    <w:uiPriority w:val="41"/>
    <w:rsid w:val="00487A7F"/>
    <w:pPr>
      <w:spacing w:after="0" w:line="240" w:lineRule="auto"/>
    </w:pPr>
    <w:rPr>
      <w:kern w:val="0"/>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487A7F"/>
    <w:pPr>
      <w:spacing w:after="0" w:line="240" w:lineRule="auto"/>
    </w:pPr>
    <w:rPr>
      <w:kern w:val="0"/>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487A7F"/>
    <w:pPr>
      <w:spacing w:after="0" w:line="240" w:lineRule="auto"/>
    </w:pPr>
    <w:rPr>
      <w:kern w:val="0"/>
      <w14:ligatures w14:val="none"/>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487A7F"/>
    <w:pPr>
      <w:spacing w:after="0" w:line="240" w:lineRule="auto"/>
    </w:pPr>
    <w:rPr>
      <w:kern w:val="0"/>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487A7F"/>
    <w:pPr>
      <w:spacing w:after="0" w:line="240" w:lineRule="auto"/>
    </w:pPr>
    <w:rPr>
      <w:kern w:val="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487A7F"/>
    <w:rPr>
      <w:rFonts w:ascii="Consolas" w:hAnsi="Consolas"/>
      <w:sz w:val="21"/>
      <w:szCs w:val="21"/>
    </w:rPr>
  </w:style>
  <w:style w:type="character" w:customStyle="1" w:styleId="PlainTextChar">
    <w:name w:val="Plain Text Char"/>
    <w:basedOn w:val="DefaultParagraphFont"/>
    <w:link w:val="PlainText"/>
    <w:uiPriority w:val="99"/>
    <w:semiHidden/>
    <w:rsid w:val="00487A7F"/>
    <w:rPr>
      <w:rFonts w:ascii="Consolas" w:eastAsia="PMingLiU" w:hAnsi="Consolas" w:cs="Times New Roman"/>
      <w:color w:val="000000"/>
      <w:kern w:val="0"/>
      <w:sz w:val="21"/>
      <w:szCs w:val="21"/>
      <w:lang w:bidi="ar-DZ"/>
      <w14:ligatures w14:val="none"/>
    </w:rPr>
  </w:style>
  <w:style w:type="paragraph" w:styleId="Salutation">
    <w:name w:val="Salutation"/>
    <w:basedOn w:val="Normal"/>
    <w:next w:val="Normal"/>
    <w:link w:val="SalutationChar"/>
    <w:uiPriority w:val="99"/>
    <w:semiHidden/>
    <w:unhideWhenUsed/>
    <w:rsid w:val="00487A7F"/>
  </w:style>
  <w:style w:type="character" w:customStyle="1" w:styleId="SalutationChar">
    <w:name w:val="Salutation Char"/>
    <w:basedOn w:val="DefaultParagraphFont"/>
    <w:link w:val="Salutation"/>
    <w:uiPriority w:val="99"/>
    <w:semiHidden/>
    <w:rsid w:val="00487A7F"/>
    <w:rPr>
      <w:rFonts w:ascii="Century Gothic" w:eastAsia="PMingLiU" w:hAnsi="Century Gothic" w:cs="Times New Roman"/>
      <w:color w:val="000000"/>
      <w:kern w:val="0"/>
      <w:szCs w:val="20"/>
      <w:lang w:bidi="ar-DZ"/>
      <w14:ligatures w14:val="none"/>
    </w:rPr>
  </w:style>
  <w:style w:type="paragraph" w:styleId="Signature">
    <w:name w:val="Signature"/>
    <w:basedOn w:val="Normal"/>
    <w:link w:val="SignatureChar"/>
    <w:uiPriority w:val="99"/>
    <w:semiHidden/>
    <w:unhideWhenUsed/>
    <w:rsid w:val="00487A7F"/>
    <w:pPr>
      <w:ind w:left="4252"/>
    </w:pPr>
  </w:style>
  <w:style w:type="character" w:customStyle="1" w:styleId="SignatureChar">
    <w:name w:val="Signature Char"/>
    <w:basedOn w:val="DefaultParagraphFont"/>
    <w:link w:val="Signature"/>
    <w:uiPriority w:val="99"/>
    <w:semiHidden/>
    <w:rsid w:val="00487A7F"/>
    <w:rPr>
      <w:rFonts w:ascii="Century Gothic" w:eastAsia="PMingLiU" w:hAnsi="Century Gothic" w:cs="Times New Roman"/>
      <w:color w:val="000000"/>
      <w:kern w:val="0"/>
      <w:szCs w:val="20"/>
      <w:lang w:bidi="ar-DZ"/>
      <w14:ligatures w14:val="none"/>
    </w:rPr>
  </w:style>
  <w:style w:type="character" w:styleId="Strong">
    <w:name w:val="Strong"/>
    <w:basedOn w:val="DefaultParagraphFont"/>
    <w:uiPriority w:val="22"/>
    <w:qFormat/>
    <w:rsid w:val="00487A7F"/>
    <w:rPr>
      <w:b/>
      <w:bCs/>
      <w:lang w:val="en-US" w:bidi="ar-DZ"/>
    </w:rPr>
  </w:style>
  <w:style w:type="paragraph" w:customStyle="1" w:styleId="Style1">
    <w:name w:val="Style1"/>
    <w:basedOn w:val="LeadInText"/>
    <w:semiHidden/>
    <w:qFormat/>
    <w:rsid w:val="00487A7F"/>
    <w:pPr>
      <w:spacing w:after="200" w:line="480" w:lineRule="exact"/>
    </w:pPr>
  </w:style>
  <w:style w:type="character" w:styleId="SubtleEmphasis">
    <w:name w:val="Subtle Emphasis"/>
    <w:basedOn w:val="DefaultParagraphFont"/>
    <w:uiPriority w:val="19"/>
    <w:qFormat/>
    <w:rsid w:val="00487A7F"/>
    <w:rPr>
      <w:i/>
      <w:iCs/>
      <w:color w:val="404040" w:themeColor="text1" w:themeTint="BF"/>
      <w:lang w:val="en-US" w:bidi="ar-DZ"/>
    </w:rPr>
  </w:style>
  <w:style w:type="character" w:styleId="SubtleReference">
    <w:name w:val="Subtle Reference"/>
    <w:basedOn w:val="DefaultParagraphFont"/>
    <w:uiPriority w:val="31"/>
    <w:qFormat/>
    <w:rsid w:val="00487A7F"/>
    <w:rPr>
      <w:smallCaps/>
      <w:color w:val="5A5A5A" w:themeColor="text1" w:themeTint="A5"/>
      <w:lang w:val="en-US" w:bidi="ar-DZ"/>
    </w:rPr>
  </w:style>
  <w:style w:type="table" w:styleId="Table3Deffects1">
    <w:name w:val="Table 3D effects 1"/>
    <w:basedOn w:val="TableNormal"/>
    <w:uiPriority w:val="99"/>
    <w:semiHidden/>
    <w:unhideWhenUsed/>
    <w:rsid w:val="00487A7F"/>
    <w:pPr>
      <w:spacing w:after="0" w:line="240" w:lineRule="auto"/>
    </w:pPr>
    <w:rPr>
      <w:kern w:val="0"/>
      <w14:ligatures w14:val="none"/>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487A7F"/>
    <w:pPr>
      <w:spacing w:after="0" w:line="240" w:lineRule="auto"/>
    </w:pPr>
    <w:rPr>
      <w:kern w:val="0"/>
      <w14:ligatures w14:val="none"/>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487A7F"/>
    <w:pPr>
      <w:spacing w:after="0" w:line="240" w:lineRule="auto"/>
    </w:pPr>
    <w:rPr>
      <w:kern w:val="0"/>
      <w14:ligatures w14:val="none"/>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487A7F"/>
    <w:pPr>
      <w:spacing w:after="0" w:line="240" w:lineRule="auto"/>
    </w:pPr>
    <w:rPr>
      <w:kern w:val="0"/>
      <w14:ligatures w14:val="none"/>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487A7F"/>
    <w:pPr>
      <w:spacing w:after="0" w:line="240" w:lineRule="auto"/>
    </w:pPr>
    <w:rPr>
      <w:kern w:val="0"/>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487A7F"/>
    <w:pPr>
      <w:spacing w:after="0" w:line="240" w:lineRule="auto"/>
    </w:pPr>
    <w:rPr>
      <w:color w:val="000080"/>
      <w:kern w:val="0"/>
      <w14:ligatures w14:val="non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487A7F"/>
    <w:pPr>
      <w:spacing w:after="0" w:line="240" w:lineRule="auto"/>
    </w:pPr>
    <w:rPr>
      <w:kern w:val="0"/>
      <w14:ligatures w14:val="none"/>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487A7F"/>
    <w:pPr>
      <w:spacing w:after="0" w:line="240" w:lineRule="auto"/>
    </w:pPr>
    <w:rPr>
      <w:color w:val="FFFFFF"/>
      <w:kern w:val="0"/>
      <w14:ligatures w14:val="non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487A7F"/>
    <w:pPr>
      <w:spacing w:after="0" w:line="240" w:lineRule="auto"/>
    </w:pPr>
    <w:rPr>
      <w:kern w:val="0"/>
      <w14:ligatures w14:val="none"/>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487A7F"/>
    <w:pPr>
      <w:spacing w:after="0" w:line="240" w:lineRule="auto"/>
    </w:pPr>
    <w:rPr>
      <w:kern w:val="0"/>
      <w14:ligatures w14:val="non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487A7F"/>
    <w:pPr>
      <w:spacing w:after="0" w:line="240" w:lineRule="auto"/>
    </w:pPr>
    <w:rPr>
      <w:b/>
      <w:bCs/>
      <w:kern w:val="0"/>
      <w14:ligatures w14:val="non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487A7F"/>
    <w:pPr>
      <w:spacing w:after="0" w:line="240" w:lineRule="auto"/>
    </w:pPr>
    <w:rPr>
      <w:b/>
      <w:bCs/>
      <w:kern w:val="0"/>
      <w14:ligatures w14:val="none"/>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487A7F"/>
    <w:pPr>
      <w:spacing w:after="0" w:line="240" w:lineRule="auto"/>
    </w:pPr>
    <w:rPr>
      <w:b/>
      <w:bCs/>
      <w:kern w:val="0"/>
      <w14:ligatures w14:val="non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487A7F"/>
    <w:pPr>
      <w:spacing w:after="0" w:line="240" w:lineRule="auto"/>
    </w:pPr>
    <w:rPr>
      <w:kern w:val="0"/>
      <w14:ligatures w14:val="none"/>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487A7F"/>
    <w:pPr>
      <w:spacing w:after="0" w:line="240" w:lineRule="auto"/>
    </w:pPr>
    <w:rPr>
      <w:kern w:val="0"/>
      <w14:ligatures w14:val="non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487A7F"/>
    <w:pPr>
      <w:spacing w:after="0" w:line="240" w:lineRule="auto"/>
    </w:pPr>
    <w:rPr>
      <w:kern w:val="0"/>
      <w14:ligatures w14:val="non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487A7F"/>
    <w:pPr>
      <w:spacing w:after="0" w:line="240" w:lineRule="auto"/>
    </w:pPr>
    <w:rPr>
      <w:kern w:val="0"/>
      <w14:ligatures w14:val="non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aliases w:val="Equifax table,Header Table,VF_Table,Smart Text Table,Deloitte Table Grid,Table Definitions Grid,Table Definitions Grid1,Table Grid WDS,Yellow,FirstDataRFP"/>
    <w:basedOn w:val="TableNormal"/>
    <w:uiPriority w:val="39"/>
    <w:rsid w:val="00487A7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9"/>
    <w:semiHidden/>
    <w:unhideWhenUsed/>
    <w:rsid w:val="00487A7F"/>
    <w:pPr>
      <w:spacing w:after="0" w:line="240" w:lineRule="auto"/>
    </w:pPr>
    <w:rPr>
      <w:kern w:val="0"/>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487A7F"/>
    <w:pPr>
      <w:spacing w:after="0" w:line="240" w:lineRule="auto"/>
    </w:pPr>
    <w:rPr>
      <w:kern w:val="0"/>
      <w14:ligatures w14:val="none"/>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487A7F"/>
    <w:pPr>
      <w:spacing w:after="0" w:line="240" w:lineRule="auto"/>
    </w:pPr>
    <w:rPr>
      <w:kern w:val="0"/>
      <w14:ligatures w14:val="none"/>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487A7F"/>
    <w:pPr>
      <w:spacing w:after="0" w:line="240" w:lineRule="auto"/>
    </w:pPr>
    <w:rPr>
      <w:kern w:val="0"/>
      <w14:ligatures w14:val="none"/>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487A7F"/>
    <w:pPr>
      <w:spacing w:after="0" w:line="240" w:lineRule="auto"/>
    </w:pPr>
    <w:rPr>
      <w:kern w:val="0"/>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487A7F"/>
    <w:pPr>
      <w:spacing w:after="0" w:line="240" w:lineRule="auto"/>
    </w:pPr>
    <w:rPr>
      <w:kern w:val="0"/>
      <w14:ligatures w14:val="none"/>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487A7F"/>
    <w:pPr>
      <w:spacing w:after="0" w:line="240" w:lineRule="auto"/>
    </w:pPr>
    <w:rPr>
      <w:b/>
      <w:bCs/>
      <w:kern w:val="0"/>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487A7F"/>
    <w:pPr>
      <w:spacing w:after="0" w:line="240" w:lineRule="auto"/>
    </w:pPr>
    <w:rPr>
      <w:kern w:val="0"/>
      <w14:ligatures w14:val="non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487A7F"/>
    <w:pPr>
      <w:spacing w:after="0" w:line="240" w:lineRule="auto"/>
    </w:pPr>
    <w:rPr>
      <w:kern w:val="0"/>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487A7F"/>
    <w:pPr>
      <w:spacing w:after="0" w:line="240" w:lineRule="auto"/>
    </w:pPr>
    <w:rPr>
      <w:kern w:val="0"/>
      <w14:ligatures w14:val="non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487A7F"/>
    <w:pPr>
      <w:spacing w:after="0" w:line="240" w:lineRule="auto"/>
    </w:pPr>
    <w:rPr>
      <w:kern w:val="0"/>
      <w14:ligatures w14:val="none"/>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487A7F"/>
    <w:pPr>
      <w:spacing w:after="0" w:line="240" w:lineRule="auto"/>
    </w:pPr>
    <w:rPr>
      <w:kern w:val="0"/>
      <w14:ligatures w14:val="none"/>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487A7F"/>
    <w:pPr>
      <w:spacing w:after="0" w:line="240" w:lineRule="auto"/>
    </w:pPr>
    <w:rPr>
      <w:kern w:val="0"/>
      <w14:ligatures w14:val="none"/>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487A7F"/>
    <w:pPr>
      <w:spacing w:after="0" w:line="240" w:lineRule="auto"/>
    </w:pPr>
    <w:rPr>
      <w:kern w:val="0"/>
      <w14:ligatures w14:val="non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487A7F"/>
    <w:pPr>
      <w:spacing w:after="0" w:line="240" w:lineRule="auto"/>
    </w:pPr>
    <w:rPr>
      <w:kern w:val="0"/>
      <w14:ligatures w14:val="non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487A7F"/>
    <w:pPr>
      <w:spacing w:after="0" w:line="240" w:lineRule="auto"/>
    </w:pPr>
    <w:rPr>
      <w:kern w:val="0"/>
      <w14:ligatures w14:val="non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487A7F"/>
    <w:pPr>
      <w:spacing w:after="0" w:line="240" w:lineRule="auto"/>
    </w:pPr>
    <w:rPr>
      <w:kern w:val="0"/>
      <w14:ligatures w14:val="non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semiHidden/>
    <w:rsid w:val="00487A7F"/>
    <w:pPr>
      <w:ind w:left="220" w:hanging="220"/>
    </w:pPr>
  </w:style>
  <w:style w:type="table" w:styleId="TableProfessional">
    <w:name w:val="Table Professional"/>
    <w:basedOn w:val="TableNormal"/>
    <w:uiPriority w:val="99"/>
    <w:semiHidden/>
    <w:unhideWhenUsed/>
    <w:rsid w:val="00487A7F"/>
    <w:pPr>
      <w:spacing w:after="0" w:line="240" w:lineRule="auto"/>
    </w:pPr>
    <w:rPr>
      <w:kern w:val="0"/>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487A7F"/>
    <w:pPr>
      <w:spacing w:after="0" w:line="240" w:lineRule="auto"/>
    </w:pPr>
    <w:rPr>
      <w:kern w:val="0"/>
      <w14:ligatures w14:val="non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487A7F"/>
    <w:pPr>
      <w:spacing w:after="0" w:line="240" w:lineRule="auto"/>
    </w:pPr>
    <w:rPr>
      <w:kern w:val="0"/>
      <w14:ligatures w14:val="none"/>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487A7F"/>
    <w:pPr>
      <w:spacing w:after="0" w:line="240" w:lineRule="auto"/>
    </w:pPr>
    <w:rPr>
      <w:kern w:val="0"/>
      <w14:ligatures w14:val="none"/>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487A7F"/>
    <w:pPr>
      <w:spacing w:after="0" w:line="240" w:lineRule="auto"/>
    </w:pPr>
    <w:rPr>
      <w:kern w:val="0"/>
      <w14:ligatures w14:val="non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487A7F"/>
    <w:pPr>
      <w:spacing w:after="0" w:line="240" w:lineRule="auto"/>
    </w:pPr>
    <w:rPr>
      <w:kern w:val="0"/>
      <w14:ligatures w14:val="none"/>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487A7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487A7F"/>
    <w:pPr>
      <w:spacing w:after="0" w:line="240" w:lineRule="auto"/>
    </w:pPr>
    <w:rPr>
      <w:kern w:val="0"/>
      <w14:ligatures w14:val="non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487A7F"/>
    <w:pPr>
      <w:spacing w:after="0" w:line="240" w:lineRule="auto"/>
    </w:pPr>
    <w:rPr>
      <w:kern w:val="0"/>
      <w14:ligatures w14:val="non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487A7F"/>
    <w:pPr>
      <w:spacing w:after="0" w:line="240" w:lineRule="auto"/>
    </w:pPr>
    <w:rPr>
      <w:kern w:val="0"/>
      <w14:ligatures w14:val="non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semiHidden/>
    <w:rsid w:val="00487A7F"/>
    <w:pPr>
      <w:spacing w:before="120"/>
    </w:pPr>
    <w:rPr>
      <w:rFonts w:cs="Arial"/>
      <w:b/>
      <w:bCs/>
      <w:sz w:val="24"/>
      <w:szCs w:val="24"/>
    </w:rPr>
  </w:style>
  <w:style w:type="paragraph" w:styleId="TOC1">
    <w:name w:val="toc 1"/>
    <w:next w:val="BodyText"/>
    <w:uiPriority w:val="39"/>
    <w:rsid w:val="00487A7F"/>
    <w:pPr>
      <w:tabs>
        <w:tab w:val="left" w:pos="567"/>
        <w:tab w:val="right" w:leader="dot" w:pos="9360"/>
      </w:tabs>
      <w:spacing w:before="60" w:after="60" w:line="220" w:lineRule="atLeast"/>
    </w:pPr>
    <w:rPr>
      <w:rFonts w:ascii="Century Gothic" w:eastAsia="Calibri" w:hAnsi="Century Gothic" w:cs="Times New Roman"/>
      <w:b/>
      <w:noProof/>
      <w:color w:val="2B3A44"/>
      <w:kern w:val="0"/>
      <w:szCs w:val="20"/>
      <w:lang w:eastAsia="en-GB" w:bidi="ar-DZ"/>
      <w14:ligatures w14:val="none"/>
    </w:rPr>
  </w:style>
  <w:style w:type="paragraph" w:styleId="TOC2">
    <w:name w:val="toc 2"/>
    <w:next w:val="BodyText"/>
    <w:uiPriority w:val="39"/>
    <w:rsid w:val="00487A7F"/>
    <w:pPr>
      <w:tabs>
        <w:tab w:val="left" w:pos="1134"/>
        <w:tab w:val="right" w:leader="dot" w:pos="9360"/>
      </w:tabs>
      <w:spacing w:after="20" w:line="220" w:lineRule="atLeast"/>
      <w:ind w:left="1008" w:hanging="576"/>
    </w:pPr>
    <w:rPr>
      <w:rFonts w:ascii="Century Gothic" w:eastAsia="PMingLiU" w:hAnsi="Century Gothic" w:cs="Times New Roman"/>
      <w:color w:val="2B3A44"/>
      <w:kern w:val="0"/>
      <w:szCs w:val="18"/>
      <w:lang w:bidi="ar-DZ"/>
      <w14:ligatures w14:val="none"/>
    </w:rPr>
  </w:style>
  <w:style w:type="paragraph" w:styleId="TOC3">
    <w:name w:val="toc 3"/>
    <w:next w:val="BodyText"/>
    <w:uiPriority w:val="39"/>
    <w:rsid w:val="00487A7F"/>
    <w:pPr>
      <w:tabs>
        <w:tab w:val="left" w:pos="1701"/>
        <w:tab w:val="right" w:leader="dot" w:pos="9360"/>
      </w:tabs>
      <w:spacing w:after="20" w:line="220" w:lineRule="atLeast"/>
      <w:ind w:left="1628" w:hanging="634"/>
    </w:pPr>
    <w:rPr>
      <w:rFonts w:ascii="Century Gothic" w:eastAsia="PMingLiU" w:hAnsi="Century Gothic" w:cs="Times New Roman"/>
      <w:noProof/>
      <w:color w:val="2B3A44"/>
      <w:kern w:val="0"/>
      <w:szCs w:val="18"/>
      <w:lang w:eastAsia="en-GB" w:bidi="ar-DZ"/>
      <w14:ligatures w14:val="none"/>
    </w:rPr>
  </w:style>
  <w:style w:type="paragraph" w:styleId="TOC4">
    <w:name w:val="toc 4"/>
    <w:next w:val="BodyText"/>
    <w:uiPriority w:val="39"/>
    <w:rsid w:val="00487A7F"/>
    <w:pPr>
      <w:tabs>
        <w:tab w:val="left" w:pos="2610"/>
        <w:tab w:val="right" w:leader="dot" w:pos="9360"/>
      </w:tabs>
      <w:spacing w:after="20" w:line="240" w:lineRule="auto"/>
      <w:ind w:left="2621" w:hanging="994"/>
    </w:pPr>
    <w:rPr>
      <w:rFonts w:ascii="Century Gothic" w:eastAsia="PMingLiU" w:hAnsi="Century Gothic" w:cs="Times New Roman"/>
      <w:noProof/>
      <w:color w:val="2B3A44"/>
      <w:kern w:val="0"/>
      <w:lang w:bidi="ar-DZ"/>
      <w14:ligatures w14:val="none"/>
    </w:rPr>
  </w:style>
  <w:style w:type="paragraph" w:styleId="TOC5">
    <w:name w:val="toc 5"/>
    <w:next w:val="BodyText"/>
    <w:uiPriority w:val="39"/>
    <w:rsid w:val="00487A7F"/>
    <w:pPr>
      <w:tabs>
        <w:tab w:val="left" w:pos="3690"/>
        <w:tab w:val="right" w:leader="dot" w:pos="9360"/>
      </w:tabs>
      <w:spacing w:after="20" w:line="240" w:lineRule="auto"/>
      <w:ind w:left="3686" w:hanging="1080"/>
    </w:pPr>
    <w:rPr>
      <w:rFonts w:ascii="Century Gothic" w:eastAsia="PMingLiU" w:hAnsi="Century Gothic" w:cs="Times New Roman"/>
      <w:noProof/>
      <w:color w:val="2B3A44"/>
      <w:kern w:val="0"/>
      <w:lang w:bidi="ar-DZ"/>
      <w14:ligatures w14:val="none"/>
    </w:rPr>
  </w:style>
  <w:style w:type="paragraph" w:styleId="TOC6">
    <w:name w:val="toc 6"/>
    <w:next w:val="BodyText"/>
    <w:uiPriority w:val="39"/>
    <w:rsid w:val="00487A7F"/>
    <w:pPr>
      <w:tabs>
        <w:tab w:val="left" w:pos="4950"/>
        <w:tab w:val="right" w:leader="dot" w:pos="9360"/>
      </w:tabs>
      <w:spacing w:after="20"/>
      <w:ind w:left="4953" w:hanging="1267"/>
    </w:pPr>
    <w:rPr>
      <w:rFonts w:ascii="Century Gothic" w:eastAsia="PMingLiU" w:hAnsi="Century Gothic" w:cs="Times New Roman"/>
      <w:noProof/>
      <w:color w:val="2B3A44"/>
      <w:kern w:val="0"/>
      <w:szCs w:val="20"/>
      <w:lang w:bidi="ar-DZ"/>
      <w14:ligatures w14:val="none"/>
    </w:rPr>
  </w:style>
  <w:style w:type="paragraph" w:styleId="TOC7">
    <w:name w:val="toc 7"/>
    <w:basedOn w:val="Normal"/>
    <w:next w:val="BodyText"/>
    <w:semiHidden/>
    <w:rsid w:val="00487A7F"/>
    <w:pPr>
      <w:tabs>
        <w:tab w:val="right" w:pos="8525"/>
      </w:tabs>
      <w:ind w:left="2952" w:hanging="1152"/>
    </w:pPr>
    <w:rPr>
      <w:sz w:val="20"/>
    </w:rPr>
  </w:style>
  <w:style w:type="paragraph" w:styleId="TOC8">
    <w:name w:val="toc 8"/>
    <w:basedOn w:val="Normal"/>
    <w:next w:val="BodyText"/>
    <w:semiHidden/>
    <w:rsid w:val="00487A7F"/>
    <w:pPr>
      <w:tabs>
        <w:tab w:val="right" w:pos="8525"/>
      </w:tabs>
      <w:ind w:left="3456" w:hanging="1296"/>
    </w:pPr>
    <w:rPr>
      <w:sz w:val="20"/>
    </w:rPr>
  </w:style>
  <w:style w:type="paragraph" w:styleId="TOC9">
    <w:name w:val="toc 9"/>
    <w:basedOn w:val="Normal"/>
    <w:next w:val="BodyText"/>
    <w:semiHidden/>
    <w:rsid w:val="00487A7F"/>
    <w:pPr>
      <w:tabs>
        <w:tab w:val="right" w:pos="8525"/>
      </w:tabs>
      <w:ind w:left="3960" w:hanging="1440"/>
    </w:pPr>
    <w:rPr>
      <w:sz w:val="20"/>
    </w:rPr>
  </w:style>
  <w:style w:type="paragraph" w:styleId="TOCHeading">
    <w:name w:val="TOC Heading"/>
    <w:next w:val="TOC1"/>
    <w:uiPriority w:val="39"/>
    <w:qFormat/>
    <w:rsid w:val="00487A7F"/>
    <w:pPr>
      <w:keepLines/>
      <w:spacing w:before="240" w:after="120" w:line="240" w:lineRule="auto"/>
    </w:pPr>
    <w:rPr>
      <w:rFonts w:ascii="Century Gothic" w:eastAsiaTheme="majorEastAsia" w:hAnsi="Century Gothic" w:cs="Arial"/>
      <w:b/>
      <w:color w:val="2B3A44"/>
      <w:kern w:val="0"/>
      <w:sz w:val="36"/>
      <w:szCs w:val="32"/>
      <w:lang w:bidi="ar-DZ"/>
      <w14:ligatures w14:val="none"/>
    </w:rPr>
  </w:style>
  <w:style w:type="table" w:customStyle="1" w:styleId="TableGrid10">
    <w:name w:val="Table Grid1"/>
    <w:basedOn w:val="TableNormal"/>
    <w:next w:val="TableGrid"/>
    <w:uiPriority w:val="39"/>
    <w:rsid w:val="00487A7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sAuto1Single">
    <w:name w:val="*Numbers (Auto) #1 Single"/>
    <w:basedOn w:val="Normal"/>
    <w:uiPriority w:val="1"/>
    <w:rsid w:val="00487A7F"/>
    <w:pPr>
      <w:tabs>
        <w:tab w:val="left" w:pos="360"/>
        <w:tab w:val="left" w:pos="1440"/>
      </w:tabs>
      <w:spacing w:line="276" w:lineRule="auto"/>
    </w:pPr>
    <w:rPr>
      <w:rFonts w:eastAsia="Arial" w:cs="Arial"/>
      <w:color w:val="2B3A44"/>
      <w:szCs w:val="18"/>
    </w:rPr>
  </w:style>
  <w:style w:type="paragraph" w:customStyle="1" w:styleId="NumbersAuto1Double">
    <w:name w:val="*Numbers (Auto) #1 Double"/>
    <w:basedOn w:val="NumbersAuto1Single"/>
    <w:uiPriority w:val="1"/>
    <w:qFormat/>
    <w:rsid w:val="00487A7F"/>
    <w:pPr>
      <w:numPr>
        <w:numId w:val="17"/>
      </w:numPr>
      <w:tabs>
        <w:tab w:val="clear" w:pos="1440"/>
      </w:tabs>
      <w:spacing w:after="120"/>
    </w:pPr>
  </w:style>
  <w:style w:type="paragraph" w:customStyle="1" w:styleId="NumbersAuto2Single">
    <w:name w:val="*Numbers (Auto) #2 Single"/>
    <w:basedOn w:val="Normal"/>
    <w:uiPriority w:val="1"/>
    <w:qFormat/>
    <w:rsid w:val="00487A7F"/>
    <w:pPr>
      <w:tabs>
        <w:tab w:val="left" w:pos="1440"/>
      </w:tabs>
      <w:spacing w:line="276" w:lineRule="auto"/>
    </w:pPr>
    <w:rPr>
      <w:color w:val="2B3A44"/>
    </w:rPr>
  </w:style>
  <w:style w:type="paragraph" w:customStyle="1" w:styleId="NumbersAuto3Single">
    <w:name w:val="*Numbers (Auto) #3 Single"/>
    <w:basedOn w:val="Normal"/>
    <w:uiPriority w:val="1"/>
    <w:qFormat/>
    <w:rsid w:val="00487A7F"/>
    <w:pPr>
      <w:tabs>
        <w:tab w:val="left" w:pos="1080"/>
      </w:tabs>
      <w:spacing w:line="276" w:lineRule="auto"/>
    </w:pPr>
    <w:rPr>
      <w:color w:val="2B3A44"/>
    </w:rPr>
  </w:style>
  <w:style w:type="paragraph" w:customStyle="1" w:styleId="NumbersAuto2Double">
    <w:name w:val="*Numbers (Auto) #2 Double"/>
    <w:basedOn w:val="NumbersAuto2Single"/>
    <w:uiPriority w:val="1"/>
    <w:qFormat/>
    <w:rsid w:val="00487A7F"/>
    <w:pPr>
      <w:numPr>
        <w:ilvl w:val="1"/>
        <w:numId w:val="17"/>
      </w:numPr>
      <w:spacing w:after="120"/>
    </w:pPr>
  </w:style>
  <w:style w:type="paragraph" w:customStyle="1" w:styleId="NumbersAuto3Double">
    <w:name w:val="*Numbers (Auto) #3 Double"/>
    <w:basedOn w:val="BodyText"/>
    <w:uiPriority w:val="1"/>
    <w:qFormat/>
    <w:rsid w:val="00487A7F"/>
    <w:pPr>
      <w:numPr>
        <w:ilvl w:val="2"/>
        <w:numId w:val="17"/>
      </w:numPr>
      <w:tabs>
        <w:tab w:val="left" w:pos="1080"/>
      </w:tabs>
    </w:pPr>
  </w:style>
  <w:style w:type="paragraph" w:customStyle="1" w:styleId="NumbersAuto5Single">
    <w:name w:val="*Numbers (Auto) #5 Single"/>
    <w:basedOn w:val="NumbersAuto3Single"/>
    <w:uiPriority w:val="1"/>
    <w:qFormat/>
    <w:rsid w:val="00487A7F"/>
    <w:pPr>
      <w:numPr>
        <w:numId w:val="19"/>
      </w:numPr>
      <w:tabs>
        <w:tab w:val="clear" w:pos="1080"/>
        <w:tab w:val="left" w:pos="1620"/>
      </w:tabs>
      <w:ind w:left="1620"/>
    </w:pPr>
  </w:style>
  <w:style w:type="paragraph" w:customStyle="1" w:styleId="NumbersAuto4Double">
    <w:name w:val="*Numbers (Auto) #4 Double"/>
    <w:basedOn w:val="Normal"/>
    <w:uiPriority w:val="1"/>
    <w:qFormat/>
    <w:rsid w:val="00487A7F"/>
    <w:pPr>
      <w:numPr>
        <w:numId w:val="18"/>
      </w:numPr>
      <w:tabs>
        <w:tab w:val="left" w:pos="1260"/>
      </w:tabs>
      <w:spacing w:after="120" w:line="276" w:lineRule="auto"/>
      <w:ind w:left="1267"/>
    </w:pPr>
    <w:rPr>
      <w:rFonts w:eastAsia="Arial" w:cs="Arial"/>
      <w:color w:val="2B3A44"/>
      <w:szCs w:val="18"/>
    </w:rPr>
  </w:style>
  <w:style w:type="paragraph" w:customStyle="1" w:styleId="NumbersAuto5Double">
    <w:name w:val="*Numbers (Auto) #5 Double"/>
    <w:basedOn w:val="NumbersAuto5Single"/>
    <w:uiPriority w:val="1"/>
    <w:qFormat/>
    <w:rsid w:val="00487A7F"/>
    <w:pPr>
      <w:spacing w:after="120"/>
      <w:ind w:left="1627"/>
    </w:pPr>
  </w:style>
  <w:style w:type="numbering" w:customStyle="1" w:styleId="NumberAutoSingle">
    <w:name w:val="*Number Auto Single"/>
    <w:uiPriority w:val="99"/>
    <w:rsid w:val="00487A7F"/>
    <w:pPr>
      <w:numPr>
        <w:numId w:val="49"/>
      </w:numPr>
    </w:pPr>
  </w:style>
  <w:style w:type="numbering" w:customStyle="1" w:styleId="NumbersAutoDouble">
    <w:name w:val="*Numbers Auto Double"/>
    <w:uiPriority w:val="99"/>
    <w:rsid w:val="00487A7F"/>
    <w:pPr>
      <w:numPr>
        <w:numId w:val="50"/>
      </w:numPr>
    </w:pPr>
  </w:style>
  <w:style w:type="paragraph" w:customStyle="1" w:styleId="BulletSubnumber0">
    <w:name w:val="~Bullet Subnumber"/>
    <w:basedOn w:val="BulletSubnumber"/>
    <w:uiPriority w:val="1"/>
    <w:rsid w:val="00487A7F"/>
    <w:pPr>
      <w:spacing w:line="240" w:lineRule="auto"/>
    </w:pPr>
  </w:style>
  <w:style w:type="paragraph" w:customStyle="1" w:styleId="SectionHeading">
    <w:name w:val="SectionHeading"/>
    <w:uiPriority w:val="1"/>
    <w:qFormat/>
    <w:rsid w:val="00487A7F"/>
    <w:pPr>
      <w:pageBreakBefore/>
      <w:spacing w:before="240" w:after="0" w:line="240" w:lineRule="auto"/>
    </w:pPr>
    <w:rPr>
      <w:rFonts w:ascii="Century Gothic" w:eastAsia="PMingLiU" w:hAnsi="Century Gothic" w:cs="Times New Roman"/>
      <w:b/>
      <w:color w:val="FFFFFF" w:themeColor="background1"/>
      <w:kern w:val="0"/>
      <w:sz w:val="48"/>
      <w:szCs w:val="20"/>
      <w:lang w:bidi="ar-DZ"/>
      <w14:ligatures w14:val="none"/>
    </w:rPr>
  </w:style>
  <w:style w:type="paragraph" w:customStyle="1" w:styleId="SectionText">
    <w:name w:val="SectionText"/>
    <w:uiPriority w:val="2"/>
    <w:qFormat/>
    <w:rsid w:val="00487A7F"/>
    <w:pPr>
      <w:spacing w:before="120" w:after="0" w:line="360" w:lineRule="exact"/>
      <w:ind w:right="1152"/>
    </w:pPr>
    <w:rPr>
      <w:rFonts w:ascii="Century Gothic" w:eastAsia="PMingLiU" w:hAnsi="Century Gothic" w:cs="Times New Roman"/>
      <w:color w:val="FFFFFF" w:themeColor="background1"/>
      <w:kern w:val="0"/>
      <w:sz w:val="28"/>
      <w:szCs w:val="20"/>
      <w:lang w:bidi="ar-DZ"/>
      <w14:ligatures w14:val="none"/>
    </w:rPr>
  </w:style>
  <w:style w:type="character" w:customStyle="1" w:styleId="BodyTextChar">
    <w:name w:val="*Body Text Char"/>
    <w:link w:val="BodyText"/>
    <w:locked/>
    <w:rsid w:val="00487A7F"/>
    <w:rPr>
      <w:rFonts w:ascii="Century Gothic" w:eastAsia="PMingLiU" w:hAnsi="Century Gothic" w:cs="Times New Roman"/>
      <w:color w:val="2B3A44"/>
      <w:kern w:val="0"/>
      <w:szCs w:val="20"/>
      <w:lang w:bidi="ar-DZ"/>
      <w14:ligatures w14:val="none"/>
    </w:rPr>
  </w:style>
  <w:style w:type="numbering" w:customStyle="1" w:styleId="Bullet1">
    <w:name w:val="*Bullet #1"/>
    <w:uiPriority w:val="99"/>
    <w:rsid w:val="00487A7F"/>
    <w:pPr>
      <w:numPr>
        <w:numId w:val="58"/>
      </w:numPr>
    </w:pPr>
  </w:style>
  <w:style w:type="paragraph" w:customStyle="1" w:styleId="Subheading0">
    <w:name w:val="~Subheading"/>
    <w:basedOn w:val="Subheading"/>
    <w:next w:val="BodyText0"/>
    <w:uiPriority w:val="1"/>
    <w:qFormat/>
    <w:rsid w:val="00487A7F"/>
    <w:pPr>
      <w:spacing w:line="240" w:lineRule="auto"/>
    </w:pPr>
    <w:rPr>
      <w:sz w:val="20"/>
    </w:rPr>
  </w:style>
  <w:style w:type="paragraph" w:customStyle="1" w:styleId="BodyTextBold0">
    <w:name w:val="~Body Text Bold"/>
    <w:basedOn w:val="BodyText0"/>
    <w:next w:val="BodyText0"/>
    <w:uiPriority w:val="1"/>
    <w:qFormat/>
    <w:rsid w:val="00487A7F"/>
    <w:pPr>
      <w:framePr w:wrap="around"/>
    </w:pPr>
    <w:rPr>
      <w:b/>
    </w:rPr>
  </w:style>
  <w:style w:type="paragraph" w:customStyle="1" w:styleId="Heading70">
    <w:name w:val="*Heading 7"/>
    <w:next w:val="BodyText"/>
    <w:uiPriority w:val="1"/>
    <w:qFormat/>
    <w:rsid w:val="00487A7F"/>
    <w:pPr>
      <w:keepNext/>
      <w:keepLines/>
      <w:spacing w:before="240" w:after="120" w:line="240" w:lineRule="auto"/>
      <w:outlineLvl w:val="6"/>
    </w:pPr>
    <w:rPr>
      <w:rFonts w:ascii="Century Gothic" w:eastAsia="PMingLiU" w:hAnsi="Century Gothic" w:cs="Times New Roman"/>
      <w:b/>
      <w:color w:val="2B3A44"/>
      <w:kern w:val="0"/>
      <w:sz w:val="24"/>
      <w:szCs w:val="20"/>
      <w:lang w:bidi="ar-DZ"/>
      <w14:ligatures w14:val="none"/>
    </w:rPr>
  </w:style>
  <w:style w:type="paragraph" w:customStyle="1" w:styleId="Heading80">
    <w:name w:val="*Heading 8"/>
    <w:next w:val="BodyText"/>
    <w:uiPriority w:val="1"/>
    <w:qFormat/>
    <w:rsid w:val="00487A7F"/>
    <w:pPr>
      <w:keepNext/>
      <w:keepLines/>
      <w:spacing w:before="240" w:after="120" w:line="240" w:lineRule="auto"/>
      <w:outlineLvl w:val="7"/>
    </w:pPr>
    <w:rPr>
      <w:rFonts w:ascii="Century Gothic" w:eastAsia="PMingLiU" w:hAnsi="Century Gothic" w:cs="Times New Roman"/>
      <w:b/>
      <w:color w:val="2B3A44"/>
      <w:kern w:val="0"/>
      <w:szCs w:val="20"/>
      <w:lang w:bidi="ar-DZ"/>
      <w14:ligatures w14:val="none"/>
    </w:rPr>
  </w:style>
  <w:style w:type="paragraph" w:customStyle="1" w:styleId="Heading90">
    <w:name w:val="*Heading 9"/>
    <w:next w:val="BodyText"/>
    <w:uiPriority w:val="1"/>
    <w:qFormat/>
    <w:rsid w:val="00487A7F"/>
    <w:pPr>
      <w:spacing w:before="240" w:after="120" w:line="240" w:lineRule="auto"/>
      <w:outlineLvl w:val="8"/>
    </w:pPr>
    <w:rPr>
      <w:rFonts w:ascii="Century Gothic" w:eastAsia="PMingLiU" w:hAnsi="Century Gothic" w:cs="Times New Roman"/>
      <w:b/>
      <w:color w:val="2B3A44"/>
      <w:kern w:val="0"/>
      <w:szCs w:val="20"/>
      <w:lang w:bidi="ar-DZ"/>
      <w14:ligatures w14:val="none"/>
    </w:rPr>
  </w:style>
  <w:style w:type="paragraph" w:customStyle="1" w:styleId="RFPReferenceLine">
    <w:name w:val="*RFP Reference Line"/>
    <w:next w:val="BodyText"/>
    <w:uiPriority w:val="1"/>
    <w:qFormat/>
    <w:rsid w:val="00487A7F"/>
    <w:pPr>
      <w:keepNext/>
      <w:spacing w:after="120" w:line="276" w:lineRule="auto"/>
      <w:ind w:left="1440" w:hanging="1440"/>
    </w:pPr>
    <w:rPr>
      <w:rFonts w:ascii="Century Gothic" w:eastAsia="PMingLiU" w:hAnsi="Century Gothic" w:cs="Times New Roman"/>
      <w:color w:val="2B3A44"/>
      <w:kern w:val="0"/>
      <w:sz w:val="20"/>
      <w:szCs w:val="20"/>
      <w:lang w:bidi="ar-DZ"/>
      <w14:ligatures w14:val="none"/>
    </w:rPr>
  </w:style>
  <w:style w:type="paragraph" w:customStyle="1" w:styleId="RightSidebarText">
    <w:name w:val="*Right Sidebar Text"/>
    <w:uiPriority w:val="1"/>
    <w:qFormat/>
    <w:rsid w:val="00487A7F"/>
    <w:pPr>
      <w:framePr w:w="2880" w:hSpace="144" w:vSpace="144" w:wrap="around" w:vAnchor="text" w:hAnchor="margin" w:x="6481" w:y="87"/>
      <w:pBdr>
        <w:left w:val="single" w:sz="12" w:space="4" w:color="00EEAE"/>
      </w:pBdr>
      <w:spacing w:after="60" w:line="240" w:lineRule="auto"/>
    </w:pPr>
    <w:rPr>
      <w:rFonts w:ascii="Century Gothic" w:eastAsia="PMingLiU" w:hAnsi="Century Gothic" w:cs="Arial"/>
      <w:color w:val="2B3A44"/>
      <w:kern w:val="0"/>
      <w:sz w:val="20"/>
      <w:szCs w:val="20"/>
      <w:lang w:bidi="ar-DZ"/>
      <w14:ligatures w14:val="none"/>
    </w:rPr>
  </w:style>
  <w:style w:type="paragraph" w:customStyle="1" w:styleId="Table">
    <w:name w:val="~Table"/>
    <w:basedOn w:val="CvrLtrDetail"/>
    <w:next w:val="CvrLtrDetail"/>
    <w:uiPriority w:val="99"/>
    <w:qFormat/>
    <w:rsid w:val="00487A7F"/>
  </w:style>
  <w:style w:type="paragraph" w:customStyle="1" w:styleId="Unknown">
    <w:name w:val="Unknown"/>
    <w:basedOn w:val="LeadInText"/>
    <w:next w:val="LeadInText"/>
    <w:uiPriority w:val="99"/>
    <w:qFormat/>
    <w:rsid w:val="00487A7F"/>
  </w:style>
  <w:style w:type="paragraph" w:customStyle="1" w:styleId="TableofContents">
    <w:name w:val="*Table of Contents"/>
    <w:basedOn w:val="Normal"/>
    <w:next w:val="Normal"/>
    <w:rsid w:val="00487A7F"/>
    <w:pPr>
      <w:widowControl w:val="0"/>
      <w:spacing w:after="200"/>
    </w:pPr>
    <w:rPr>
      <w:rFonts w:eastAsia="Times New Roman" w:cs="Arial"/>
      <w:b/>
      <w:color w:val="2B3A44"/>
      <w:sz w:val="36"/>
      <w:szCs w:val="36"/>
      <w:lang w:bidi="ar-SA"/>
    </w:rPr>
  </w:style>
  <w:style w:type="paragraph" w:styleId="TableofFigures">
    <w:name w:val="table of figures"/>
    <w:basedOn w:val="Normal"/>
    <w:next w:val="Normal"/>
    <w:uiPriority w:val="99"/>
    <w:unhideWhenUsed/>
    <w:rsid w:val="003057C6"/>
    <w:pPr>
      <w:tabs>
        <w:tab w:val="left" w:pos="425"/>
        <w:tab w:val="left" w:pos="1080"/>
        <w:tab w:val="right" w:leader="dot" w:pos="9360"/>
      </w:tabs>
    </w:pPr>
    <w:rPr>
      <w:noProof/>
      <w:color w:val="2B3A44"/>
    </w:rPr>
  </w:style>
  <w:style w:type="paragraph" w:customStyle="1" w:styleId="TableText">
    <w:name w:val="Table Text"/>
    <w:basedOn w:val="Normal"/>
    <w:link w:val="TableTextChar"/>
    <w:qFormat/>
    <w:rsid w:val="001237A7"/>
    <w:pPr>
      <w:spacing w:before="60" w:after="60"/>
    </w:pPr>
    <w:rPr>
      <w:rFonts w:eastAsia="Times New Roman"/>
      <w:color w:val="auto"/>
      <w:sz w:val="20"/>
      <w:szCs w:val="24"/>
      <w:lang w:bidi="ar-SA"/>
    </w:rPr>
  </w:style>
  <w:style w:type="character" w:customStyle="1" w:styleId="TableTextChar">
    <w:name w:val="Table Text Char"/>
    <w:link w:val="TableText"/>
    <w:locked/>
    <w:rsid w:val="001237A7"/>
    <w:rPr>
      <w:rFonts w:ascii="Century Gothic" w:eastAsia="Times New Roman" w:hAnsi="Century Gothic" w:cs="Times New Roman"/>
      <w:kern w:val="0"/>
      <w:sz w:val="20"/>
      <w:szCs w:val="24"/>
      <w14:ligatures w14:val="none"/>
    </w:rPr>
  </w:style>
  <w:style w:type="paragraph" w:customStyle="1" w:styleId="TableBullet1">
    <w:name w:val="Table Bullet 1"/>
    <w:basedOn w:val="TableText"/>
    <w:qFormat/>
    <w:rsid w:val="001237A7"/>
    <w:pPr>
      <w:numPr>
        <w:numId w:val="47"/>
      </w:numPr>
      <w:tabs>
        <w:tab w:val="num" w:pos="360"/>
      </w:tabs>
      <w:ind w:left="0" w:firstLine="0"/>
    </w:p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1237A7"/>
    <w:rPr>
      <w:rFonts w:ascii="Century Gothic" w:eastAsia="PMingLiU" w:hAnsi="Century Gothic" w:cs="Times New Roman"/>
      <w:color w:val="000000"/>
      <w:kern w:val="0"/>
      <w:szCs w:val="20"/>
      <w:lang w:bidi="ar-DZ"/>
      <w14:ligatures w14:val="none"/>
    </w:rPr>
  </w:style>
  <w:style w:type="paragraph" w:customStyle="1" w:styleId="Bullet1DoubleBold">
    <w:name w:val="*Bullet #1 Double Bold"/>
    <w:basedOn w:val="Normal"/>
    <w:qFormat/>
    <w:rsid w:val="00757D2C"/>
    <w:pPr>
      <w:pBdr>
        <w:top w:val="single" w:sz="24" w:space="1" w:color="156082" w:themeColor="accent1"/>
        <w:bottom w:val="single" w:sz="24" w:space="1" w:color="156082" w:themeColor="accent1"/>
      </w:pBdr>
      <w:tabs>
        <w:tab w:val="left" w:pos="288"/>
        <w:tab w:val="num" w:pos="720"/>
      </w:tabs>
      <w:spacing w:before="60" w:after="60" w:line="276" w:lineRule="auto"/>
      <w:ind w:left="288" w:hanging="288"/>
    </w:pPr>
    <w:rPr>
      <w:b/>
      <w:bCs/>
      <w:color w:val="2B3A44"/>
    </w:rPr>
  </w:style>
  <w:style w:type="paragraph" w:customStyle="1" w:styleId="CSNum1">
    <w:name w:val="CS Num 1"/>
    <w:basedOn w:val="Normal"/>
    <w:qFormat/>
    <w:rsid w:val="00366E02"/>
    <w:pPr>
      <w:numPr>
        <w:numId w:val="48"/>
      </w:numPr>
      <w:spacing w:before="60" w:after="60"/>
      <w:jc w:val="both"/>
    </w:pPr>
    <w:rPr>
      <w:rFonts w:eastAsia="Times New Roman"/>
      <w:color w:val="auto"/>
      <w:szCs w:val="22"/>
      <w:lang w:bidi="ar-SA"/>
    </w:rPr>
  </w:style>
  <w:style w:type="character" w:customStyle="1" w:styleId="CSBullet1Char">
    <w:name w:val="CS Bullet 1 Char"/>
    <w:link w:val="CSBullet1"/>
    <w:locked/>
    <w:rsid w:val="0055283A"/>
    <w:rPr>
      <w:rFonts w:ascii="Century Gothic" w:hAnsi="Century Gothic"/>
    </w:rPr>
  </w:style>
  <w:style w:type="paragraph" w:customStyle="1" w:styleId="CSBullet1">
    <w:name w:val="CS Bullet 1"/>
    <w:basedOn w:val="ListParagraph"/>
    <w:link w:val="CSBullet1Char"/>
    <w:autoRedefine/>
    <w:qFormat/>
    <w:rsid w:val="0055283A"/>
    <w:pPr>
      <w:tabs>
        <w:tab w:val="left" w:pos="-270"/>
        <w:tab w:val="left" w:pos="990"/>
      </w:tabs>
      <w:spacing w:after="120"/>
      <w:ind w:left="0"/>
      <w:contextualSpacing w:val="0"/>
    </w:pPr>
    <w:rPr>
      <w:rFonts w:eastAsiaTheme="minorHAnsi" w:cstheme="minorBidi"/>
      <w:color w:val="auto"/>
      <w:kern w:val="2"/>
      <w:szCs w:val="22"/>
      <w:lang w:bidi="ar-SA"/>
      <w14:ligatures w14:val="standardContextual"/>
    </w:rPr>
  </w:style>
  <w:style w:type="paragraph" w:customStyle="1" w:styleId="paragraph">
    <w:name w:val="paragraph"/>
    <w:basedOn w:val="Normal"/>
    <w:rsid w:val="008B2BF4"/>
    <w:pPr>
      <w:spacing w:before="100" w:beforeAutospacing="1" w:after="100" w:afterAutospacing="1"/>
    </w:pPr>
    <w:rPr>
      <w:rFonts w:ascii="Times New Roman" w:eastAsia="Times New Roman" w:hAnsi="Times New Roman"/>
      <w:color w:val="auto"/>
      <w:sz w:val="24"/>
      <w:szCs w:val="24"/>
      <w:lang w:bidi="ar-SA"/>
    </w:rPr>
  </w:style>
  <w:style w:type="character" w:customStyle="1" w:styleId="wacimagecontainer">
    <w:name w:val="wacimagecontainer"/>
    <w:basedOn w:val="DefaultParagraphFont"/>
    <w:rsid w:val="008B2BF4"/>
  </w:style>
  <w:style w:type="character" w:customStyle="1" w:styleId="normaltextrun">
    <w:name w:val="normaltextrun"/>
    <w:basedOn w:val="DefaultParagraphFont"/>
    <w:rsid w:val="008B2BF4"/>
  </w:style>
  <w:style w:type="character" w:customStyle="1" w:styleId="eop">
    <w:name w:val="eop"/>
    <w:basedOn w:val="DefaultParagraphFont"/>
    <w:rsid w:val="008B2BF4"/>
  </w:style>
  <w:style w:type="paragraph" w:styleId="Revision">
    <w:name w:val="Revision"/>
    <w:hidden/>
    <w:uiPriority w:val="99"/>
    <w:semiHidden/>
    <w:rsid w:val="00A01F1E"/>
    <w:pPr>
      <w:spacing w:after="0" w:line="240" w:lineRule="auto"/>
    </w:pPr>
    <w:rPr>
      <w:rFonts w:ascii="Calibri" w:eastAsia="SimSun" w:hAnsi="Calibri" w:cs="Times New Roman"/>
      <w:kern w:val="0"/>
      <w:lang w:eastAsia="zh-CN"/>
      <w14:ligatures w14:val="none"/>
    </w:rPr>
  </w:style>
  <w:style w:type="character" w:customStyle="1" w:styleId="TechInit">
    <w:name w:val="Tech Init"/>
    <w:rsid w:val="004D02B9"/>
    <w:rPr>
      <w:rFonts w:ascii="Courier" w:hAnsi="Courier"/>
      <w:noProof w:val="0"/>
      <w:sz w:val="24"/>
      <w:lang w:val="en-US"/>
    </w:rPr>
  </w:style>
  <w:style w:type="character" w:customStyle="1" w:styleId="Bullet2DoubleChar">
    <w:name w:val="*Bullet #2 Double Char"/>
    <w:basedOn w:val="DefaultParagraphFont"/>
    <w:link w:val="Bullet2Double0"/>
    <w:locked/>
    <w:rsid w:val="0066047F"/>
    <w:rPr>
      <w:rFonts w:ascii="Century Gothic" w:eastAsia="PMingLiU" w:hAnsi="Century Gothic" w:cs="Times New Roman"/>
      <w:color w:val="2B3A44"/>
      <w:kern w:val="0"/>
      <w:szCs w:val="20"/>
      <w:lang w:bidi="ar-DZ"/>
      <w14:ligatures w14:val="none"/>
    </w:rPr>
  </w:style>
  <w:style w:type="character" w:customStyle="1" w:styleId="spellingerrorsuperscript">
    <w:name w:val="spellingerrorsuperscript"/>
    <w:basedOn w:val="DefaultParagraphFont"/>
    <w:rsid w:val="008766F8"/>
  </w:style>
  <w:style w:type="character" w:customStyle="1" w:styleId="fontsizemediumplus">
    <w:name w:val="fontsizemediumplus"/>
    <w:basedOn w:val="DefaultParagraphFont"/>
    <w:rsid w:val="007A4FB1"/>
  </w:style>
  <w:style w:type="character" w:customStyle="1" w:styleId="fontcolorblue">
    <w:name w:val="fontcolorblue"/>
    <w:basedOn w:val="DefaultParagraphFont"/>
    <w:rsid w:val="004865BF"/>
  </w:style>
  <w:style w:type="paragraph" w:customStyle="1" w:styleId="VolumeHeading">
    <w:name w:val="Volume Heading"/>
    <w:basedOn w:val="Heading10"/>
    <w:qFormat/>
    <w:rsid w:val="001A35EC"/>
  </w:style>
  <w:style w:type="character" w:customStyle="1" w:styleId="cf01">
    <w:name w:val="cf01"/>
    <w:basedOn w:val="DefaultParagraphFont"/>
    <w:rsid w:val="003B62D4"/>
    <w:rPr>
      <w:rFonts w:ascii="Segoe UI" w:hAnsi="Segoe UI" w:cs="Segoe UI" w:hint="default"/>
      <w:sz w:val="18"/>
      <w:szCs w:val="18"/>
    </w:rPr>
  </w:style>
  <w:style w:type="paragraph" w:customStyle="1" w:styleId="BodyTextWide">
    <w:name w:val="*Body Text Wide"/>
    <w:basedOn w:val="BodyText"/>
    <w:qFormat/>
    <w:rsid w:val="00D9054C"/>
    <w:pPr>
      <w:keepNext/>
      <w:ind w:left="-360"/>
    </w:pPr>
    <w:rPr>
      <w:noProof/>
    </w:rPr>
  </w:style>
  <w:style w:type="paragraph" w:customStyle="1" w:styleId="RFPBody">
    <w:name w:val="RFP Body"/>
    <w:basedOn w:val="Normal"/>
    <w:link w:val="RFPBodyChar"/>
    <w:qFormat/>
    <w:rsid w:val="00027B51"/>
    <w:pPr>
      <w:spacing w:after="240"/>
      <w:jc w:val="both"/>
    </w:pPr>
    <w:rPr>
      <w:rFonts w:eastAsia="Times New Roman"/>
      <w:color w:val="auto"/>
      <w:szCs w:val="24"/>
      <w:lang w:bidi="ar-SA"/>
    </w:rPr>
  </w:style>
  <w:style w:type="character" w:customStyle="1" w:styleId="RFPBodyChar">
    <w:name w:val="RFP Body Char"/>
    <w:basedOn w:val="DefaultParagraphFont"/>
    <w:link w:val="RFPBody"/>
    <w:rsid w:val="00027B51"/>
    <w:rPr>
      <w:rFonts w:ascii="Century Gothic" w:eastAsia="Times New Roman" w:hAnsi="Century Gothic" w:cs="Times New Roman"/>
      <w:kern w:val="0"/>
      <w:szCs w:val="24"/>
      <w14:ligatures w14:val="none"/>
    </w:rPr>
  </w:style>
  <w:style w:type="paragraph" w:customStyle="1" w:styleId="ReqNo">
    <w:name w:val="~ReqNo"/>
    <w:basedOn w:val="TableText"/>
    <w:qFormat/>
    <w:rsid w:val="00FA51BD"/>
    <w:pPr>
      <w:framePr w:hSpace="187" w:wrap="around" w:vAnchor="text" w:hAnchor="text" w:y="1"/>
      <w:numPr>
        <w:numId w:val="46"/>
      </w:numPr>
      <w:spacing w:before="0"/>
      <w:suppressOverlap/>
    </w:pPr>
  </w:style>
  <w:style w:type="paragraph" w:customStyle="1" w:styleId="mb-4">
    <w:name w:val="mb-4"/>
    <w:basedOn w:val="Normal"/>
    <w:rsid w:val="003E20B6"/>
    <w:pPr>
      <w:spacing w:before="100" w:beforeAutospacing="1" w:after="100" w:afterAutospacing="1"/>
    </w:pPr>
    <w:rPr>
      <w:rFonts w:ascii="Times New Roman" w:eastAsia="Times New Roman" w:hAnsi="Times New Roman"/>
      <w:color w:val="auto"/>
      <w:sz w:val="24"/>
      <w:szCs w:val="24"/>
      <w:lang w:bidi="ar-SA"/>
    </w:rPr>
  </w:style>
  <w:style w:type="character" w:customStyle="1" w:styleId="s3">
    <w:name w:val="s3"/>
    <w:basedOn w:val="DefaultParagraphFont"/>
    <w:rsid w:val="0056209E"/>
  </w:style>
  <w:style w:type="character" w:customStyle="1" w:styleId="s4">
    <w:name w:val="s4"/>
    <w:basedOn w:val="DefaultParagraphFont"/>
    <w:rsid w:val="0056209E"/>
  </w:style>
  <w:style w:type="paragraph" w:customStyle="1" w:styleId="menu-item">
    <w:name w:val="menu-item"/>
    <w:basedOn w:val="Normal"/>
    <w:rsid w:val="0056209E"/>
    <w:pPr>
      <w:spacing w:before="100" w:beforeAutospacing="1" w:after="100" w:afterAutospacing="1"/>
    </w:pPr>
    <w:rPr>
      <w:rFonts w:ascii="Times New Roman" w:eastAsia="Times New Roman" w:hAnsi="Times New Roman"/>
      <w:color w:val="auto"/>
      <w:sz w:val="24"/>
      <w:szCs w:val="24"/>
      <w:lang w:bidi="ar-SA"/>
    </w:rPr>
  </w:style>
  <w:style w:type="paragraph" w:customStyle="1" w:styleId="trp-language-switcher-container">
    <w:name w:val="trp-language-switcher-container"/>
    <w:basedOn w:val="Normal"/>
    <w:rsid w:val="0056209E"/>
    <w:pPr>
      <w:spacing w:before="100" w:beforeAutospacing="1" w:after="100" w:afterAutospacing="1"/>
    </w:pPr>
    <w:rPr>
      <w:rFonts w:ascii="Times New Roman" w:eastAsia="Times New Roman" w:hAnsi="Times New Roman"/>
      <w:color w:val="auto"/>
      <w:sz w:val="24"/>
      <w:szCs w:val="24"/>
      <w:lang w:bidi="ar-SA"/>
    </w:rPr>
  </w:style>
  <w:style w:type="character" w:customStyle="1" w:styleId="trp-ls-language-name">
    <w:name w:val="trp-ls-language-name"/>
    <w:basedOn w:val="DefaultParagraphFont"/>
    <w:rsid w:val="0056209E"/>
  </w:style>
  <w:style w:type="paragraph" w:customStyle="1" w:styleId="search">
    <w:name w:val="search"/>
    <w:basedOn w:val="Normal"/>
    <w:rsid w:val="0056209E"/>
    <w:pPr>
      <w:spacing w:before="100" w:beforeAutospacing="1" w:after="100" w:afterAutospacing="1"/>
    </w:pPr>
    <w:rPr>
      <w:rFonts w:ascii="Times New Roman" w:eastAsia="Times New Roman" w:hAnsi="Times New Roman"/>
      <w:color w:val="auto"/>
      <w:sz w:val="24"/>
      <w:szCs w:val="24"/>
      <w:lang w:bidi="ar-SA"/>
    </w:rPr>
  </w:style>
  <w:style w:type="character" w:styleId="UnresolvedMention">
    <w:name w:val="Unresolved Mention"/>
    <w:basedOn w:val="DefaultParagraphFont"/>
    <w:uiPriority w:val="99"/>
    <w:semiHidden/>
    <w:unhideWhenUsed/>
    <w:rsid w:val="00B17B0E"/>
    <w:rPr>
      <w:color w:val="605E5C"/>
      <w:shd w:val="clear" w:color="auto" w:fill="E1DFDD"/>
    </w:rPr>
  </w:style>
  <w:style w:type="paragraph" w:customStyle="1" w:styleId="Date1">
    <w:name w:val="Date1"/>
    <w:basedOn w:val="Normal"/>
    <w:rsid w:val="00740650"/>
    <w:pPr>
      <w:spacing w:before="100" w:beforeAutospacing="1" w:after="100" w:afterAutospacing="1"/>
    </w:pPr>
    <w:rPr>
      <w:rFonts w:ascii="Times New Roman" w:eastAsia="Times New Roman" w:hAnsi="Times New Roman"/>
      <w:color w:val="auto"/>
      <w:sz w:val="24"/>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80004">
      <w:bodyDiv w:val="1"/>
      <w:marLeft w:val="0"/>
      <w:marRight w:val="0"/>
      <w:marTop w:val="0"/>
      <w:marBottom w:val="0"/>
      <w:divBdr>
        <w:top w:val="none" w:sz="0" w:space="0" w:color="auto"/>
        <w:left w:val="none" w:sz="0" w:space="0" w:color="auto"/>
        <w:bottom w:val="none" w:sz="0" w:space="0" w:color="auto"/>
        <w:right w:val="none" w:sz="0" w:space="0" w:color="auto"/>
      </w:divBdr>
    </w:div>
    <w:div w:id="90859857">
      <w:bodyDiv w:val="1"/>
      <w:marLeft w:val="0"/>
      <w:marRight w:val="0"/>
      <w:marTop w:val="0"/>
      <w:marBottom w:val="0"/>
      <w:divBdr>
        <w:top w:val="none" w:sz="0" w:space="0" w:color="auto"/>
        <w:left w:val="none" w:sz="0" w:space="0" w:color="auto"/>
        <w:bottom w:val="none" w:sz="0" w:space="0" w:color="auto"/>
        <w:right w:val="none" w:sz="0" w:space="0" w:color="auto"/>
      </w:divBdr>
      <w:divsChild>
        <w:div w:id="176048124">
          <w:marLeft w:val="288"/>
          <w:marRight w:val="0"/>
          <w:marTop w:val="60"/>
          <w:marBottom w:val="60"/>
          <w:divBdr>
            <w:top w:val="none" w:sz="0" w:space="0" w:color="auto"/>
            <w:left w:val="none" w:sz="0" w:space="0" w:color="auto"/>
            <w:bottom w:val="none" w:sz="0" w:space="0" w:color="auto"/>
            <w:right w:val="none" w:sz="0" w:space="0" w:color="auto"/>
          </w:divBdr>
        </w:div>
        <w:div w:id="184903927">
          <w:marLeft w:val="288"/>
          <w:marRight w:val="0"/>
          <w:marTop w:val="60"/>
          <w:marBottom w:val="60"/>
          <w:divBdr>
            <w:top w:val="none" w:sz="0" w:space="0" w:color="auto"/>
            <w:left w:val="none" w:sz="0" w:space="0" w:color="auto"/>
            <w:bottom w:val="none" w:sz="0" w:space="0" w:color="auto"/>
            <w:right w:val="none" w:sz="0" w:space="0" w:color="auto"/>
          </w:divBdr>
        </w:div>
        <w:div w:id="484511595">
          <w:marLeft w:val="1008"/>
          <w:marRight w:val="0"/>
          <w:marTop w:val="60"/>
          <w:marBottom w:val="60"/>
          <w:divBdr>
            <w:top w:val="none" w:sz="0" w:space="0" w:color="auto"/>
            <w:left w:val="none" w:sz="0" w:space="0" w:color="auto"/>
            <w:bottom w:val="none" w:sz="0" w:space="0" w:color="auto"/>
            <w:right w:val="none" w:sz="0" w:space="0" w:color="auto"/>
          </w:divBdr>
        </w:div>
        <w:div w:id="691154040">
          <w:marLeft w:val="288"/>
          <w:marRight w:val="0"/>
          <w:marTop w:val="60"/>
          <w:marBottom w:val="60"/>
          <w:divBdr>
            <w:top w:val="none" w:sz="0" w:space="0" w:color="auto"/>
            <w:left w:val="none" w:sz="0" w:space="0" w:color="auto"/>
            <w:bottom w:val="none" w:sz="0" w:space="0" w:color="auto"/>
            <w:right w:val="none" w:sz="0" w:space="0" w:color="auto"/>
          </w:divBdr>
        </w:div>
        <w:div w:id="1365717236">
          <w:marLeft w:val="288"/>
          <w:marRight w:val="0"/>
          <w:marTop w:val="60"/>
          <w:marBottom w:val="60"/>
          <w:divBdr>
            <w:top w:val="none" w:sz="0" w:space="0" w:color="auto"/>
            <w:left w:val="none" w:sz="0" w:space="0" w:color="auto"/>
            <w:bottom w:val="none" w:sz="0" w:space="0" w:color="auto"/>
            <w:right w:val="none" w:sz="0" w:space="0" w:color="auto"/>
          </w:divBdr>
        </w:div>
        <w:div w:id="1701978525">
          <w:marLeft w:val="288"/>
          <w:marRight w:val="0"/>
          <w:marTop w:val="60"/>
          <w:marBottom w:val="60"/>
          <w:divBdr>
            <w:top w:val="none" w:sz="0" w:space="0" w:color="auto"/>
            <w:left w:val="none" w:sz="0" w:space="0" w:color="auto"/>
            <w:bottom w:val="none" w:sz="0" w:space="0" w:color="auto"/>
            <w:right w:val="none" w:sz="0" w:space="0" w:color="auto"/>
          </w:divBdr>
        </w:div>
        <w:div w:id="1940946052">
          <w:marLeft w:val="288"/>
          <w:marRight w:val="0"/>
          <w:marTop w:val="60"/>
          <w:marBottom w:val="60"/>
          <w:divBdr>
            <w:top w:val="none" w:sz="0" w:space="0" w:color="auto"/>
            <w:left w:val="none" w:sz="0" w:space="0" w:color="auto"/>
            <w:bottom w:val="none" w:sz="0" w:space="0" w:color="auto"/>
            <w:right w:val="none" w:sz="0" w:space="0" w:color="auto"/>
          </w:divBdr>
        </w:div>
      </w:divsChild>
    </w:div>
    <w:div w:id="234168559">
      <w:bodyDiv w:val="1"/>
      <w:marLeft w:val="0"/>
      <w:marRight w:val="0"/>
      <w:marTop w:val="0"/>
      <w:marBottom w:val="0"/>
      <w:divBdr>
        <w:top w:val="none" w:sz="0" w:space="0" w:color="auto"/>
        <w:left w:val="none" w:sz="0" w:space="0" w:color="auto"/>
        <w:bottom w:val="none" w:sz="0" w:space="0" w:color="auto"/>
        <w:right w:val="none" w:sz="0" w:space="0" w:color="auto"/>
      </w:divBdr>
    </w:div>
    <w:div w:id="262106371">
      <w:bodyDiv w:val="1"/>
      <w:marLeft w:val="0"/>
      <w:marRight w:val="0"/>
      <w:marTop w:val="0"/>
      <w:marBottom w:val="0"/>
      <w:divBdr>
        <w:top w:val="none" w:sz="0" w:space="0" w:color="auto"/>
        <w:left w:val="none" w:sz="0" w:space="0" w:color="auto"/>
        <w:bottom w:val="none" w:sz="0" w:space="0" w:color="auto"/>
        <w:right w:val="none" w:sz="0" w:space="0" w:color="auto"/>
      </w:divBdr>
      <w:divsChild>
        <w:div w:id="315380668">
          <w:marLeft w:val="1166"/>
          <w:marRight w:val="0"/>
          <w:marTop w:val="96"/>
          <w:marBottom w:val="0"/>
          <w:divBdr>
            <w:top w:val="none" w:sz="0" w:space="0" w:color="auto"/>
            <w:left w:val="none" w:sz="0" w:space="0" w:color="auto"/>
            <w:bottom w:val="none" w:sz="0" w:space="0" w:color="auto"/>
            <w:right w:val="none" w:sz="0" w:space="0" w:color="auto"/>
          </w:divBdr>
        </w:div>
        <w:div w:id="597442619">
          <w:marLeft w:val="1166"/>
          <w:marRight w:val="0"/>
          <w:marTop w:val="96"/>
          <w:marBottom w:val="0"/>
          <w:divBdr>
            <w:top w:val="none" w:sz="0" w:space="0" w:color="auto"/>
            <w:left w:val="none" w:sz="0" w:space="0" w:color="auto"/>
            <w:bottom w:val="none" w:sz="0" w:space="0" w:color="auto"/>
            <w:right w:val="none" w:sz="0" w:space="0" w:color="auto"/>
          </w:divBdr>
        </w:div>
        <w:div w:id="1170219550">
          <w:marLeft w:val="1166"/>
          <w:marRight w:val="0"/>
          <w:marTop w:val="96"/>
          <w:marBottom w:val="0"/>
          <w:divBdr>
            <w:top w:val="none" w:sz="0" w:space="0" w:color="auto"/>
            <w:left w:val="none" w:sz="0" w:space="0" w:color="auto"/>
            <w:bottom w:val="none" w:sz="0" w:space="0" w:color="auto"/>
            <w:right w:val="none" w:sz="0" w:space="0" w:color="auto"/>
          </w:divBdr>
        </w:div>
        <w:div w:id="1459837281">
          <w:marLeft w:val="1166"/>
          <w:marRight w:val="0"/>
          <w:marTop w:val="96"/>
          <w:marBottom w:val="0"/>
          <w:divBdr>
            <w:top w:val="none" w:sz="0" w:space="0" w:color="auto"/>
            <w:left w:val="none" w:sz="0" w:space="0" w:color="auto"/>
            <w:bottom w:val="none" w:sz="0" w:space="0" w:color="auto"/>
            <w:right w:val="none" w:sz="0" w:space="0" w:color="auto"/>
          </w:divBdr>
        </w:div>
        <w:div w:id="1837769334">
          <w:marLeft w:val="1166"/>
          <w:marRight w:val="0"/>
          <w:marTop w:val="96"/>
          <w:marBottom w:val="0"/>
          <w:divBdr>
            <w:top w:val="none" w:sz="0" w:space="0" w:color="auto"/>
            <w:left w:val="none" w:sz="0" w:space="0" w:color="auto"/>
            <w:bottom w:val="none" w:sz="0" w:space="0" w:color="auto"/>
            <w:right w:val="none" w:sz="0" w:space="0" w:color="auto"/>
          </w:divBdr>
        </w:div>
        <w:div w:id="1840925949">
          <w:marLeft w:val="1166"/>
          <w:marRight w:val="0"/>
          <w:marTop w:val="96"/>
          <w:marBottom w:val="0"/>
          <w:divBdr>
            <w:top w:val="none" w:sz="0" w:space="0" w:color="auto"/>
            <w:left w:val="none" w:sz="0" w:space="0" w:color="auto"/>
            <w:bottom w:val="none" w:sz="0" w:space="0" w:color="auto"/>
            <w:right w:val="none" w:sz="0" w:space="0" w:color="auto"/>
          </w:divBdr>
        </w:div>
      </w:divsChild>
    </w:div>
    <w:div w:id="286393853">
      <w:bodyDiv w:val="1"/>
      <w:marLeft w:val="0"/>
      <w:marRight w:val="0"/>
      <w:marTop w:val="0"/>
      <w:marBottom w:val="0"/>
      <w:divBdr>
        <w:top w:val="none" w:sz="0" w:space="0" w:color="auto"/>
        <w:left w:val="none" w:sz="0" w:space="0" w:color="auto"/>
        <w:bottom w:val="none" w:sz="0" w:space="0" w:color="auto"/>
        <w:right w:val="none" w:sz="0" w:space="0" w:color="auto"/>
      </w:divBdr>
      <w:divsChild>
        <w:div w:id="115027484">
          <w:marLeft w:val="1166"/>
          <w:marRight w:val="0"/>
          <w:marTop w:val="0"/>
          <w:marBottom w:val="0"/>
          <w:divBdr>
            <w:top w:val="none" w:sz="0" w:space="0" w:color="auto"/>
            <w:left w:val="none" w:sz="0" w:space="0" w:color="auto"/>
            <w:bottom w:val="none" w:sz="0" w:space="0" w:color="auto"/>
            <w:right w:val="none" w:sz="0" w:space="0" w:color="auto"/>
          </w:divBdr>
        </w:div>
        <w:div w:id="292949451">
          <w:marLeft w:val="1166"/>
          <w:marRight w:val="0"/>
          <w:marTop w:val="0"/>
          <w:marBottom w:val="0"/>
          <w:divBdr>
            <w:top w:val="none" w:sz="0" w:space="0" w:color="auto"/>
            <w:left w:val="none" w:sz="0" w:space="0" w:color="auto"/>
            <w:bottom w:val="none" w:sz="0" w:space="0" w:color="auto"/>
            <w:right w:val="none" w:sz="0" w:space="0" w:color="auto"/>
          </w:divBdr>
        </w:div>
        <w:div w:id="335765078">
          <w:marLeft w:val="1166"/>
          <w:marRight w:val="0"/>
          <w:marTop w:val="0"/>
          <w:marBottom w:val="0"/>
          <w:divBdr>
            <w:top w:val="none" w:sz="0" w:space="0" w:color="auto"/>
            <w:left w:val="none" w:sz="0" w:space="0" w:color="auto"/>
            <w:bottom w:val="none" w:sz="0" w:space="0" w:color="auto"/>
            <w:right w:val="none" w:sz="0" w:space="0" w:color="auto"/>
          </w:divBdr>
        </w:div>
        <w:div w:id="420637931">
          <w:marLeft w:val="1166"/>
          <w:marRight w:val="0"/>
          <w:marTop w:val="0"/>
          <w:marBottom w:val="0"/>
          <w:divBdr>
            <w:top w:val="none" w:sz="0" w:space="0" w:color="auto"/>
            <w:left w:val="none" w:sz="0" w:space="0" w:color="auto"/>
            <w:bottom w:val="none" w:sz="0" w:space="0" w:color="auto"/>
            <w:right w:val="none" w:sz="0" w:space="0" w:color="auto"/>
          </w:divBdr>
        </w:div>
        <w:div w:id="495536004">
          <w:marLeft w:val="1166"/>
          <w:marRight w:val="0"/>
          <w:marTop w:val="0"/>
          <w:marBottom w:val="0"/>
          <w:divBdr>
            <w:top w:val="none" w:sz="0" w:space="0" w:color="auto"/>
            <w:left w:val="none" w:sz="0" w:space="0" w:color="auto"/>
            <w:bottom w:val="none" w:sz="0" w:space="0" w:color="auto"/>
            <w:right w:val="none" w:sz="0" w:space="0" w:color="auto"/>
          </w:divBdr>
        </w:div>
        <w:div w:id="541946688">
          <w:marLeft w:val="1166"/>
          <w:marRight w:val="0"/>
          <w:marTop w:val="0"/>
          <w:marBottom w:val="0"/>
          <w:divBdr>
            <w:top w:val="none" w:sz="0" w:space="0" w:color="auto"/>
            <w:left w:val="none" w:sz="0" w:space="0" w:color="auto"/>
            <w:bottom w:val="none" w:sz="0" w:space="0" w:color="auto"/>
            <w:right w:val="none" w:sz="0" w:space="0" w:color="auto"/>
          </w:divBdr>
        </w:div>
        <w:div w:id="630866715">
          <w:marLeft w:val="1800"/>
          <w:marRight w:val="0"/>
          <w:marTop w:val="0"/>
          <w:marBottom w:val="0"/>
          <w:divBdr>
            <w:top w:val="none" w:sz="0" w:space="0" w:color="auto"/>
            <w:left w:val="none" w:sz="0" w:space="0" w:color="auto"/>
            <w:bottom w:val="none" w:sz="0" w:space="0" w:color="auto"/>
            <w:right w:val="none" w:sz="0" w:space="0" w:color="auto"/>
          </w:divBdr>
        </w:div>
        <w:div w:id="763839309">
          <w:marLeft w:val="1166"/>
          <w:marRight w:val="0"/>
          <w:marTop w:val="0"/>
          <w:marBottom w:val="0"/>
          <w:divBdr>
            <w:top w:val="none" w:sz="0" w:space="0" w:color="auto"/>
            <w:left w:val="none" w:sz="0" w:space="0" w:color="auto"/>
            <w:bottom w:val="none" w:sz="0" w:space="0" w:color="auto"/>
            <w:right w:val="none" w:sz="0" w:space="0" w:color="auto"/>
          </w:divBdr>
        </w:div>
        <w:div w:id="808594145">
          <w:marLeft w:val="1166"/>
          <w:marRight w:val="0"/>
          <w:marTop w:val="0"/>
          <w:marBottom w:val="0"/>
          <w:divBdr>
            <w:top w:val="none" w:sz="0" w:space="0" w:color="auto"/>
            <w:left w:val="none" w:sz="0" w:space="0" w:color="auto"/>
            <w:bottom w:val="none" w:sz="0" w:space="0" w:color="auto"/>
            <w:right w:val="none" w:sz="0" w:space="0" w:color="auto"/>
          </w:divBdr>
        </w:div>
        <w:div w:id="947006939">
          <w:marLeft w:val="547"/>
          <w:marRight w:val="0"/>
          <w:marTop w:val="0"/>
          <w:marBottom w:val="0"/>
          <w:divBdr>
            <w:top w:val="none" w:sz="0" w:space="0" w:color="auto"/>
            <w:left w:val="none" w:sz="0" w:space="0" w:color="auto"/>
            <w:bottom w:val="none" w:sz="0" w:space="0" w:color="auto"/>
            <w:right w:val="none" w:sz="0" w:space="0" w:color="auto"/>
          </w:divBdr>
        </w:div>
        <w:div w:id="949749625">
          <w:marLeft w:val="1166"/>
          <w:marRight w:val="0"/>
          <w:marTop w:val="0"/>
          <w:marBottom w:val="0"/>
          <w:divBdr>
            <w:top w:val="none" w:sz="0" w:space="0" w:color="auto"/>
            <w:left w:val="none" w:sz="0" w:space="0" w:color="auto"/>
            <w:bottom w:val="none" w:sz="0" w:space="0" w:color="auto"/>
            <w:right w:val="none" w:sz="0" w:space="0" w:color="auto"/>
          </w:divBdr>
        </w:div>
        <w:div w:id="1003317623">
          <w:marLeft w:val="1800"/>
          <w:marRight w:val="0"/>
          <w:marTop w:val="0"/>
          <w:marBottom w:val="0"/>
          <w:divBdr>
            <w:top w:val="none" w:sz="0" w:space="0" w:color="auto"/>
            <w:left w:val="none" w:sz="0" w:space="0" w:color="auto"/>
            <w:bottom w:val="none" w:sz="0" w:space="0" w:color="auto"/>
            <w:right w:val="none" w:sz="0" w:space="0" w:color="auto"/>
          </w:divBdr>
        </w:div>
        <w:div w:id="1335567649">
          <w:marLeft w:val="1166"/>
          <w:marRight w:val="0"/>
          <w:marTop w:val="0"/>
          <w:marBottom w:val="0"/>
          <w:divBdr>
            <w:top w:val="none" w:sz="0" w:space="0" w:color="auto"/>
            <w:left w:val="none" w:sz="0" w:space="0" w:color="auto"/>
            <w:bottom w:val="none" w:sz="0" w:space="0" w:color="auto"/>
            <w:right w:val="none" w:sz="0" w:space="0" w:color="auto"/>
          </w:divBdr>
        </w:div>
        <w:div w:id="1362168208">
          <w:marLeft w:val="1800"/>
          <w:marRight w:val="0"/>
          <w:marTop w:val="0"/>
          <w:marBottom w:val="0"/>
          <w:divBdr>
            <w:top w:val="none" w:sz="0" w:space="0" w:color="auto"/>
            <w:left w:val="none" w:sz="0" w:space="0" w:color="auto"/>
            <w:bottom w:val="none" w:sz="0" w:space="0" w:color="auto"/>
            <w:right w:val="none" w:sz="0" w:space="0" w:color="auto"/>
          </w:divBdr>
        </w:div>
        <w:div w:id="1444837086">
          <w:marLeft w:val="547"/>
          <w:marRight w:val="0"/>
          <w:marTop w:val="0"/>
          <w:marBottom w:val="0"/>
          <w:divBdr>
            <w:top w:val="none" w:sz="0" w:space="0" w:color="auto"/>
            <w:left w:val="none" w:sz="0" w:space="0" w:color="auto"/>
            <w:bottom w:val="none" w:sz="0" w:space="0" w:color="auto"/>
            <w:right w:val="none" w:sz="0" w:space="0" w:color="auto"/>
          </w:divBdr>
        </w:div>
        <w:div w:id="1703821537">
          <w:marLeft w:val="1166"/>
          <w:marRight w:val="0"/>
          <w:marTop w:val="0"/>
          <w:marBottom w:val="0"/>
          <w:divBdr>
            <w:top w:val="none" w:sz="0" w:space="0" w:color="auto"/>
            <w:left w:val="none" w:sz="0" w:space="0" w:color="auto"/>
            <w:bottom w:val="none" w:sz="0" w:space="0" w:color="auto"/>
            <w:right w:val="none" w:sz="0" w:space="0" w:color="auto"/>
          </w:divBdr>
        </w:div>
        <w:div w:id="1731266304">
          <w:marLeft w:val="1166"/>
          <w:marRight w:val="0"/>
          <w:marTop w:val="0"/>
          <w:marBottom w:val="0"/>
          <w:divBdr>
            <w:top w:val="none" w:sz="0" w:space="0" w:color="auto"/>
            <w:left w:val="none" w:sz="0" w:space="0" w:color="auto"/>
            <w:bottom w:val="none" w:sz="0" w:space="0" w:color="auto"/>
            <w:right w:val="none" w:sz="0" w:space="0" w:color="auto"/>
          </w:divBdr>
        </w:div>
        <w:div w:id="1928417373">
          <w:marLeft w:val="1800"/>
          <w:marRight w:val="0"/>
          <w:marTop w:val="0"/>
          <w:marBottom w:val="0"/>
          <w:divBdr>
            <w:top w:val="none" w:sz="0" w:space="0" w:color="auto"/>
            <w:left w:val="none" w:sz="0" w:space="0" w:color="auto"/>
            <w:bottom w:val="none" w:sz="0" w:space="0" w:color="auto"/>
            <w:right w:val="none" w:sz="0" w:space="0" w:color="auto"/>
          </w:divBdr>
        </w:div>
        <w:div w:id="2031488383">
          <w:marLeft w:val="1166"/>
          <w:marRight w:val="0"/>
          <w:marTop w:val="0"/>
          <w:marBottom w:val="0"/>
          <w:divBdr>
            <w:top w:val="none" w:sz="0" w:space="0" w:color="auto"/>
            <w:left w:val="none" w:sz="0" w:space="0" w:color="auto"/>
            <w:bottom w:val="none" w:sz="0" w:space="0" w:color="auto"/>
            <w:right w:val="none" w:sz="0" w:space="0" w:color="auto"/>
          </w:divBdr>
        </w:div>
      </w:divsChild>
    </w:div>
    <w:div w:id="497429057">
      <w:bodyDiv w:val="1"/>
      <w:marLeft w:val="0"/>
      <w:marRight w:val="0"/>
      <w:marTop w:val="0"/>
      <w:marBottom w:val="0"/>
      <w:divBdr>
        <w:top w:val="none" w:sz="0" w:space="0" w:color="auto"/>
        <w:left w:val="none" w:sz="0" w:space="0" w:color="auto"/>
        <w:bottom w:val="none" w:sz="0" w:space="0" w:color="auto"/>
        <w:right w:val="none" w:sz="0" w:space="0" w:color="auto"/>
      </w:divBdr>
    </w:div>
    <w:div w:id="500436396">
      <w:bodyDiv w:val="1"/>
      <w:marLeft w:val="0"/>
      <w:marRight w:val="0"/>
      <w:marTop w:val="0"/>
      <w:marBottom w:val="0"/>
      <w:divBdr>
        <w:top w:val="none" w:sz="0" w:space="0" w:color="auto"/>
        <w:left w:val="none" w:sz="0" w:space="0" w:color="auto"/>
        <w:bottom w:val="none" w:sz="0" w:space="0" w:color="auto"/>
        <w:right w:val="none" w:sz="0" w:space="0" w:color="auto"/>
      </w:divBdr>
    </w:div>
    <w:div w:id="670448414">
      <w:bodyDiv w:val="1"/>
      <w:marLeft w:val="0"/>
      <w:marRight w:val="0"/>
      <w:marTop w:val="0"/>
      <w:marBottom w:val="0"/>
      <w:divBdr>
        <w:top w:val="none" w:sz="0" w:space="0" w:color="auto"/>
        <w:left w:val="none" w:sz="0" w:space="0" w:color="auto"/>
        <w:bottom w:val="none" w:sz="0" w:space="0" w:color="auto"/>
        <w:right w:val="none" w:sz="0" w:space="0" w:color="auto"/>
      </w:divBdr>
      <w:divsChild>
        <w:div w:id="292827324">
          <w:marLeft w:val="288"/>
          <w:marRight w:val="0"/>
          <w:marTop w:val="60"/>
          <w:marBottom w:val="60"/>
          <w:divBdr>
            <w:top w:val="none" w:sz="0" w:space="0" w:color="auto"/>
            <w:left w:val="none" w:sz="0" w:space="0" w:color="auto"/>
            <w:bottom w:val="none" w:sz="0" w:space="0" w:color="auto"/>
            <w:right w:val="none" w:sz="0" w:space="0" w:color="auto"/>
          </w:divBdr>
        </w:div>
        <w:div w:id="1063212822">
          <w:marLeft w:val="288"/>
          <w:marRight w:val="0"/>
          <w:marTop w:val="60"/>
          <w:marBottom w:val="60"/>
          <w:divBdr>
            <w:top w:val="none" w:sz="0" w:space="0" w:color="auto"/>
            <w:left w:val="none" w:sz="0" w:space="0" w:color="auto"/>
            <w:bottom w:val="none" w:sz="0" w:space="0" w:color="auto"/>
            <w:right w:val="none" w:sz="0" w:space="0" w:color="auto"/>
          </w:divBdr>
        </w:div>
        <w:div w:id="1906404950">
          <w:marLeft w:val="288"/>
          <w:marRight w:val="0"/>
          <w:marTop w:val="60"/>
          <w:marBottom w:val="60"/>
          <w:divBdr>
            <w:top w:val="none" w:sz="0" w:space="0" w:color="auto"/>
            <w:left w:val="none" w:sz="0" w:space="0" w:color="auto"/>
            <w:bottom w:val="none" w:sz="0" w:space="0" w:color="auto"/>
            <w:right w:val="none" w:sz="0" w:space="0" w:color="auto"/>
          </w:divBdr>
        </w:div>
        <w:div w:id="2047946956">
          <w:marLeft w:val="288"/>
          <w:marRight w:val="0"/>
          <w:marTop w:val="60"/>
          <w:marBottom w:val="60"/>
          <w:divBdr>
            <w:top w:val="none" w:sz="0" w:space="0" w:color="auto"/>
            <w:left w:val="none" w:sz="0" w:space="0" w:color="auto"/>
            <w:bottom w:val="none" w:sz="0" w:space="0" w:color="auto"/>
            <w:right w:val="none" w:sz="0" w:space="0" w:color="auto"/>
          </w:divBdr>
        </w:div>
      </w:divsChild>
    </w:div>
    <w:div w:id="676469374">
      <w:bodyDiv w:val="1"/>
      <w:marLeft w:val="0"/>
      <w:marRight w:val="0"/>
      <w:marTop w:val="0"/>
      <w:marBottom w:val="0"/>
      <w:divBdr>
        <w:top w:val="none" w:sz="0" w:space="0" w:color="auto"/>
        <w:left w:val="none" w:sz="0" w:space="0" w:color="auto"/>
        <w:bottom w:val="none" w:sz="0" w:space="0" w:color="auto"/>
        <w:right w:val="none" w:sz="0" w:space="0" w:color="auto"/>
      </w:divBdr>
    </w:div>
    <w:div w:id="708845463">
      <w:bodyDiv w:val="1"/>
      <w:marLeft w:val="0"/>
      <w:marRight w:val="0"/>
      <w:marTop w:val="0"/>
      <w:marBottom w:val="0"/>
      <w:divBdr>
        <w:top w:val="none" w:sz="0" w:space="0" w:color="auto"/>
        <w:left w:val="none" w:sz="0" w:space="0" w:color="auto"/>
        <w:bottom w:val="none" w:sz="0" w:space="0" w:color="auto"/>
        <w:right w:val="none" w:sz="0" w:space="0" w:color="auto"/>
      </w:divBdr>
      <w:divsChild>
        <w:div w:id="236673535">
          <w:marLeft w:val="0"/>
          <w:marRight w:val="0"/>
          <w:marTop w:val="0"/>
          <w:marBottom w:val="0"/>
          <w:divBdr>
            <w:top w:val="none" w:sz="0" w:space="0" w:color="auto"/>
            <w:left w:val="none" w:sz="0" w:space="0" w:color="auto"/>
            <w:bottom w:val="none" w:sz="0" w:space="0" w:color="auto"/>
            <w:right w:val="none" w:sz="0" w:space="0" w:color="auto"/>
          </w:divBdr>
          <w:divsChild>
            <w:div w:id="1668241171">
              <w:marLeft w:val="0"/>
              <w:marRight w:val="0"/>
              <w:marTop w:val="0"/>
              <w:marBottom w:val="0"/>
              <w:divBdr>
                <w:top w:val="none" w:sz="0" w:space="0" w:color="auto"/>
                <w:left w:val="none" w:sz="0" w:space="0" w:color="auto"/>
                <w:bottom w:val="none" w:sz="0" w:space="0" w:color="auto"/>
                <w:right w:val="none" w:sz="0" w:space="0" w:color="auto"/>
              </w:divBdr>
              <w:divsChild>
                <w:div w:id="1816070874">
                  <w:marLeft w:val="0"/>
                  <w:marRight w:val="0"/>
                  <w:marTop w:val="0"/>
                  <w:marBottom w:val="0"/>
                  <w:divBdr>
                    <w:top w:val="none" w:sz="0" w:space="0" w:color="auto"/>
                    <w:left w:val="none" w:sz="0" w:space="0" w:color="auto"/>
                    <w:bottom w:val="none" w:sz="0" w:space="0" w:color="auto"/>
                    <w:right w:val="none" w:sz="0" w:space="0" w:color="auto"/>
                  </w:divBdr>
                  <w:divsChild>
                    <w:div w:id="246308683">
                      <w:marLeft w:val="0"/>
                      <w:marRight w:val="0"/>
                      <w:marTop w:val="0"/>
                      <w:marBottom w:val="0"/>
                      <w:divBdr>
                        <w:top w:val="none" w:sz="0" w:space="0" w:color="auto"/>
                        <w:left w:val="none" w:sz="0" w:space="0" w:color="auto"/>
                        <w:bottom w:val="none" w:sz="0" w:space="0" w:color="auto"/>
                        <w:right w:val="none" w:sz="0" w:space="0" w:color="auto"/>
                      </w:divBdr>
                      <w:divsChild>
                        <w:div w:id="1411999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3919695">
          <w:marLeft w:val="0"/>
          <w:marRight w:val="0"/>
          <w:marTop w:val="0"/>
          <w:marBottom w:val="0"/>
          <w:divBdr>
            <w:top w:val="none" w:sz="0" w:space="0" w:color="auto"/>
            <w:left w:val="none" w:sz="0" w:space="0" w:color="auto"/>
            <w:bottom w:val="none" w:sz="0" w:space="0" w:color="auto"/>
            <w:right w:val="none" w:sz="0" w:space="0" w:color="auto"/>
          </w:divBdr>
          <w:divsChild>
            <w:div w:id="1214193611">
              <w:marLeft w:val="0"/>
              <w:marRight w:val="0"/>
              <w:marTop w:val="0"/>
              <w:marBottom w:val="0"/>
              <w:divBdr>
                <w:top w:val="none" w:sz="0" w:space="0" w:color="auto"/>
                <w:left w:val="none" w:sz="0" w:space="0" w:color="auto"/>
                <w:bottom w:val="none" w:sz="0" w:space="0" w:color="auto"/>
                <w:right w:val="none" w:sz="0" w:space="0" w:color="auto"/>
              </w:divBdr>
              <w:divsChild>
                <w:div w:id="1940138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304266">
          <w:marLeft w:val="0"/>
          <w:marRight w:val="0"/>
          <w:marTop w:val="0"/>
          <w:marBottom w:val="0"/>
          <w:divBdr>
            <w:top w:val="none" w:sz="0" w:space="0" w:color="auto"/>
            <w:left w:val="none" w:sz="0" w:space="0" w:color="auto"/>
            <w:bottom w:val="none" w:sz="0" w:space="0" w:color="auto"/>
            <w:right w:val="none" w:sz="0" w:space="0" w:color="auto"/>
          </w:divBdr>
          <w:divsChild>
            <w:div w:id="854464726">
              <w:marLeft w:val="0"/>
              <w:marRight w:val="300"/>
              <w:marTop w:val="0"/>
              <w:marBottom w:val="0"/>
              <w:divBdr>
                <w:top w:val="none" w:sz="0" w:space="0" w:color="auto"/>
                <w:left w:val="none" w:sz="0" w:space="0" w:color="auto"/>
                <w:bottom w:val="none" w:sz="0" w:space="0" w:color="auto"/>
                <w:right w:val="none" w:sz="0" w:space="0" w:color="auto"/>
              </w:divBdr>
            </w:div>
            <w:div w:id="968902246">
              <w:marLeft w:val="0"/>
              <w:marRight w:val="0"/>
              <w:marTop w:val="0"/>
              <w:marBottom w:val="0"/>
              <w:divBdr>
                <w:top w:val="none" w:sz="0" w:space="0" w:color="auto"/>
                <w:left w:val="none" w:sz="0" w:space="0" w:color="auto"/>
                <w:bottom w:val="none" w:sz="0" w:space="0" w:color="auto"/>
                <w:right w:val="none" w:sz="0" w:space="0" w:color="auto"/>
              </w:divBdr>
              <w:divsChild>
                <w:div w:id="847255021">
                  <w:marLeft w:val="300"/>
                  <w:marRight w:val="0"/>
                  <w:marTop w:val="0"/>
                  <w:marBottom w:val="0"/>
                  <w:divBdr>
                    <w:top w:val="none" w:sz="0" w:space="0" w:color="auto"/>
                    <w:left w:val="none" w:sz="0" w:space="0" w:color="auto"/>
                    <w:bottom w:val="none" w:sz="0" w:space="0" w:color="auto"/>
                    <w:right w:val="none" w:sz="0" w:space="0" w:color="auto"/>
                  </w:divBdr>
                  <w:divsChild>
                    <w:div w:id="841162462">
                      <w:marLeft w:val="0"/>
                      <w:marRight w:val="0"/>
                      <w:marTop w:val="0"/>
                      <w:marBottom w:val="0"/>
                      <w:divBdr>
                        <w:top w:val="none" w:sz="0" w:space="0" w:color="auto"/>
                        <w:left w:val="none" w:sz="0" w:space="0" w:color="auto"/>
                        <w:bottom w:val="none" w:sz="0" w:space="0" w:color="auto"/>
                        <w:right w:val="none" w:sz="0" w:space="0" w:color="auto"/>
                      </w:divBdr>
                      <w:divsChild>
                        <w:div w:id="21980989">
                          <w:marLeft w:val="0"/>
                          <w:marRight w:val="0"/>
                          <w:marTop w:val="0"/>
                          <w:marBottom w:val="0"/>
                          <w:divBdr>
                            <w:top w:val="none" w:sz="0" w:space="0" w:color="auto"/>
                            <w:left w:val="none" w:sz="0" w:space="0" w:color="auto"/>
                            <w:bottom w:val="none" w:sz="0" w:space="0" w:color="auto"/>
                            <w:right w:val="none" w:sz="0" w:space="0" w:color="auto"/>
                          </w:divBdr>
                          <w:divsChild>
                            <w:div w:id="1882128984">
                              <w:marLeft w:val="0"/>
                              <w:marRight w:val="0"/>
                              <w:marTop w:val="0"/>
                              <w:marBottom w:val="0"/>
                              <w:divBdr>
                                <w:top w:val="none" w:sz="0" w:space="0" w:color="auto"/>
                                <w:left w:val="none" w:sz="0" w:space="0" w:color="auto"/>
                                <w:bottom w:val="none" w:sz="0" w:space="0" w:color="auto"/>
                                <w:right w:val="none" w:sz="0" w:space="0" w:color="auto"/>
                              </w:divBdr>
                              <w:divsChild>
                                <w:div w:id="1881093340">
                                  <w:marLeft w:val="0"/>
                                  <w:marRight w:val="0"/>
                                  <w:marTop w:val="0"/>
                                  <w:marBottom w:val="0"/>
                                  <w:divBdr>
                                    <w:top w:val="none" w:sz="0" w:space="0" w:color="auto"/>
                                    <w:left w:val="none" w:sz="0" w:space="0" w:color="auto"/>
                                    <w:bottom w:val="none" w:sz="0" w:space="0" w:color="auto"/>
                                    <w:right w:val="none" w:sz="0" w:space="0" w:color="auto"/>
                                  </w:divBdr>
                                </w:div>
                              </w:divsChild>
                            </w:div>
                            <w:div w:id="2042431539">
                              <w:marLeft w:val="0"/>
                              <w:marRight w:val="0"/>
                              <w:marTop w:val="0"/>
                              <w:marBottom w:val="0"/>
                              <w:divBdr>
                                <w:top w:val="none" w:sz="0" w:space="0" w:color="auto"/>
                                <w:left w:val="none" w:sz="0" w:space="0" w:color="auto"/>
                                <w:bottom w:val="none" w:sz="0" w:space="0" w:color="auto"/>
                                <w:right w:val="none" w:sz="0" w:space="0" w:color="auto"/>
                              </w:divBdr>
                              <w:divsChild>
                                <w:div w:id="112797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1125118">
      <w:bodyDiv w:val="1"/>
      <w:marLeft w:val="0"/>
      <w:marRight w:val="0"/>
      <w:marTop w:val="0"/>
      <w:marBottom w:val="0"/>
      <w:divBdr>
        <w:top w:val="none" w:sz="0" w:space="0" w:color="auto"/>
        <w:left w:val="none" w:sz="0" w:space="0" w:color="auto"/>
        <w:bottom w:val="none" w:sz="0" w:space="0" w:color="auto"/>
        <w:right w:val="none" w:sz="0" w:space="0" w:color="auto"/>
      </w:divBdr>
    </w:div>
    <w:div w:id="803617686">
      <w:bodyDiv w:val="1"/>
      <w:marLeft w:val="0"/>
      <w:marRight w:val="0"/>
      <w:marTop w:val="0"/>
      <w:marBottom w:val="0"/>
      <w:divBdr>
        <w:top w:val="none" w:sz="0" w:space="0" w:color="auto"/>
        <w:left w:val="none" w:sz="0" w:space="0" w:color="auto"/>
        <w:bottom w:val="none" w:sz="0" w:space="0" w:color="auto"/>
        <w:right w:val="none" w:sz="0" w:space="0" w:color="auto"/>
      </w:divBdr>
      <w:divsChild>
        <w:div w:id="1953508403">
          <w:marLeft w:val="547"/>
          <w:marRight w:val="0"/>
          <w:marTop w:val="0"/>
          <w:marBottom w:val="0"/>
          <w:divBdr>
            <w:top w:val="none" w:sz="0" w:space="0" w:color="auto"/>
            <w:left w:val="none" w:sz="0" w:space="0" w:color="auto"/>
            <w:bottom w:val="none" w:sz="0" w:space="0" w:color="auto"/>
            <w:right w:val="none" w:sz="0" w:space="0" w:color="auto"/>
          </w:divBdr>
        </w:div>
      </w:divsChild>
    </w:div>
    <w:div w:id="826484018">
      <w:bodyDiv w:val="1"/>
      <w:marLeft w:val="0"/>
      <w:marRight w:val="0"/>
      <w:marTop w:val="0"/>
      <w:marBottom w:val="0"/>
      <w:divBdr>
        <w:top w:val="none" w:sz="0" w:space="0" w:color="auto"/>
        <w:left w:val="none" w:sz="0" w:space="0" w:color="auto"/>
        <w:bottom w:val="none" w:sz="0" w:space="0" w:color="auto"/>
        <w:right w:val="none" w:sz="0" w:space="0" w:color="auto"/>
      </w:divBdr>
    </w:div>
    <w:div w:id="853568458">
      <w:bodyDiv w:val="1"/>
      <w:marLeft w:val="0"/>
      <w:marRight w:val="0"/>
      <w:marTop w:val="0"/>
      <w:marBottom w:val="0"/>
      <w:divBdr>
        <w:top w:val="none" w:sz="0" w:space="0" w:color="auto"/>
        <w:left w:val="none" w:sz="0" w:space="0" w:color="auto"/>
        <w:bottom w:val="none" w:sz="0" w:space="0" w:color="auto"/>
        <w:right w:val="none" w:sz="0" w:space="0" w:color="auto"/>
      </w:divBdr>
    </w:div>
    <w:div w:id="853812034">
      <w:bodyDiv w:val="1"/>
      <w:marLeft w:val="0"/>
      <w:marRight w:val="0"/>
      <w:marTop w:val="0"/>
      <w:marBottom w:val="0"/>
      <w:divBdr>
        <w:top w:val="none" w:sz="0" w:space="0" w:color="auto"/>
        <w:left w:val="none" w:sz="0" w:space="0" w:color="auto"/>
        <w:bottom w:val="none" w:sz="0" w:space="0" w:color="auto"/>
        <w:right w:val="none" w:sz="0" w:space="0" w:color="auto"/>
      </w:divBdr>
    </w:div>
    <w:div w:id="923563668">
      <w:bodyDiv w:val="1"/>
      <w:marLeft w:val="0"/>
      <w:marRight w:val="0"/>
      <w:marTop w:val="0"/>
      <w:marBottom w:val="0"/>
      <w:divBdr>
        <w:top w:val="none" w:sz="0" w:space="0" w:color="auto"/>
        <w:left w:val="none" w:sz="0" w:space="0" w:color="auto"/>
        <w:bottom w:val="none" w:sz="0" w:space="0" w:color="auto"/>
        <w:right w:val="none" w:sz="0" w:space="0" w:color="auto"/>
      </w:divBdr>
      <w:divsChild>
        <w:div w:id="96173738">
          <w:marLeft w:val="288"/>
          <w:marRight w:val="0"/>
          <w:marTop w:val="60"/>
          <w:marBottom w:val="60"/>
          <w:divBdr>
            <w:top w:val="none" w:sz="0" w:space="0" w:color="auto"/>
            <w:left w:val="none" w:sz="0" w:space="0" w:color="auto"/>
            <w:bottom w:val="none" w:sz="0" w:space="0" w:color="auto"/>
            <w:right w:val="none" w:sz="0" w:space="0" w:color="auto"/>
          </w:divBdr>
        </w:div>
        <w:div w:id="1325741100">
          <w:marLeft w:val="288"/>
          <w:marRight w:val="0"/>
          <w:marTop w:val="60"/>
          <w:marBottom w:val="60"/>
          <w:divBdr>
            <w:top w:val="none" w:sz="0" w:space="0" w:color="auto"/>
            <w:left w:val="none" w:sz="0" w:space="0" w:color="auto"/>
            <w:bottom w:val="none" w:sz="0" w:space="0" w:color="auto"/>
            <w:right w:val="none" w:sz="0" w:space="0" w:color="auto"/>
          </w:divBdr>
        </w:div>
        <w:div w:id="1815220383">
          <w:marLeft w:val="288"/>
          <w:marRight w:val="0"/>
          <w:marTop w:val="60"/>
          <w:marBottom w:val="60"/>
          <w:divBdr>
            <w:top w:val="none" w:sz="0" w:space="0" w:color="auto"/>
            <w:left w:val="none" w:sz="0" w:space="0" w:color="auto"/>
            <w:bottom w:val="none" w:sz="0" w:space="0" w:color="auto"/>
            <w:right w:val="none" w:sz="0" w:space="0" w:color="auto"/>
          </w:divBdr>
        </w:div>
        <w:div w:id="1880823177">
          <w:marLeft w:val="288"/>
          <w:marRight w:val="0"/>
          <w:marTop w:val="60"/>
          <w:marBottom w:val="60"/>
          <w:divBdr>
            <w:top w:val="none" w:sz="0" w:space="0" w:color="auto"/>
            <w:left w:val="none" w:sz="0" w:space="0" w:color="auto"/>
            <w:bottom w:val="none" w:sz="0" w:space="0" w:color="auto"/>
            <w:right w:val="none" w:sz="0" w:space="0" w:color="auto"/>
          </w:divBdr>
        </w:div>
      </w:divsChild>
    </w:div>
    <w:div w:id="972297274">
      <w:bodyDiv w:val="1"/>
      <w:marLeft w:val="0"/>
      <w:marRight w:val="0"/>
      <w:marTop w:val="0"/>
      <w:marBottom w:val="0"/>
      <w:divBdr>
        <w:top w:val="none" w:sz="0" w:space="0" w:color="auto"/>
        <w:left w:val="none" w:sz="0" w:space="0" w:color="auto"/>
        <w:bottom w:val="none" w:sz="0" w:space="0" w:color="auto"/>
        <w:right w:val="none" w:sz="0" w:space="0" w:color="auto"/>
      </w:divBdr>
    </w:div>
    <w:div w:id="1098330128">
      <w:bodyDiv w:val="1"/>
      <w:marLeft w:val="0"/>
      <w:marRight w:val="0"/>
      <w:marTop w:val="0"/>
      <w:marBottom w:val="0"/>
      <w:divBdr>
        <w:top w:val="none" w:sz="0" w:space="0" w:color="auto"/>
        <w:left w:val="none" w:sz="0" w:space="0" w:color="auto"/>
        <w:bottom w:val="none" w:sz="0" w:space="0" w:color="auto"/>
        <w:right w:val="none" w:sz="0" w:space="0" w:color="auto"/>
      </w:divBdr>
    </w:div>
    <w:div w:id="1130786006">
      <w:bodyDiv w:val="1"/>
      <w:marLeft w:val="0"/>
      <w:marRight w:val="0"/>
      <w:marTop w:val="0"/>
      <w:marBottom w:val="0"/>
      <w:divBdr>
        <w:top w:val="none" w:sz="0" w:space="0" w:color="auto"/>
        <w:left w:val="none" w:sz="0" w:space="0" w:color="auto"/>
        <w:bottom w:val="none" w:sz="0" w:space="0" w:color="auto"/>
        <w:right w:val="none" w:sz="0" w:space="0" w:color="auto"/>
      </w:divBdr>
    </w:div>
    <w:div w:id="1181358421">
      <w:bodyDiv w:val="1"/>
      <w:marLeft w:val="0"/>
      <w:marRight w:val="0"/>
      <w:marTop w:val="0"/>
      <w:marBottom w:val="0"/>
      <w:divBdr>
        <w:top w:val="none" w:sz="0" w:space="0" w:color="auto"/>
        <w:left w:val="none" w:sz="0" w:space="0" w:color="auto"/>
        <w:bottom w:val="none" w:sz="0" w:space="0" w:color="auto"/>
        <w:right w:val="none" w:sz="0" w:space="0" w:color="auto"/>
      </w:divBdr>
    </w:div>
    <w:div w:id="1315911609">
      <w:bodyDiv w:val="1"/>
      <w:marLeft w:val="0"/>
      <w:marRight w:val="0"/>
      <w:marTop w:val="0"/>
      <w:marBottom w:val="0"/>
      <w:divBdr>
        <w:top w:val="none" w:sz="0" w:space="0" w:color="auto"/>
        <w:left w:val="none" w:sz="0" w:space="0" w:color="auto"/>
        <w:bottom w:val="none" w:sz="0" w:space="0" w:color="auto"/>
        <w:right w:val="none" w:sz="0" w:space="0" w:color="auto"/>
      </w:divBdr>
      <w:divsChild>
        <w:div w:id="1497379759">
          <w:marLeft w:val="547"/>
          <w:marRight w:val="0"/>
          <w:marTop w:val="0"/>
          <w:marBottom w:val="0"/>
          <w:divBdr>
            <w:top w:val="none" w:sz="0" w:space="0" w:color="auto"/>
            <w:left w:val="none" w:sz="0" w:space="0" w:color="auto"/>
            <w:bottom w:val="none" w:sz="0" w:space="0" w:color="auto"/>
            <w:right w:val="none" w:sz="0" w:space="0" w:color="auto"/>
          </w:divBdr>
        </w:div>
      </w:divsChild>
    </w:div>
    <w:div w:id="1432554349">
      <w:bodyDiv w:val="1"/>
      <w:marLeft w:val="0"/>
      <w:marRight w:val="0"/>
      <w:marTop w:val="0"/>
      <w:marBottom w:val="0"/>
      <w:divBdr>
        <w:top w:val="none" w:sz="0" w:space="0" w:color="auto"/>
        <w:left w:val="none" w:sz="0" w:space="0" w:color="auto"/>
        <w:bottom w:val="none" w:sz="0" w:space="0" w:color="auto"/>
        <w:right w:val="none" w:sz="0" w:space="0" w:color="auto"/>
      </w:divBdr>
      <w:divsChild>
        <w:div w:id="526021983">
          <w:marLeft w:val="547"/>
          <w:marRight w:val="0"/>
          <w:marTop w:val="0"/>
          <w:marBottom w:val="0"/>
          <w:divBdr>
            <w:top w:val="none" w:sz="0" w:space="0" w:color="auto"/>
            <w:left w:val="none" w:sz="0" w:space="0" w:color="auto"/>
            <w:bottom w:val="none" w:sz="0" w:space="0" w:color="auto"/>
            <w:right w:val="none" w:sz="0" w:space="0" w:color="auto"/>
          </w:divBdr>
        </w:div>
      </w:divsChild>
    </w:div>
    <w:div w:id="1497838556">
      <w:bodyDiv w:val="1"/>
      <w:marLeft w:val="0"/>
      <w:marRight w:val="0"/>
      <w:marTop w:val="0"/>
      <w:marBottom w:val="0"/>
      <w:divBdr>
        <w:top w:val="none" w:sz="0" w:space="0" w:color="auto"/>
        <w:left w:val="none" w:sz="0" w:space="0" w:color="auto"/>
        <w:bottom w:val="none" w:sz="0" w:space="0" w:color="auto"/>
        <w:right w:val="none" w:sz="0" w:space="0" w:color="auto"/>
      </w:divBdr>
    </w:div>
    <w:div w:id="1576745975">
      <w:bodyDiv w:val="1"/>
      <w:marLeft w:val="0"/>
      <w:marRight w:val="0"/>
      <w:marTop w:val="0"/>
      <w:marBottom w:val="0"/>
      <w:divBdr>
        <w:top w:val="none" w:sz="0" w:space="0" w:color="auto"/>
        <w:left w:val="none" w:sz="0" w:space="0" w:color="auto"/>
        <w:bottom w:val="none" w:sz="0" w:space="0" w:color="auto"/>
        <w:right w:val="none" w:sz="0" w:space="0" w:color="auto"/>
      </w:divBdr>
    </w:div>
    <w:div w:id="1589002889">
      <w:bodyDiv w:val="1"/>
      <w:marLeft w:val="0"/>
      <w:marRight w:val="0"/>
      <w:marTop w:val="0"/>
      <w:marBottom w:val="0"/>
      <w:divBdr>
        <w:top w:val="none" w:sz="0" w:space="0" w:color="auto"/>
        <w:left w:val="none" w:sz="0" w:space="0" w:color="auto"/>
        <w:bottom w:val="none" w:sz="0" w:space="0" w:color="auto"/>
        <w:right w:val="none" w:sz="0" w:space="0" w:color="auto"/>
      </w:divBdr>
    </w:div>
    <w:div w:id="1707683338">
      <w:bodyDiv w:val="1"/>
      <w:marLeft w:val="0"/>
      <w:marRight w:val="0"/>
      <w:marTop w:val="0"/>
      <w:marBottom w:val="0"/>
      <w:divBdr>
        <w:top w:val="none" w:sz="0" w:space="0" w:color="auto"/>
        <w:left w:val="none" w:sz="0" w:space="0" w:color="auto"/>
        <w:bottom w:val="none" w:sz="0" w:space="0" w:color="auto"/>
        <w:right w:val="none" w:sz="0" w:space="0" w:color="auto"/>
      </w:divBdr>
    </w:div>
    <w:div w:id="1758743386">
      <w:bodyDiv w:val="1"/>
      <w:marLeft w:val="0"/>
      <w:marRight w:val="0"/>
      <w:marTop w:val="0"/>
      <w:marBottom w:val="0"/>
      <w:divBdr>
        <w:top w:val="none" w:sz="0" w:space="0" w:color="auto"/>
        <w:left w:val="none" w:sz="0" w:space="0" w:color="auto"/>
        <w:bottom w:val="none" w:sz="0" w:space="0" w:color="auto"/>
        <w:right w:val="none" w:sz="0" w:space="0" w:color="auto"/>
      </w:divBdr>
      <w:divsChild>
        <w:div w:id="189951115">
          <w:marLeft w:val="288"/>
          <w:marRight w:val="0"/>
          <w:marTop w:val="60"/>
          <w:marBottom w:val="60"/>
          <w:divBdr>
            <w:top w:val="none" w:sz="0" w:space="0" w:color="auto"/>
            <w:left w:val="none" w:sz="0" w:space="0" w:color="auto"/>
            <w:bottom w:val="none" w:sz="0" w:space="0" w:color="auto"/>
            <w:right w:val="none" w:sz="0" w:space="0" w:color="auto"/>
          </w:divBdr>
        </w:div>
        <w:div w:id="1227254103">
          <w:marLeft w:val="288"/>
          <w:marRight w:val="0"/>
          <w:marTop w:val="60"/>
          <w:marBottom w:val="60"/>
          <w:divBdr>
            <w:top w:val="none" w:sz="0" w:space="0" w:color="auto"/>
            <w:left w:val="none" w:sz="0" w:space="0" w:color="auto"/>
            <w:bottom w:val="none" w:sz="0" w:space="0" w:color="auto"/>
            <w:right w:val="none" w:sz="0" w:space="0" w:color="auto"/>
          </w:divBdr>
        </w:div>
        <w:div w:id="1511412237">
          <w:marLeft w:val="288"/>
          <w:marRight w:val="0"/>
          <w:marTop w:val="60"/>
          <w:marBottom w:val="60"/>
          <w:divBdr>
            <w:top w:val="none" w:sz="0" w:space="0" w:color="auto"/>
            <w:left w:val="none" w:sz="0" w:space="0" w:color="auto"/>
            <w:bottom w:val="none" w:sz="0" w:space="0" w:color="auto"/>
            <w:right w:val="none" w:sz="0" w:space="0" w:color="auto"/>
          </w:divBdr>
        </w:div>
        <w:div w:id="1817645139">
          <w:marLeft w:val="1008"/>
          <w:marRight w:val="0"/>
          <w:marTop w:val="60"/>
          <w:marBottom w:val="60"/>
          <w:divBdr>
            <w:top w:val="none" w:sz="0" w:space="0" w:color="auto"/>
            <w:left w:val="none" w:sz="0" w:space="0" w:color="auto"/>
            <w:bottom w:val="none" w:sz="0" w:space="0" w:color="auto"/>
            <w:right w:val="none" w:sz="0" w:space="0" w:color="auto"/>
          </w:divBdr>
        </w:div>
        <w:div w:id="1952278858">
          <w:marLeft w:val="288"/>
          <w:marRight w:val="0"/>
          <w:marTop w:val="60"/>
          <w:marBottom w:val="60"/>
          <w:divBdr>
            <w:top w:val="none" w:sz="0" w:space="0" w:color="auto"/>
            <w:left w:val="none" w:sz="0" w:space="0" w:color="auto"/>
            <w:bottom w:val="none" w:sz="0" w:space="0" w:color="auto"/>
            <w:right w:val="none" w:sz="0" w:space="0" w:color="auto"/>
          </w:divBdr>
        </w:div>
        <w:div w:id="2021345331">
          <w:marLeft w:val="288"/>
          <w:marRight w:val="0"/>
          <w:marTop w:val="60"/>
          <w:marBottom w:val="60"/>
          <w:divBdr>
            <w:top w:val="none" w:sz="0" w:space="0" w:color="auto"/>
            <w:left w:val="none" w:sz="0" w:space="0" w:color="auto"/>
            <w:bottom w:val="none" w:sz="0" w:space="0" w:color="auto"/>
            <w:right w:val="none" w:sz="0" w:space="0" w:color="auto"/>
          </w:divBdr>
        </w:div>
        <w:div w:id="2112892290">
          <w:marLeft w:val="288"/>
          <w:marRight w:val="0"/>
          <w:marTop w:val="60"/>
          <w:marBottom w:val="60"/>
          <w:divBdr>
            <w:top w:val="none" w:sz="0" w:space="0" w:color="auto"/>
            <w:left w:val="none" w:sz="0" w:space="0" w:color="auto"/>
            <w:bottom w:val="none" w:sz="0" w:space="0" w:color="auto"/>
            <w:right w:val="none" w:sz="0" w:space="0" w:color="auto"/>
          </w:divBdr>
        </w:div>
      </w:divsChild>
    </w:div>
    <w:div w:id="1883782192">
      <w:bodyDiv w:val="1"/>
      <w:marLeft w:val="0"/>
      <w:marRight w:val="0"/>
      <w:marTop w:val="0"/>
      <w:marBottom w:val="0"/>
      <w:divBdr>
        <w:top w:val="none" w:sz="0" w:space="0" w:color="auto"/>
        <w:left w:val="none" w:sz="0" w:space="0" w:color="auto"/>
        <w:bottom w:val="none" w:sz="0" w:space="0" w:color="auto"/>
        <w:right w:val="none" w:sz="0" w:space="0" w:color="auto"/>
      </w:divBdr>
      <w:divsChild>
        <w:div w:id="297534670">
          <w:marLeft w:val="1166"/>
          <w:marRight w:val="0"/>
          <w:marTop w:val="106"/>
          <w:marBottom w:val="0"/>
          <w:divBdr>
            <w:top w:val="none" w:sz="0" w:space="0" w:color="auto"/>
            <w:left w:val="none" w:sz="0" w:space="0" w:color="auto"/>
            <w:bottom w:val="none" w:sz="0" w:space="0" w:color="auto"/>
            <w:right w:val="none" w:sz="0" w:space="0" w:color="auto"/>
          </w:divBdr>
        </w:div>
        <w:div w:id="901253534">
          <w:marLeft w:val="1166"/>
          <w:marRight w:val="0"/>
          <w:marTop w:val="106"/>
          <w:marBottom w:val="0"/>
          <w:divBdr>
            <w:top w:val="none" w:sz="0" w:space="0" w:color="auto"/>
            <w:left w:val="none" w:sz="0" w:space="0" w:color="auto"/>
            <w:bottom w:val="none" w:sz="0" w:space="0" w:color="auto"/>
            <w:right w:val="none" w:sz="0" w:space="0" w:color="auto"/>
          </w:divBdr>
        </w:div>
        <w:div w:id="2129932589">
          <w:marLeft w:val="1166"/>
          <w:marRight w:val="0"/>
          <w:marTop w:val="106"/>
          <w:marBottom w:val="0"/>
          <w:divBdr>
            <w:top w:val="none" w:sz="0" w:space="0" w:color="auto"/>
            <w:left w:val="none" w:sz="0" w:space="0" w:color="auto"/>
            <w:bottom w:val="none" w:sz="0" w:space="0" w:color="auto"/>
            <w:right w:val="none" w:sz="0" w:space="0" w:color="auto"/>
          </w:divBdr>
        </w:div>
      </w:divsChild>
    </w:div>
    <w:div w:id="1965774300">
      <w:bodyDiv w:val="1"/>
      <w:marLeft w:val="0"/>
      <w:marRight w:val="0"/>
      <w:marTop w:val="0"/>
      <w:marBottom w:val="0"/>
      <w:divBdr>
        <w:top w:val="none" w:sz="0" w:space="0" w:color="auto"/>
        <w:left w:val="none" w:sz="0" w:space="0" w:color="auto"/>
        <w:bottom w:val="none" w:sz="0" w:space="0" w:color="auto"/>
        <w:right w:val="none" w:sz="0" w:space="0" w:color="auto"/>
      </w:divBdr>
      <w:divsChild>
        <w:div w:id="1194423196">
          <w:marLeft w:val="0"/>
          <w:marRight w:val="0"/>
          <w:marTop w:val="0"/>
          <w:marBottom w:val="0"/>
          <w:divBdr>
            <w:top w:val="none" w:sz="0" w:space="0" w:color="auto"/>
            <w:left w:val="none" w:sz="0" w:space="0" w:color="auto"/>
            <w:bottom w:val="none" w:sz="0" w:space="0" w:color="auto"/>
            <w:right w:val="none" w:sz="0" w:space="0" w:color="auto"/>
          </w:divBdr>
        </w:div>
        <w:div w:id="1699089915">
          <w:marLeft w:val="0"/>
          <w:marRight w:val="0"/>
          <w:marTop w:val="0"/>
          <w:marBottom w:val="0"/>
          <w:divBdr>
            <w:top w:val="none" w:sz="0" w:space="0" w:color="auto"/>
            <w:left w:val="none" w:sz="0" w:space="0" w:color="auto"/>
            <w:bottom w:val="none" w:sz="0" w:space="0" w:color="auto"/>
            <w:right w:val="none" w:sz="0" w:space="0" w:color="auto"/>
          </w:divBdr>
        </w:div>
      </w:divsChild>
    </w:div>
    <w:div w:id="2007784227">
      <w:bodyDiv w:val="1"/>
      <w:marLeft w:val="0"/>
      <w:marRight w:val="0"/>
      <w:marTop w:val="0"/>
      <w:marBottom w:val="0"/>
      <w:divBdr>
        <w:top w:val="none" w:sz="0" w:space="0" w:color="auto"/>
        <w:left w:val="none" w:sz="0" w:space="0" w:color="auto"/>
        <w:bottom w:val="none" w:sz="0" w:space="0" w:color="auto"/>
        <w:right w:val="none" w:sz="0" w:space="0" w:color="auto"/>
      </w:divBdr>
    </w:div>
    <w:div w:id="2136292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diagramLayout" Target="diagrams/layout7.xml"/><Relationship Id="rId21" Type="http://schemas.openxmlformats.org/officeDocument/2006/relationships/image" Target="media/image9.jpeg"/><Relationship Id="rId42" Type="http://schemas.openxmlformats.org/officeDocument/2006/relationships/diagramLayout" Target="diagrams/layout4.xml"/><Relationship Id="rId63" Type="http://schemas.openxmlformats.org/officeDocument/2006/relationships/image" Target="media/image21.png"/><Relationship Id="rId84" Type="http://schemas.openxmlformats.org/officeDocument/2006/relationships/image" Target="media/image42.jpeg"/><Relationship Id="rId138" Type="http://schemas.openxmlformats.org/officeDocument/2006/relationships/diagramQuickStyle" Target="diagrams/quickStyle9.xml"/><Relationship Id="rId107" Type="http://schemas.openxmlformats.org/officeDocument/2006/relationships/image" Target="media/image65.jpeg"/><Relationship Id="rId11" Type="http://schemas.openxmlformats.org/officeDocument/2006/relationships/footnotes" Target="footnotes.xml"/><Relationship Id="rId32" Type="http://schemas.microsoft.com/office/2007/relationships/diagramDrawing" Target="diagrams/drawing2.xml"/><Relationship Id="rId53" Type="http://schemas.openxmlformats.org/officeDocument/2006/relationships/image" Target="media/image16.jpeg"/><Relationship Id="rId74" Type="http://schemas.openxmlformats.org/officeDocument/2006/relationships/image" Target="media/image32.jpeg"/><Relationship Id="rId128" Type="http://schemas.openxmlformats.org/officeDocument/2006/relationships/image" Target="media/image76.png"/><Relationship Id="rId149" Type="http://schemas.openxmlformats.org/officeDocument/2006/relationships/fontTable" Target="fontTable.xml"/><Relationship Id="rId5" Type="http://schemas.openxmlformats.org/officeDocument/2006/relationships/customXml" Target="../customXml/item5.xml"/><Relationship Id="rId95" Type="http://schemas.openxmlformats.org/officeDocument/2006/relationships/image" Target="media/image53.jpeg"/><Relationship Id="rId22" Type="http://schemas.openxmlformats.org/officeDocument/2006/relationships/image" Target="media/image10.jpeg"/><Relationship Id="rId27" Type="http://schemas.microsoft.com/office/2007/relationships/diagramDrawing" Target="diagrams/drawing1.xml"/><Relationship Id="rId43" Type="http://schemas.openxmlformats.org/officeDocument/2006/relationships/diagramQuickStyle" Target="diagrams/quickStyle4.xml"/><Relationship Id="rId48" Type="http://schemas.openxmlformats.org/officeDocument/2006/relationships/diagramLayout" Target="diagrams/layout5.xml"/><Relationship Id="rId64" Type="http://schemas.openxmlformats.org/officeDocument/2006/relationships/image" Target="media/image22.jpeg"/><Relationship Id="rId69" Type="http://schemas.openxmlformats.org/officeDocument/2006/relationships/image" Target="media/image27.png"/><Relationship Id="rId113" Type="http://schemas.openxmlformats.org/officeDocument/2006/relationships/image" Target="media/image71.png"/><Relationship Id="rId118" Type="http://schemas.openxmlformats.org/officeDocument/2006/relationships/diagramQuickStyle" Target="diagrams/quickStyle7.xml"/><Relationship Id="rId134" Type="http://schemas.openxmlformats.org/officeDocument/2006/relationships/image" Target="media/image82.png"/><Relationship Id="rId139" Type="http://schemas.openxmlformats.org/officeDocument/2006/relationships/diagramColors" Target="diagrams/colors9.xml"/><Relationship Id="rId80" Type="http://schemas.openxmlformats.org/officeDocument/2006/relationships/image" Target="media/image38.jpeg"/><Relationship Id="rId85" Type="http://schemas.openxmlformats.org/officeDocument/2006/relationships/image" Target="media/image43.jpeg"/><Relationship Id="rId150" Type="http://schemas.openxmlformats.org/officeDocument/2006/relationships/theme" Target="theme/theme1.xml"/><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diagramData" Target="diagrams/data3.xml"/><Relationship Id="rId38" Type="http://schemas.openxmlformats.org/officeDocument/2006/relationships/image" Target="media/image11.jpeg"/><Relationship Id="rId59" Type="http://schemas.openxmlformats.org/officeDocument/2006/relationships/diagramQuickStyle" Target="diagrams/quickStyle6.xml"/><Relationship Id="rId103" Type="http://schemas.openxmlformats.org/officeDocument/2006/relationships/image" Target="media/image61.jpeg"/><Relationship Id="rId108" Type="http://schemas.openxmlformats.org/officeDocument/2006/relationships/image" Target="media/image66.png"/><Relationship Id="rId124" Type="http://schemas.openxmlformats.org/officeDocument/2006/relationships/diagramLayout" Target="diagrams/layout8.xml"/><Relationship Id="rId129" Type="http://schemas.openxmlformats.org/officeDocument/2006/relationships/image" Target="media/image77.png"/><Relationship Id="rId54" Type="http://schemas.openxmlformats.org/officeDocument/2006/relationships/image" Target="media/image17.png"/><Relationship Id="rId70" Type="http://schemas.openxmlformats.org/officeDocument/2006/relationships/image" Target="media/image28.png"/><Relationship Id="rId75" Type="http://schemas.openxmlformats.org/officeDocument/2006/relationships/image" Target="media/image33.jpeg"/><Relationship Id="rId91" Type="http://schemas.openxmlformats.org/officeDocument/2006/relationships/image" Target="media/image49.jpeg"/><Relationship Id="rId96" Type="http://schemas.openxmlformats.org/officeDocument/2006/relationships/image" Target="media/image54.png"/><Relationship Id="rId140" Type="http://schemas.microsoft.com/office/2007/relationships/diagramDrawing" Target="diagrams/drawing9.xml"/><Relationship Id="rId145" Type="http://schemas.microsoft.com/office/2007/relationships/diagramDrawing" Target="diagrams/drawing10.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diagramData" Target="diagrams/data1.xml"/><Relationship Id="rId28" Type="http://schemas.openxmlformats.org/officeDocument/2006/relationships/diagramData" Target="diagrams/data2.xml"/><Relationship Id="rId49" Type="http://schemas.openxmlformats.org/officeDocument/2006/relationships/diagramQuickStyle" Target="diagrams/quickStyle5.xml"/><Relationship Id="rId114" Type="http://schemas.openxmlformats.org/officeDocument/2006/relationships/image" Target="media/image72.jpeg"/><Relationship Id="rId119" Type="http://schemas.openxmlformats.org/officeDocument/2006/relationships/diagramColors" Target="diagrams/colors7.xml"/><Relationship Id="rId44" Type="http://schemas.openxmlformats.org/officeDocument/2006/relationships/diagramColors" Target="diagrams/colors4.xml"/><Relationship Id="rId60" Type="http://schemas.openxmlformats.org/officeDocument/2006/relationships/diagramColors" Target="diagrams/colors6.xml"/><Relationship Id="rId65" Type="http://schemas.openxmlformats.org/officeDocument/2006/relationships/image" Target="media/image23.jpeg"/><Relationship Id="rId81" Type="http://schemas.openxmlformats.org/officeDocument/2006/relationships/image" Target="media/image39.jpeg"/><Relationship Id="rId86" Type="http://schemas.openxmlformats.org/officeDocument/2006/relationships/image" Target="media/image44.jpeg"/><Relationship Id="rId130" Type="http://schemas.openxmlformats.org/officeDocument/2006/relationships/image" Target="media/image78.png"/><Relationship Id="rId135" Type="http://schemas.openxmlformats.org/officeDocument/2006/relationships/image" Target="media/image83.png"/><Relationship Id="rId13" Type="http://schemas.openxmlformats.org/officeDocument/2006/relationships/image" Target="media/image1.png"/><Relationship Id="rId18" Type="http://schemas.openxmlformats.org/officeDocument/2006/relationships/image" Target="media/image6.jpeg"/><Relationship Id="rId39" Type="http://schemas.openxmlformats.org/officeDocument/2006/relationships/image" Target="media/image12.jpeg"/><Relationship Id="rId109" Type="http://schemas.openxmlformats.org/officeDocument/2006/relationships/image" Target="media/image67.png"/><Relationship Id="rId34" Type="http://schemas.openxmlformats.org/officeDocument/2006/relationships/diagramLayout" Target="diagrams/layout3.xml"/><Relationship Id="rId50" Type="http://schemas.openxmlformats.org/officeDocument/2006/relationships/diagramColors" Target="diagrams/colors5.xml"/><Relationship Id="rId55" Type="http://schemas.openxmlformats.org/officeDocument/2006/relationships/image" Target="media/image18.svg"/><Relationship Id="rId76" Type="http://schemas.openxmlformats.org/officeDocument/2006/relationships/image" Target="media/image34.jpeg"/><Relationship Id="rId97" Type="http://schemas.openxmlformats.org/officeDocument/2006/relationships/image" Target="media/image55.png"/><Relationship Id="rId104" Type="http://schemas.openxmlformats.org/officeDocument/2006/relationships/image" Target="media/image62.png"/><Relationship Id="rId120" Type="http://schemas.microsoft.com/office/2007/relationships/diagramDrawing" Target="diagrams/drawing7.xml"/><Relationship Id="rId125" Type="http://schemas.openxmlformats.org/officeDocument/2006/relationships/diagramQuickStyle" Target="diagrams/quickStyle8.xml"/><Relationship Id="rId141" Type="http://schemas.openxmlformats.org/officeDocument/2006/relationships/diagramData" Target="diagrams/data10.xml"/><Relationship Id="rId146" Type="http://schemas.openxmlformats.org/officeDocument/2006/relationships/image" Target="media/image84.png"/><Relationship Id="rId7" Type="http://schemas.openxmlformats.org/officeDocument/2006/relationships/numbering" Target="numbering.xml"/><Relationship Id="rId71" Type="http://schemas.openxmlformats.org/officeDocument/2006/relationships/image" Target="media/image29.jpeg"/><Relationship Id="rId92" Type="http://schemas.openxmlformats.org/officeDocument/2006/relationships/image" Target="media/image50.jpeg"/><Relationship Id="rId2" Type="http://schemas.openxmlformats.org/officeDocument/2006/relationships/customXml" Target="../customXml/item2.xml"/><Relationship Id="rId29" Type="http://schemas.openxmlformats.org/officeDocument/2006/relationships/diagramLayout" Target="diagrams/layout2.xml"/><Relationship Id="rId24" Type="http://schemas.openxmlformats.org/officeDocument/2006/relationships/diagramLayout" Target="diagrams/layout1.xml"/><Relationship Id="rId40" Type="http://schemas.openxmlformats.org/officeDocument/2006/relationships/image" Target="media/image13.jpeg"/><Relationship Id="rId45" Type="http://schemas.microsoft.com/office/2007/relationships/diagramDrawing" Target="diagrams/drawing4.xml"/><Relationship Id="rId66" Type="http://schemas.openxmlformats.org/officeDocument/2006/relationships/image" Target="media/image24.png"/><Relationship Id="rId87" Type="http://schemas.openxmlformats.org/officeDocument/2006/relationships/image" Target="media/image45.png"/><Relationship Id="rId110" Type="http://schemas.openxmlformats.org/officeDocument/2006/relationships/image" Target="media/image68.png"/><Relationship Id="rId115" Type="http://schemas.openxmlformats.org/officeDocument/2006/relationships/image" Target="media/image73.png"/><Relationship Id="rId131" Type="http://schemas.openxmlformats.org/officeDocument/2006/relationships/image" Target="media/image79.jpeg"/><Relationship Id="rId136" Type="http://schemas.openxmlformats.org/officeDocument/2006/relationships/diagramData" Target="diagrams/data9.xml"/><Relationship Id="rId61" Type="http://schemas.microsoft.com/office/2007/relationships/diagramDrawing" Target="diagrams/drawing6.xml"/><Relationship Id="rId82" Type="http://schemas.openxmlformats.org/officeDocument/2006/relationships/image" Target="media/image40.png"/><Relationship Id="rId19" Type="http://schemas.openxmlformats.org/officeDocument/2006/relationships/image" Target="media/image7.png"/><Relationship Id="rId14" Type="http://schemas.openxmlformats.org/officeDocument/2006/relationships/image" Target="media/image2.svg"/><Relationship Id="rId30" Type="http://schemas.openxmlformats.org/officeDocument/2006/relationships/diagramQuickStyle" Target="diagrams/quickStyle2.xml"/><Relationship Id="rId35" Type="http://schemas.openxmlformats.org/officeDocument/2006/relationships/diagramQuickStyle" Target="diagrams/quickStyle3.xml"/><Relationship Id="rId56" Type="http://schemas.openxmlformats.org/officeDocument/2006/relationships/image" Target="media/image19.png"/><Relationship Id="rId77" Type="http://schemas.openxmlformats.org/officeDocument/2006/relationships/image" Target="media/image35.jpeg"/><Relationship Id="rId100" Type="http://schemas.openxmlformats.org/officeDocument/2006/relationships/image" Target="media/image58.png"/><Relationship Id="rId105" Type="http://schemas.openxmlformats.org/officeDocument/2006/relationships/image" Target="media/image63.jpeg"/><Relationship Id="rId126" Type="http://schemas.openxmlformats.org/officeDocument/2006/relationships/diagramColors" Target="diagrams/colors8.xml"/><Relationship Id="rId147" Type="http://schemas.openxmlformats.org/officeDocument/2006/relationships/header" Target="header1.xml"/><Relationship Id="rId8" Type="http://schemas.openxmlformats.org/officeDocument/2006/relationships/styles" Target="styles.xml"/><Relationship Id="rId51" Type="http://schemas.microsoft.com/office/2007/relationships/diagramDrawing" Target="diagrams/drawing5.xml"/><Relationship Id="rId72" Type="http://schemas.openxmlformats.org/officeDocument/2006/relationships/image" Target="media/image30.jpeg"/><Relationship Id="rId93" Type="http://schemas.openxmlformats.org/officeDocument/2006/relationships/image" Target="media/image51.png"/><Relationship Id="rId98" Type="http://schemas.openxmlformats.org/officeDocument/2006/relationships/image" Target="media/image56.svg"/><Relationship Id="rId121" Type="http://schemas.openxmlformats.org/officeDocument/2006/relationships/image" Target="media/image74.jpeg"/><Relationship Id="rId142" Type="http://schemas.openxmlformats.org/officeDocument/2006/relationships/diagramLayout" Target="diagrams/layout10.xml"/><Relationship Id="rId3" Type="http://schemas.openxmlformats.org/officeDocument/2006/relationships/customXml" Target="../customXml/item3.xml"/><Relationship Id="rId25" Type="http://schemas.openxmlformats.org/officeDocument/2006/relationships/diagramQuickStyle" Target="diagrams/quickStyle1.xml"/><Relationship Id="rId46" Type="http://schemas.openxmlformats.org/officeDocument/2006/relationships/image" Target="media/image14.jpeg"/><Relationship Id="rId67" Type="http://schemas.openxmlformats.org/officeDocument/2006/relationships/image" Target="media/image25.png"/><Relationship Id="rId116" Type="http://schemas.openxmlformats.org/officeDocument/2006/relationships/diagramData" Target="diagrams/data7.xml"/><Relationship Id="rId137" Type="http://schemas.openxmlformats.org/officeDocument/2006/relationships/diagramLayout" Target="diagrams/layout9.xml"/><Relationship Id="rId20" Type="http://schemas.openxmlformats.org/officeDocument/2006/relationships/image" Target="media/image8.jpeg"/><Relationship Id="rId41" Type="http://schemas.openxmlformats.org/officeDocument/2006/relationships/diagramData" Target="diagrams/data4.xml"/><Relationship Id="rId62" Type="http://schemas.openxmlformats.org/officeDocument/2006/relationships/image" Target="media/image20.jpeg"/><Relationship Id="rId83" Type="http://schemas.openxmlformats.org/officeDocument/2006/relationships/image" Target="media/image41.svg"/><Relationship Id="rId88" Type="http://schemas.openxmlformats.org/officeDocument/2006/relationships/image" Target="media/image46.png"/><Relationship Id="rId111" Type="http://schemas.openxmlformats.org/officeDocument/2006/relationships/image" Target="media/image69.jpeg"/><Relationship Id="rId132" Type="http://schemas.openxmlformats.org/officeDocument/2006/relationships/image" Target="media/image80.png"/><Relationship Id="rId15" Type="http://schemas.openxmlformats.org/officeDocument/2006/relationships/image" Target="media/image3.jpeg"/><Relationship Id="rId36" Type="http://schemas.openxmlformats.org/officeDocument/2006/relationships/diagramColors" Target="diagrams/colors3.xml"/><Relationship Id="rId57" Type="http://schemas.openxmlformats.org/officeDocument/2006/relationships/diagramData" Target="diagrams/data6.xml"/><Relationship Id="rId106" Type="http://schemas.openxmlformats.org/officeDocument/2006/relationships/image" Target="media/image64.jpeg"/><Relationship Id="rId127" Type="http://schemas.microsoft.com/office/2007/relationships/diagramDrawing" Target="diagrams/drawing8.xml"/><Relationship Id="rId10" Type="http://schemas.openxmlformats.org/officeDocument/2006/relationships/webSettings" Target="webSettings.xml"/><Relationship Id="rId31" Type="http://schemas.openxmlformats.org/officeDocument/2006/relationships/diagramColors" Target="diagrams/colors2.xml"/><Relationship Id="rId52" Type="http://schemas.openxmlformats.org/officeDocument/2006/relationships/image" Target="media/image15.jpeg"/><Relationship Id="rId73" Type="http://schemas.openxmlformats.org/officeDocument/2006/relationships/image" Target="media/image31.jpeg"/><Relationship Id="rId78" Type="http://schemas.openxmlformats.org/officeDocument/2006/relationships/image" Target="media/image36.jpeg"/><Relationship Id="rId94" Type="http://schemas.openxmlformats.org/officeDocument/2006/relationships/image" Target="media/image52.jpeg"/><Relationship Id="rId99" Type="http://schemas.openxmlformats.org/officeDocument/2006/relationships/image" Target="media/image57.png"/><Relationship Id="rId101" Type="http://schemas.openxmlformats.org/officeDocument/2006/relationships/image" Target="media/image59.png"/><Relationship Id="rId122" Type="http://schemas.openxmlformats.org/officeDocument/2006/relationships/image" Target="media/image75.png"/><Relationship Id="rId143" Type="http://schemas.openxmlformats.org/officeDocument/2006/relationships/diagramQuickStyle" Target="diagrams/quickStyle10.xml"/><Relationship Id="rId14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diagramColors" Target="diagrams/colors1.xml"/><Relationship Id="rId47" Type="http://schemas.openxmlformats.org/officeDocument/2006/relationships/diagramData" Target="diagrams/data5.xml"/><Relationship Id="rId68" Type="http://schemas.openxmlformats.org/officeDocument/2006/relationships/image" Target="media/image26.png"/><Relationship Id="rId89" Type="http://schemas.openxmlformats.org/officeDocument/2006/relationships/image" Target="media/image47.svg"/><Relationship Id="rId112" Type="http://schemas.openxmlformats.org/officeDocument/2006/relationships/image" Target="media/image70.jpeg"/><Relationship Id="rId133" Type="http://schemas.openxmlformats.org/officeDocument/2006/relationships/image" Target="media/image81.svg"/><Relationship Id="rId16" Type="http://schemas.openxmlformats.org/officeDocument/2006/relationships/image" Target="media/image4.jpeg"/><Relationship Id="rId37" Type="http://schemas.microsoft.com/office/2007/relationships/diagramDrawing" Target="diagrams/drawing3.xml"/><Relationship Id="rId58" Type="http://schemas.openxmlformats.org/officeDocument/2006/relationships/diagramLayout" Target="diagrams/layout6.xml"/><Relationship Id="rId79" Type="http://schemas.openxmlformats.org/officeDocument/2006/relationships/image" Target="media/image37.jpeg"/><Relationship Id="rId102" Type="http://schemas.openxmlformats.org/officeDocument/2006/relationships/image" Target="media/image60.png"/><Relationship Id="rId123" Type="http://schemas.openxmlformats.org/officeDocument/2006/relationships/diagramData" Target="diagrams/data8.xml"/><Relationship Id="rId144" Type="http://schemas.openxmlformats.org/officeDocument/2006/relationships/diagramColors" Target="diagrams/colors10.xml"/><Relationship Id="rId90" Type="http://schemas.openxmlformats.org/officeDocument/2006/relationships/image" Target="media/image48.jpeg"/></Relationships>
</file>

<file path=word/_rels/header1.xml.rels><?xml version="1.0" encoding="UTF-8" standalone="yes"?>
<Relationships xmlns="http://schemas.openxmlformats.org/package/2006/relationships"><Relationship Id="rId1" Type="http://schemas.openxmlformats.org/officeDocument/2006/relationships/image" Target="media/image8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knitter\AppData\Roaming\Microsoft\Templates\Gainwell%20Proposal%20Template_CalSAWS.dotm" TargetMode="Externa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731ED42-8B15-4057-A0D8-8E60EBAA87E6}" type="doc">
      <dgm:prSet loTypeId="urn:diagrams.loki3.com/BracketList" loCatId="list" qsTypeId="urn:microsoft.com/office/officeart/2005/8/quickstyle/simple1" qsCatId="simple" csTypeId="urn:microsoft.com/office/officeart/2005/8/colors/colorful4" csCatId="colorful" phldr="1"/>
      <dgm:spPr/>
      <dgm:t>
        <a:bodyPr/>
        <a:lstStyle/>
        <a:p>
          <a:endParaRPr lang="en-US"/>
        </a:p>
      </dgm:t>
    </dgm:pt>
    <dgm:pt modelId="{CFD9FC26-5E37-40BB-BEA7-119E127E95EE}">
      <dgm:prSet custT="1"/>
      <dgm:spPr/>
      <dgm:t>
        <a:bodyPr/>
        <a:lstStyle/>
        <a:p>
          <a:pPr>
            <a:buNone/>
          </a:pPr>
          <a:r>
            <a:rPr lang="en-US" sz="1050" dirty="0">
              <a:latin typeface="Century Gothic" panose="020B0502020202020204" pitchFamily="34" charset="0"/>
            </a:rPr>
            <a:t>Coordinate the timing and entry/exit criteria associated with design, build, test, and delivery across contractors when multiple parties are required to implement a change or add a capability</a:t>
          </a:r>
          <a:endParaRPr lang="en-US" sz="1050" dirty="0"/>
        </a:p>
      </dgm:t>
    </dgm:pt>
    <dgm:pt modelId="{E25D128C-F295-4A8B-B463-1182C6D20C9D}" type="parTrans" cxnId="{5499E9F4-02E3-4656-9CF7-648679A2E6DC}">
      <dgm:prSet/>
      <dgm:spPr/>
      <dgm:t>
        <a:bodyPr/>
        <a:lstStyle/>
        <a:p>
          <a:endParaRPr lang="en-US"/>
        </a:p>
      </dgm:t>
    </dgm:pt>
    <dgm:pt modelId="{68CA034E-5E19-4672-84C5-8DEEC90B281B}" type="sibTrans" cxnId="{5499E9F4-02E3-4656-9CF7-648679A2E6DC}">
      <dgm:prSet/>
      <dgm:spPr/>
      <dgm:t>
        <a:bodyPr/>
        <a:lstStyle/>
        <a:p>
          <a:endParaRPr lang="en-US"/>
        </a:p>
      </dgm:t>
    </dgm:pt>
    <dgm:pt modelId="{4CC95C09-255D-4668-BA1D-3FAC08BCF555}">
      <dgm:prSet custT="1"/>
      <dgm:spPr/>
      <dgm:t>
        <a:bodyPr/>
        <a:lstStyle/>
        <a:p>
          <a:pPr>
            <a:spcAft>
              <a:spcPts val="300"/>
            </a:spcAft>
            <a:buClr>
              <a:schemeClr val="bg1"/>
            </a:buClr>
          </a:pPr>
          <a:r>
            <a:rPr lang="en-US" sz="1050">
              <a:latin typeface="Century Gothic" panose="020B0502020202020204" pitchFamily="34" charset="0"/>
            </a:rPr>
            <a:t>Participate and engage early on identification of changes and initiatives with cross contractor impact</a:t>
          </a:r>
          <a:endParaRPr lang="en-US" sz="1050" dirty="0">
            <a:latin typeface="Century Gothic" panose="020B0502020202020204" pitchFamily="34" charset="0"/>
          </a:endParaRPr>
        </a:p>
      </dgm:t>
    </dgm:pt>
    <dgm:pt modelId="{7AF5AE50-8CB5-473C-AFE6-B5E1229E87A9}" type="parTrans" cxnId="{DD2D98CA-4A94-4449-BB97-FF103A1F3629}">
      <dgm:prSet/>
      <dgm:spPr/>
      <dgm:t>
        <a:bodyPr/>
        <a:lstStyle/>
        <a:p>
          <a:endParaRPr lang="en-US"/>
        </a:p>
      </dgm:t>
    </dgm:pt>
    <dgm:pt modelId="{744C9720-7EB1-4F12-9ABB-08CA052D6243}" type="sibTrans" cxnId="{DD2D98CA-4A94-4449-BB97-FF103A1F3629}">
      <dgm:prSet/>
      <dgm:spPr/>
      <dgm:t>
        <a:bodyPr/>
        <a:lstStyle/>
        <a:p>
          <a:endParaRPr lang="en-US"/>
        </a:p>
      </dgm:t>
    </dgm:pt>
    <dgm:pt modelId="{BD4EAE27-F1FF-470D-AA5E-76BE73BC6806}">
      <dgm:prSet custT="1"/>
      <dgm:spPr/>
      <dgm:t>
        <a:bodyPr/>
        <a:lstStyle/>
        <a:p>
          <a:r>
            <a:rPr lang="en-US" sz="1050" dirty="0">
              <a:latin typeface="Century Gothic" panose="020B0502020202020204" pitchFamily="34" charset="0"/>
            </a:rPr>
            <a:t>Provide input to discussions to determine SCR priorities with consideration of committee decisions</a:t>
          </a:r>
        </a:p>
      </dgm:t>
    </dgm:pt>
    <dgm:pt modelId="{CB10D180-F7C7-4BDA-A4ED-7696C155564E}" type="parTrans" cxnId="{636BD5A5-874C-445C-BF9F-1142CBE718B6}">
      <dgm:prSet/>
      <dgm:spPr/>
      <dgm:t>
        <a:bodyPr/>
        <a:lstStyle/>
        <a:p>
          <a:endParaRPr lang="en-US"/>
        </a:p>
      </dgm:t>
    </dgm:pt>
    <dgm:pt modelId="{B7F5B937-D97D-4433-ACFF-A7DAF6E4DB05}" type="sibTrans" cxnId="{636BD5A5-874C-445C-BF9F-1142CBE718B6}">
      <dgm:prSet/>
      <dgm:spPr/>
      <dgm:t>
        <a:bodyPr/>
        <a:lstStyle/>
        <a:p>
          <a:endParaRPr lang="en-US"/>
        </a:p>
      </dgm:t>
    </dgm:pt>
    <dgm:pt modelId="{4FDEB2A3-4E3D-4D8F-B4B7-57EC1AF4CA51}">
      <dgm:prSet custT="1"/>
      <dgm:spPr/>
      <dgm:t>
        <a:bodyPr/>
        <a:lstStyle/>
        <a:p>
          <a:pPr>
            <a:spcAft>
              <a:spcPts val="300"/>
            </a:spcAft>
            <a:buClr>
              <a:schemeClr val="bg1"/>
            </a:buClr>
          </a:pPr>
          <a:r>
            <a:rPr lang="en-US" sz="1050" dirty="0">
              <a:latin typeface="Century Gothic" panose="020B0502020202020204" pitchFamily="34" charset="0"/>
            </a:rPr>
            <a:t>Participate in review of all incoming SCR, CER and configuration changes to understand impact and timing</a:t>
          </a:r>
        </a:p>
      </dgm:t>
    </dgm:pt>
    <dgm:pt modelId="{99CCFBEC-C323-4554-955E-83F510E907CF}" type="parTrans" cxnId="{F2786A44-B937-4D95-8EA6-7164CD1F5405}">
      <dgm:prSet/>
      <dgm:spPr/>
      <dgm:t>
        <a:bodyPr/>
        <a:lstStyle/>
        <a:p>
          <a:endParaRPr lang="en-US"/>
        </a:p>
      </dgm:t>
    </dgm:pt>
    <dgm:pt modelId="{A1E24452-20FC-4657-90B4-09882EB2BC1C}" type="sibTrans" cxnId="{F2786A44-B937-4D95-8EA6-7164CD1F5405}">
      <dgm:prSet/>
      <dgm:spPr/>
      <dgm:t>
        <a:bodyPr/>
        <a:lstStyle/>
        <a:p>
          <a:endParaRPr lang="en-US"/>
        </a:p>
      </dgm:t>
    </dgm:pt>
    <dgm:pt modelId="{4654E699-26A1-4E6C-AE64-6B97A0E6FC4B}">
      <dgm:prSet custT="1"/>
      <dgm:spPr/>
      <dgm:t>
        <a:bodyPr/>
        <a:lstStyle/>
        <a:p>
          <a:pPr>
            <a:spcAft>
              <a:spcPts val="300"/>
            </a:spcAft>
          </a:pPr>
          <a:r>
            <a:rPr lang="en-US" sz="1050" dirty="0">
              <a:latin typeface="Century Gothic" panose="020B0502020202020204" pitchFamily="34" charset="0"/>
            </a:rPr>
            <a:t>Identify the SCR area such as policy, enhanced functionality or other priorities in conjunction with other cross contractor impacts</a:t>
          </a:r>
        </a:p>
      </dgm:t>
    </dgm:pt>
    <dgm:pt modelId="{BF936B84-78A7-4203-B0F3-97B77CCA8482}" type="parTrans" cxnId="{177B5304-A034-4354-B605-47291345AD56}">
      <dgm:prSet/>
      <dgm:spPr/>
      <dgm:t>
        <a:bodyPr/>
        <a:lstStyle/>
        <a:p>
          <a:endParaRPr lang="en-US"/>
        </a:p>
      </dgm:t>
    </dgm:pt>
    <dgm:pt modelId="{361FBCE2-F84B-438A-823D-FF9F53B7AF9B}" type="sibTrans" cxnId="{177B5304-A034-4354-B605-47291345AD56}">
      <dgm:prSet/>
      <dgm:spPr/>
      <dgm:t>
        <a:bodyPr/>
        <a:lstStyle/>
        <a:p>
          <a:endParaRPr lang="en-US"/>
        </a:p>
      </dgm:t>
    </dgm:pt>
    <dgm:pt modelId="{20E685F3-9DE9-427C-9265-888A6B8D01A6}">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Work with PMO and project managers to create tracking in JIRA and Work Plans</a:t>
          </a:r>
        </a:p>
      </dgm:t>
    </dgm:pt>
    <dgm:pt modelId="{F562A362-FB52-485F-8412-560DDB8AD195}" type="parTrans" cxnId="{B637BACB-A066-4BD8-9A14-D34827497459}">
      <dgm:prSet/>
      <dgm:spPr/>
      <dgm:t>
        <a:bodyPr/>
        <a:lstStyle/>
        <a:p>
          <a:endParaRPr lang="en-US"/>
        </a:p>
      </dgm:t>
    </dgm:pt>
    <dgm:pt modelId="{8BC4FE0D-D2B6-4DD9-8A1D-145AA457CBC4}" type="sibTrans" cxnId="{B637BACB-A066-4BD8-9A14-D34827497459}">
      <dgm:prSet/>
      <dgm:spPr/>
      <dgm:t>
        <a:bodyPr/>
        <a:lstStyle/>
        <a:p>
          <a:endParaRPr lang="en-US"/>
        </a:p>
      </dgm:t>
    </dgm:pt>
    <dgm:pt modelId="{0F291952-6DB6-42C0-BF76-36A5FE17FEB0}">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Provide a holistic view across the project to assist in identification of related services or impacted services early in the process</a:t>
          </a:r>
        </a:p>
      </dgm:t>
    </dgm:pt>
    <dgm:pt modelId="{79EC0D45-CEBC-48D4-8AA6-5CCFFD41B771}" type="parTrans" cxnId="{D3222353-AB30-4851-8263-CADE22B2B190}">
      <dgm:prSet/>
      <dgm:spPr/>
      <dgm:t>
        <a:bodyPr/>
        <a:lstStyle/>
        <a:p>
          <a:endParaRPr lang="en-US"/>
        </a:p>
      </dgm:t>
    </dgm:pt>
    <dgm:pt modelId="{ADCF49CA-8FD6-4A20-A768-EADCAF23EACA}" type="sibTrans" cxnId="{D3222353-AB30-4851-8263-CADE22B2B190}">
      <dgm:prSet/>
      <dgm:spPr/>
      <dgm:t>
        <a:bodyPr/>
        <a:lstStyle/>
        <a:p>
          <a:endParaRPr lang="en-US"/>
        </a:p>
      </dgm:t>
    </dgm:pt>
    <dgm:pt modelId="{99C5784E-49B9-45ED-99CF-901618CC429D}">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Coordinate with testing teams to verify cross contractor functional areas are exercised fully during testing</a:t>
          </a:r>
        </a:p>
      </dgm:t>
    </dgm:pt>
    <dgm:pt modelId="{6AA549B4-8445-4E6F-A626-7B8375017C8C}" type="parTrans" cxnId="{C6C86FA9-605C-4D7D-8510-3496BE92F25B}">
      <dgm:prSet/>
      <dgm:spPr/>
      <dgm:t>
        <a:bodyPr/>
        <a:lstStyle/>
        <a:p>
          <a:endParaRPr lang="en-US"/>
        </a:p>
      </dgm:t>
    </dgm:pt>
    <dgm:pt modelId="{6CE081C3-67A9-4EE8-970C-CDC583171033}" type="sibTrans" cxnId="{C6C86FA9-605C-4D7D-8510-3496BE92F25B}">
      <dgm:prSet/>
      <dgm:spPr/>
      <dgm:t>
        <a:bodyPr/>
        <a:lstStyle/>
        <a:p>
          <a:endParaRPr lang="en-US"/>
        </a:p>
      </dgm:t>
    </dgm:pt>
    <dgm:pt modelId="{4DE09B53-6792-4ACA-AD3C-A6EC097FD6FA}" type="pres">
      <dgm:prSet presAssocID="{9731ED42-8B15-4057-A0D8-8E60EBAA87E6}" presName="Name0" presStyleCnt="0">
        <dgm:presLayoutVars>
          <dgm:dir/>
          <dgm:animLvl val="lvl"/>
          <dgm:resizeHandles val="exact"/>
        </dgm:presLayoutVars>
      </dgm:prSet>
      <dgm:spPr/>
    </dgm:pt>
    <dgm:pt modelId="{C40549ED-3839-410C-BBCD-D14CEF97A749}" type="pres">
      <dgm:prSet presAssocID="{CFD9FC26-5E37-40BB-BEA7-119E127E95EE}" presName="linNode" presStyleCnt="0"/>
      <dgm:spPr/>
    </dgm:pt>
    <dgm:pt modelId="{19FF53C1-E81F-47AC-AFB1-28B94CC62511}" type="pres">
      <dgm:prSet presAssocID="{CFD9FC26-5E37-40BB-BEA7-119E127E95EE}" presName="parTx" presStyleLbl="revTx" presStyleIdx="0" presStyleCnt="2">
        <dgm:presLayoutVars>
          <dgm:chMax val="1"/>
          <dgm:bulletEnabled val="1"/>
        </dgm:presLayoutVars>
      </dgm:prSet>
      <dgm:spPr/>
    </dgm:pt>
    <dgm:pt modelId="{FD6E7D23-7B13-4B36-A3D3-D6B9A334604C}" type="pres">
      <dgm:prSet presAssocID="{CFD9FC26-5E37-40BB-BEA7-119E127E95EE}" presName="bracket" presStyleLbl="parChTrans1D1" presStyleIdx="0" presStyleCnt="2"/>
      <dgm:spPr/>
    </dgm:pt>
    <dgm:pt modelId="{14B3589B-E270-4F3A-BE2C-152D70D3DC3D}" type="pres">
      <dgm:prSet presAssocID="{CFD9FC26-5E37-40BB-BEA7-119E127E95EE}" presName="spH" presStyleCnt="0"/>
      <dgm:spPr/>
    </dgm:pt>
    <dgm:pt modelId="{01FA7A68-2F0B-4F05-A091-ECDE7F8EE7CB}" type="pres">
      <dgm:prSet presAssocID="{CFD9FC26-5E37-40BB-BEA7-119E127E95EE}" presName="desTx" presStyleLbl="node1" presStyleIdx="0" presStyleCnt="2">
        <dgm:presLayoutVars>
          <dgm:bulletEnabled val="1"/>
        </dgm:presLayoutVars>
      </dgm:prSet>
      <dgm:spPr/>
    </dgm:pt>
    <dgm:pt modelId="{8D7C8170-6644-43CF-A9C5-C9014D6B5C3A}" type="pres">
      <dgm:prSet presAssocID="{68CA034E-5E19-4672-84C5-8DEEC90B281B}" presName="spV" presStyleCnt="0"/>
      <dgm:spPr/>
    </dgm:pt>
    <dgm:pt modelId="{4774238B-BADB-4845-9F15-405E0D31B92C}" type="pres">
      <dgm:prSet presAssocID="{BD4EAE27-F1FF-470D-AA5E-76BE73BC6806}" presName="linNode" presStyleCnt="0"/>
      <dgm:spPr/>
    </dgm:pt>
    <dgm:pt modelId="{88D4CE68-9E53-4837-A9C0-428DF807F6C6}" type="pres">
      <dgm:prSet presAssocID="{BD4EAE27-F1FF-470D-AA5E-76BE73BC6806}" presName="parTx" presStyleLbl="revTx" presStyleIdx="1" presStyleCnt="2">
        <dgm:presLayoutVars>
          <dgm:chMax val="1"/>
          <dgm:bulletEnabled val="1"/>
        </dgm:presLayoutVars>
      </dgm:prSet>
      <dgm:spPr/>
    </dgm:pt>
    <dgm:pt modelId="{942A4F5C-9798-4DCC-866F-FF01730BAF9D}" type="pres">
      <dgm:prSet presAssocID="{BD4EAE27-F1FF-470D-AA5E-76BE73BC6806}" presName="bracket" presStyleLbl="parChTrans1D1" presStyleIdx="1" presStyleCnt="2"/>
      <dgm:spPr/>
    </dgm:pt>
    <dgm:pt modelId="{5B52ABC9-9BA4-4098-A8B7-A2BCD7C5986A}" type="pres">
      <dgm:prSet presAssocID="{BD4EAE27-F1FF-470D-AA5E-76BE73BC6806}" presName="spH" presStyleCnt="0"/>
      <dgm:spPr/>
    </dgm:pt>
    <dgm:pt modelId="{5A3E705E-A0C6-4D70-A4C5-C57A292D6246}" type="pres">
      <dgm:prSet presAssocID="{BD4EAE27-F1FF-470D-AA5E-76BE73BC6806}" presName="desTx" presStyleLbl="node1" presStyleIdx="1" presStyleCnt="2" custScaleY="111408">
        <dgm:presLayoutVars>
          <dgm:bulletEnabled val="1"/>
        </dgm:presLayoutVars>
      </dgm:prSet>
      <dgm:spPr/>
    </dgm:pt>
  </dgm:ptLst>
  <dgm:cxnLst>
    <dgm:cxn modelId="{177B5304-A034-4354-B605-47291345AD56}" srcId="{BD4EAE27-F1FF-470D-AA5E-76BE73BC6806}" destId="{4654E699-26A1-4E6C-AE64-6B97A0E6FC4B}" srcOrd="1" destOrd="0" parTransId="{BF936B84-78A7-4203-B0F3-97B77CCA8482}" sibTransId="{361FBCE2-F84B-438A-823D-FF9F53B7AF9B}"/>
    <dgm:cxn modelId="{035F2211-1857-491C-BA83-1A1271DC49EB}" type="presOf" srcId="{99C5784E-49B9-45ED-99CF-901618CC429D}" destId="{01FA7A68-2F0B-4F05-A091-ECDE7F8EE7CB}" srcOrd="0" destOrd="3" presId="urn:diagrams.loki3.com/BracketList"/>
    <dgm:cxn modelId="{04313213-2609-4EBB-8D93-C8BCAA394AB3}" type="presOf" srcId="{4FDEB2A3-4E3D-4D8F-B4B7-57EC1AF4CA51}" destId="{5A3E705E-A0C6-4D70-A4C5-C57A292D6246}" srcOrd="0" destOrd="0" presId="urn:diagrams.loki3.com/BracketList"/>
    <dgm:cxn modelId="{AA920A35-22E9-4FF3-ACE1-5D34505C473C}" type="presOf" srcId="{CFD9FC26-5E37-40BB-BEA7-119E127E95EE}" destId="{19FF53C1-E81F-47AC-AFB1-28B94CC62511}" srcOrd="0" destOrd="0" presId="urn:diagrams.loki3.com/BracketList"/>
    <dgm:cxn modelId="{E6C6FB3F-AAA5-4CEC-B508-47E51A17451F}" type="presOf" srcId="{4CC95C09-255D-4668-BA1D-3FAC08BCF555}" destId="{01FA7A68-2F0B-4F05-A091-ECDE7F8EE7CB}" srcOrd="0" destOrd="0" presId="urn:diagrams.loki3.com/BracketList"/>
    <dgm:cxn modelId="{F2786A44-B937-4D95-8EA6-7164CD1F5405}" srcId="{BD4EAE27-F1FF-470D-AA5E-76BE73BC6806}" destId="{4FDEB2A3-4E3D-4D8F-B4B7-57EC1AF4CA51}" srcOrd="0" destOrd="0" parTransId="{99CCFBEC-C323-4554-955E-83F510E907CF}" sibTransId="{A1E24452-20FC-4657-90B4-09882EB2BC1C}"/>
    <dgm:cxn modelId="{5E53BA48-B1CF-40F0-810F-22D3E92DF068}" type="presOf" srcId="{BD4EAE27-F1FF-470D-AA5E-76BE73BC6806}" destId="{88D4CE68-9E53-4837-A9C0-428DF807F6C6}" srcOrd="0" destOrd="0" presId="urn:diagrams.loki3.com/BracketList"/>
    <dgm:cxn modelId="{B6EB0D69-4527-49DE-ACCB-F6E60B379638}" type="presOf" srcId="{9731ED42-8B15-4057-A0D8-8E60EBAA87E6}" destId="{4DE09B53-6792-4ACA-AD3C-A6EC097FD6FA}" srcOrd="0" destOrd="0" presId="urn:diagrams.loki3.com/BracketList"/>
    <dgm:cxn modelId="{D3222353-AB30-4851-8263-CADE22B2B190}" srcId="{CFD9FC26-5E37-40BB-BEA7-119E127E95EE}" destId="{0F291952-6DB6-42C0-BF76-36A5FE17FEB0}" srcOrd="2" destOrd="0" parTransId="{79EC0D45-CEBC-48D4-8AA6-5CCFFD41B771}" sibTransId="{ADCF49CA-8FD6-4A20-A768-EADCAF23EACA}"/>
    <dgm:cxn modelId="{75226F93-15B5-411C-BE57-3B9C85655FF5}" type="presOf" srcId="{4654E699-26A1-4E6C-AE64-6B97A0E6FC4B}" destId="{5A3E705E-A0C6-4D70-A4C5-C57A292D6246}" srcOrd="0" destOrd="1" presId="urn:diagrams.loki3.com/BracketList"/>
    <dgm:cxn modelId="{636BD5A5-874C-445C-BF9F-1142CBE718B6}" srcId="{9731ED42-8B15-4057-A0D8-8E60EBAA87E6}" destId="{BD4EAE27-F1FF-470D-AA5E-76BE73BC6806}" srcOrd="1" destOrd="0" parTransId="{CB10D180-F7C7-4BDA-A4ED-7696C155564E}" sibTransId="{B7F5B937-D97D-4433-ACFF-A7DAF6E4DB05}"/>
    <dgm:cxn modelId="{C6C86FA9-605C-4D7D-8510-3496BE92F25B}" srcId="{CFD9FC26-5E37-40BB-BEA7-119E127E95EE}" destId="{99C5784E-49B9-45ED-99CF-901618CC429D}" srcOrd="3" destOrd="0" parTransId="{6AA549B4-8445-4E6F-A626-7B8375017C8C}" sibTransId="{6CE081C3-67A9-4EE8-970C-CDC583171033}"/>
    <dgm:cxn modelId="{DD2D98CA-4A94-4449-BB97-FF103A1F3629}" srcId="{CFD9FC26-5E37-40BB-BEA7-119E127E95EE}" destId="{4CC95C09-255D-4668-BA1D-3FAC08BCF555}" srcOrd="0" destOrd="0" parTransId="{7AF5AE50-8CB5-473C-AFE6-B5E1229E87A9}" sibTransId="{744C9720-7EB1-4F12-9ABB-08CA052D6243}"/>
    <dgm:cxn modelId="{B637BACB-A066-4BD8-9A14-D34827497459}" srcId="{CFD9FC26-5E37-40BB-BEA7-119E127E95EE}" destId="{20E685F3-9DE9-427C-9265-888A6B8D01A6}" srcOrd="1" destOrd="0" parTransId="{F562A362-FB52-485F-8412-560DDB8AD195}" sibTransId="{8BC4FE0D-D2B6-4DD9-8A1D-145AA457CBC4}"/>
    <dgm:cxn modelId="{ADDF47D3-6C2C-4EC9-B344-518F872DCDCD}" type="presOf" srcId="{20E685F3-9DE9-427C-9265-888A6B8D01A6}" destId="{01FA7A68-2F0B-4F05-A091-ECDE7F8EE7CB}" srcOrd="0" destOrd="1" presId="urn:diagrams.loki3.com/BracketList"/>
    <dgm:cxn modelId="{5499E9F4-02E3-4656-9CF7-648679A2E6DC}" srcId="{9731ED42-8B15-4057-A0D8-8E60EBAA87E6}" destId="{CFD9FC26-5E37-40BB-BEA7-119E127E95EE}" srcOrd="0" destOrd="0" parTransId="{E25D128C-F295-4A8B-B463-1182C6D20C9D}" sibTransId="{68CA034E-5E19-4672-84C5-8DEEC90B281B}"/>
    <dgm:cxn modelId="{891023FC-0AA5-48DB-9CD3-74DB2AAF8831}" type="presOf" srcId="{0F291952-6DB6-42C0-BF76-36A5FE17FEB0}" destId="{01FA7A68-2F0B-4F05-A091-ECDE7F8EE7CB}" srcOrd="0" destOrd="2" presId="urn:diagrams.loki3.com/BracketList"/>
    <dgm:cxn modelId="{CBE5464C-347F-434D-A0D0-9874F384F6FF}" type="presParOf" srcId="{4DE09B53-6792-4ACA-AD3C-A6EC097FD6FA}" destId="{C40549ED-3839-410C-BBCD-D14CEF97A749}" srcOrd="0" destOrd="0" presId="urn:diagrams.loki3.com/BracketList"/>
    <dgm:cxn modelId="{C7053EAC-3D42-429F-8AA9-F2D472C0AA77}" type="presParOf" srcId="{C40549ED-3839-410C-BBCD-D14CEF97A749}" destId="{19FF53C1-E81F-47AC-AFB1-28B94CC62511}" srcOrd="0" destOrd="0" presId="urn:diagrams.loki3.com/BracketList"/>
    <dgm:cxn modelId="{16311C20-EF7C-4E22-A858-EE5BD40FC28C}" type="presParOf" srcId="{C40549ED-3839-410C-BBCD-D14CEF97A749}" destId="{FD6E7D23-7B13-4B36-A3D3-D6B9A334604C}" srcOrd="1" destOrd="0" presId="urn:diagrams.loki3.com/BracketList"/>
    <dgm:cxn modelId="{8E855DC3-06E0-47D9-8736-16BD8A6668BD}" type="presParOf" srcId="{C40549ED-3839-410C-BBCD-D14CEF97A749}" destId="{14B3589B-E270-4F3A-BE2C-152D70D3DC3D}" srcOrd="2" destOrd="0" presId="urn:diagrams.loki3.com/BracketList"/>
    <dgm:cxn modelId="{892F780B-C015-45D1-9BFE-59B8FB1299E7}" type="presParOf" srcId="{C40549ED-3839-410C-BBCD-D14CEF97A749}" destId="{01FA7A68-2F0B-4F05-A091-ECDE7F8EE7CB}" srcOrd="3" destOrd="0" presId="urn:diagrams.loki3.com/BracketList"/>
    <dgm:cxn modelId="{4F1CA54F-BA34-4C1E-A496-F1E5CD3E1884}" type="presParOf" srcId="{4DE09B53-6792-4ACA-AD3C-A6EC097FD6FA}" destId="{8D7C8170-6644-43CF-A9C5-C9014D6B5C3A}" srcOrd="1" destOrd="0" presId="urn:diagrams.loki3.com/BracketList"/>
    <dgm:cxn modelId="{D166EDA3-CD09-4607-B7C1-FE1F40B57DC2}" type="presParOf" srcId="{4DE09B53-6792-4ACA-AD3C-A6EC097FD6FA}" destId="{4774238B-BADB-4845-9F15-405E0D31B92C}" srcOrd="2" destOrd="0" presId="urn:diagrams.loki3.com/BracketList"/>
    <dgm:cxn modelId="{2077E1E1-CDD0-4B6F-9305-DC1905BB81E4}" type="presParOf" srcId="{4774238B-BADB-4845-9F15-405E0D31B92C}" destId="{88D4CE68-9E53-4837-A9C0-428DF807F6C6}" srcOrd="0" destOrd="0" presId="urn:diagrams.loki3.com/BracketList"/>
    <dgm:cxn modelId="{128C04F0-6BC4-4940-90A0-54359D5092BC}" type="presParOf" srcId="{4774238B-BADB-4845-9F15-405E0D31B92C}" destId="{942A4F5C-9798-4DCC-866F-FF01730BAF9D}" srcOrd="1" destOrd="0" presId="urn:diagrams.loki3.com/BracketList"/>
    <dgm:cxn modelId="{AA91AEB9-4DF1-467E-8E2E-12F0FEF31C5D}" type="presParOf" srcId="{4774238B-BADB-4845-9F15-405E0D31B92C}" destId="{5B52ABC9-9BA4-4098-A8B7-A2BCD7C5986A}" srcOrd="2" destOrd="0" presId="urn:diagrams.loki3.com/BracketList"/>
    <dgm:cxn modelId="{D812316F-C812-4D7B-8EB9-7563D5159D9E}" type="presParOf" srcId="{4774238B-BADB-4845-9F15-405E0D31B92C}" destId="{5A3E705E-A0C6-4D70-A4C5-C57A292D6246}" srcOrd="3" destOrd="0" presId="urn:diagrams.loki3.com/BracketList"/>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A596DF72-213D-4F29-8E8D-4193DEF1DB3E}"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en-US"/>
        </a:p>
      </dgm:t>
    </dgm:pt>
    <dgm:pt modelId="{10D679B3-4E09-4015-99D3-CA3EFA0CCBB0}">
      <dgm:prSet phldrT="[Text]" custT="1"/>
      <dgm:spPr/>
      <dgm:t>
        <a:bodyPr/>
        <a:lstStyle/>
        <a:p>
          <a:pPr>
            <a:spcBef>
              <a:spcPts val="600"/>
            </a:spcBef>
            <a:spcAft>
              <a:spcPts val="600"/>
            </a:spcAft>
          </a:pPr>
          <a:r>
            <a:rPr lang="en-US" sz="1050" b="1">
              <a:latin typeface="Century Gothic" panose="020B0502020202020204" pitchFamily="34" charset="0"/>
            </a:rPr>
            <a:t>BenefitsCal Functionality for Consumers</a:t>
          </a:r>
          <a:endParaRPr lang="en-US" sz="1050">
            <a:latin typeface="Century Gothic" panose="020B0502020202020204" pitchFamily="34" charset="0"/>
          </a:endParaRPr>
        </a:p>
      </dgm:t>
    </dgm:pt>
    <dgm:pt modelId="{DA90C02C-0ACC-41CB-80D6-93FB8AA49B2A}" type="parTrans" cxnId="{480F7EB5-C6C3-440F-8352-36BE198D1812}">
      <dgm:prSet/>
      <dgm:spPr/>
      <dgm:t>
        <a:bodyPr/>
        <a:lstStyle/>
        <a:p>
          <a:endParaRPr lang="en-US">
            <a:latin typeface="Century Gothic" panose="020B0502020202020204" pitchFamily="34" charset="0"/>
          </a:endParaRPr>
        </a:p>
      </dgm:t>
    </dgm:pt>
    <dgm:pt modelId="{9574B835-2B10-42F1-AA35-AE4FFFB51C5D}" type="sibTrans" cxnId="{480F7EB5-C6C3-440F-8352-36BE198D1812}">
      <dgm:prSet/>
      <dgm:spPr/>
      <dgm:t>
        <a:bodyPr/>
        <a:lstStyle/>
        <a:p>
          <a:endParaRPr lang="en-US">
            <a:latin typeface="Century Gothic" panose="020B0502020202020204" pitchFamily="34" charset="0"/>
          </a:endParaRPr>
        </a:p>
      </dgm:t>
    </dgm:pt>
    <dgm:pt modelId="{CD517317-69FC-4F1A-84DF-AB79D00F0354}">
      <dgm:prSet phldrT="[Text]" custT="1"/>
      <dgm:spPr/>
      <dgm:t>
        <a:bodyPr/>
        <a:lstStyle/>
        <a:p>
          <a:pPr>
            <a:spcBef>
              <a:spcPts val="600"/>
            </a:spcBef>
            <a:spcAft>
              <a:spcPts val="600"/>
            </a:spcAft>
          </a:pPr>
          <a:r>
            <a:rPr lang="en-US" sz="1050">
              <a:latin typeface="Century Gothic" panose="020B0502020202020204" pitchFamily="34" charset="0"/>
            </a:rPr>
            <a:t>Hyland Point-of-Capture POC</a:t>
          </a:r>
        </a:p>
      </dgm:t>
    </dgm:pt>
    <dgm:pt modelId="{4C411A24-E778-48B3-BAD4-C00C8B09225E}" type="parTrans" cxnId="{EF16E0DF-C0EE-425A-A86F-50931A738BB2}">
      <dgm:prSet/>
      <dgm:spPr/>
      <dgm:t>
        <a:bodyPr/>
        <a:lstStyle/>
        <a:p>
          <a:endParaRPr lang="en-US">
            <a:latin typeface="Century Gothic" panose="020B0502020202020204" pitchFamily="34" charset="0"/>
          </a:endParaRPr>
        </a:p>
      </dgm:t>
    </dgm:pt>
    <dgm:pt modelId="{A2118E06-F096-43C4-9DDC-578F8542E160}" type="sibTrans" cxnId="{EF16E0DF-C0EE-425A-A86F-50931A738BB2}">
      <dgm:prSet/>
      <dgm:spPr/>
      <dgm:t>
        <a:bodyPr/>
        <a:lstStyle/>
        <a:p>
          <a:endParaRPr lang="en-US">
            <a:latin typeface="Century Gothic" panose="020B0502020202020204" pitchFamily="34" charset="0"/>
          </a:endParaRPr>
        </a:p>
      </dgm:t>
    </dgm:pt>
    <dgm:pt modelId="{021AF4AF-59F9-43CD-BAA6-00B88DACA7E6}">
      <dgm:prSet phldrT="[Text]" custT="1"/>
      <dgm:spPr/>
      <dgm:t>
        <a:bodyPr/>
        <a:lstStyle/>
        <a:p>
          <a:pPr>
            <a:spcBef>
              <a:spcPts val="600"/>
            </a:spcBef>
            <a:spcAft>
              <a:spcPts val="600"/>
            </a:spcAft>
          </a:pPr>
          <a:r>
            <a:rPr lang="en-US" sz="1050" b="1">
              <a:latin typeface="Century Gothic" panose="020B0502020202020204" pitchFamily="34" charset="0"/>
            </a:rPr>
            <a:t>BenefitsCal Functionality for CBOs</a:t>
          </a:r>
          <a:endParaRPr lang="en-US" sz="1050">
            <a:latin typeface="Century Gothic" panose="020B0502020202020204" pitchFamily="34" charset="0"/>
          </a:endParaRPr>
        </a:p>
      </dgm:t>
    </dgm:pt>
    <dgm:pt modelId="{6B2352CE-1C9C-49D6-B8A3-CC250D0879C9}" type="parTrans" cxnId="{9D4B35FE-5D49-4A30-98C8-A8A3294DA2EA}">
      <dgm:prSet/>
      <dgm:spPr/>
      <dgm:t>
        <a:bodyPr/>
        <a:lstStyle/>
        <a:p>
          <a:endParaRPr lang="en-US">
            <a:latin typeface="Century Gothic" panose="020B0502020202020204" pitchFamily="34" charset="0"/>
          </a:endParaRPr>
        </a:p>
      </dgm:t>
    </dgm:pt>
    <dgm:pt modelId="{F65B748D-830D-4F2D-BD5B-3547DF1FFF67}" type="sibTrans" cxnId="{9D4B35FE-5D49-4A30-98C8-A8A3294DA2EA}">
      <dgm:prSet/>
      <dgm:spPr/>
      <dgm:t>
        <a:bodyPr/>
        <a:lstStyle/>
        <a:p>
          <a:endParaRPr lang="en-US">
            <a:latin typeface="Century Gothic" panose="020B0502020202020204" pitchFamily="34" charset="0"/>
          </a:endParaRPr>
        </a:p>
      </dgm:t>
    </dgm:pt>
    <dgm:pt modelId="{4E816E9A-87EA-48DB-916D-4CE86C371354}">
      <dgm:prSet phldrT="[Text]" custT="1"/>
      <dgm:spPr/>
      <dgm:t>
        <a:bodyPr/>
        <a:lstStyle/>
        <a:p>
          <a:pPr>
            <a:spcBef>
              <a:spcPts val="600"/>
            </a:spcBef>
            <a:spcAft>
              <a:spcPts val="600"/>
            </a:spcAft>
          </a:pPr>
          <a:r>
            <a:rPr lang="en-US" sz="1050">
              <a:latin typeface="Century Gothic" panose="020B0502020202020204" pitchFamily="34" charset="0"/>
            </a:rPr>
            <a:t>Automated CBO Enrollment Workflow - New functionality to standardize the process, improve the communication between the CBO and the County, and increase transparency regarding the status</a:t>
          </a:r>
        </a:p>
      </dgm:t>
    </dgm:pt>
    <dgm:pt modelId="{B119CEA8-EF72-45D5-9AA4-847A566A39B0}" type="parTrans" cxnId="{721603AA-91A6-43FD-8CF5-7C0D2E73BC11}">
      <dgm:prSet/>
      <dgm:spPr/>
      <dgm:t>
        <a:bodyPr/>
        <a:lstStyle/>
        <a:p>
          <a:endParaRPr lang="en-US">
            <a:latin typeface="Century Gothic" panose="020B0502020202020204" pitchFamily="34" charset="0"/>
          </a:endParaRPr>
        </a:p>
      </dgm:t>
    </dgm:pt>
    <dgm:pt modelId="{781E316E-3197-46CF-A86C-8333B63043BE}" type="sibTrans" cxnId="{721603AA-91A6-43FD-8CF5-7C0D2E73BC11}">
      <dgm:prSet/>
      <dgm:spPr/>
      <dgm:t>
        <a:bodyPr/>
        <a:lstStyle/>
        <a:p>
          <a:endParaRPr lang="en-US">
            <a:latin typeface="Century Gothic" panose="020B0502020202020204" pitchFamily="34" charset="0"/>
          </a:endParaRPr>
        </a:p>
      </dgm:t>
    </dgm:pt>
    <dgm:pt modelId="{5F269C59-1EA9-4442-A44A-C8E748DD278D}">
      <dgm:prSet phldrT="[Text]" custT="1"/>
      <dgm:spPr/>
      <dgm:t>
        <a:bodyPr/>
        <a:lstStyle/>
        <a:p>
          <a:pPr>
            <a:spcBef>
              <a:spcPts val="600"/>
            </a:spcBef>
            <a:spcAft>
              <a:spcPts val="600"/>
            </a:spcAft>
          </a:pPr>
          <a:r>
            <a:rPr lang="en-US" sz="1050" b="1">
              <a:latin typeface="Century Gothic" panose="020B0502020202020204" pitchFamily="34" charset="0"/>
            </a:rPr>
            <a:t>Information Sharing and Communication within the Advocates Group</a:t>
          </a:r>
          <a:endParaRPr lang="en-US" sz="1050">
            <a:latin typeface="Century Gothic" panose="020B0502020202020204" pitchFamily="34" charset="0"/>
          </a:endParaRPr>
        </a:p>
      </dgm:t>
    </dgm:pt>
    <dgm:pt modelId="{D73F9DAF-8324-4F74-AF91-EBAE6EBE8B3D}" type="parTrans" cxnId="{03D0314F-8FD4-4A17-A9BF-11578BAB6FC6}">
      <dgm:prSet/>
      <dgm:spPr/>
      <dgm:t>
        <a:bodyPr/>
        <a:lstStyle/>
        <a:p>
          <a:endParaRPr lang="en-US">
            <a:latin typeface="Century Gothic" panose="020B0502020202020204" pitchFamily="34" charset="0"/>
          </a:endParaRPr>
        </a:p>
      </dgm:t>
    </dgm:pt>
    <dgm:pt modelId="{AB309E04-3A82-4CE4-A74F-7ACCB5E86817}" type="sibTrans" cxnId="{03D0314F-8FD4-4A17-A9BF-11578BAB6FC6}">
      <dgm:prSet/>
      <dgm:spPr/>
      <dgm:t>
        <a:bodyPr/>
        <a:lstStyle/>
        <a:p>
          <a:endParaRPr lang="en-US">
            <a:latin typeface="Century Gothic" panose="020B0502020202020204" pitchFamily="34" charset="0"/>
          </a:endParaRPr>
        </a:p>
      </dgm:t>
    </dgm:pt>
    <dgm:pt modelId="{B83DCC09-CFEE-46B7-AA17-42009C59AA45}">
      <dgm:prSet phldrT="[Text]" custT="1"/>
      <dgm:spPr/>
      <dgm:t>
        <a:bodyPr/>
        <a:lstStyle/>
        <a:p>
          <a:pPr>
            <a:spcBef>
              <a:spcPts val="600"/>
            </a:spcBef>
            <a:spcAft>
              <a:spcPts val="600"/>
            </a:spcAft>
          </a:pPr>
          <a:r>
            <a:rPr lang="en-US" sz="1050">
              <a:latin typeface="Century Gothic" panose="020B0502020202020204" pitchFamily="34" charset="0"/>
            </a:rPr>
            <a:t> </a:t>
          </a:r>
          <a:r>
            <a:rPr lang="en-US" sz="1050" b="1">
              <a:latin typeface="Century Gothic" panose="020B0502020202020204" pitchFamily="34" charset="0"/>
            </a:rPr>
            <a:t>Data Metrics</a:t>
          </a:r>
          <a:r>
            <a:rPr lang="en-US" sz="1050">
              <a:latin typeface="Century Gothic" panose="020B0502020202020204" pitchFamily="34" charset="0"/>
            </a:rPr>
            <a:t> </a:t>
          </a:r>
        </a:p>
      </dgm:t>
    </dgm:pt>
    <dgm:pt modelId="{837D8C37-EE65-4E59-BE51-D2F8F8AA43DC}" type="parTrans" cxnId="{DAC0B06D-C6E6-425C-BB35-5AAEA654A1B0}">
      <dgm:prSet/>
      <dgm:spPr/>
      <dgm:t>
        <a:bodyPr/>
        <a:lstStyle/>
        <a:p>
          <a:endParaRPr lang="en-US">
            <a:latin typeface="Century Gothic" panose="020B0502020202020204" pitchFamily="34" charset="0"/>
          </a:endParaRPr>
        </a:p>
      </dgm:t>
    </dgm:pt>
    <dgm:pt modelId="{800E19F1-4B2B-4876-86C4-CF53C94BE383}" type="sibTrans" cxnId="{DAC0B06D-C6E6-425C-BB35-5AAEA654A1B0}">
      <dgm:prSet/>
      <dgm:spPr/>
      <dgm:t>
        <a:bodyPr/>
        <a:lstStyle/>
        <a:p>
          <a:endParaRPr lang="en-US">
            <a:latin typeface="Century Gothic" panose="020B0502020202020204" pitchFamily="34" charset="0"/>
          </a:endParaRPr>
        </a:p>
      </dgm:t>
    </dgm:pt>
    <dgm:pt modelId="{F4B86EF2-9C97-4062-8F3B-E3D1424B27E8}">
      <dgm:prSet phldrT="[Text]" custT="1"/>
      <dgm:spPr/>
      <dgm:t>
        <a:bodyPr/>
        <a:lstStyle/>
        <a:p>
          <a:pPr>
            <a:spcBef>
              <a:spcPts val="600"/>
            </a:spcBef>
            <a:spcAft>
              <a:spcPts val="600"/>
            </a:spcAft>
          </a:pPr>
          <a:r>
            <a:rPr lang="en-US" sz="1050">
              <a:latin typeface="Century Gothic" panose="020B0502020202020204" pitchFamily="34" charset="0"/>
            </a:rPr>
            <a:t>Incorporation of Additional Information into the Public Facing Metrics</a:t>
          </a:r>
        </a:p>
      </dgm:t>
    </dgm:pt>
    <dgm:pt modelId="{39669279-0CC1-4E80-8498-1FCEDA4B4BB1}" type="parTrans" cxnId="{0909C3A1-6429-4944-B8E0-F4CCF3AEB197}">
      <dgm:prSet/>
      <dgm:spPr/>
      <dgm:t>
        <a:bodyPr/>
        <a:lstStyle/>
        <a:p>
          <a:endParaRPr lang="en-US">
            <a:latin typeface="Century Gothic" panose="020B0502020202020204" pitchFamily="34" charset="0"/>
          </a:endParaRPr>
        </a:p>
      </dgm:t>
    </dgm:pt>
    <dgm:pt modelId="{B80ADF6F-C0CB-49F6-A0D0-3367E28F5C51}" type="sibTrans" cxnId="{0909C3A1-6429-4944-B8E0-F4CCF3AEB197}">
      <dgm:prSet/>
      <dgm:spPr/>
      <dgm:t>
        <a:bodyPr/>
        <a:lstStyle/>
        <a:p>
          <a:endParaRPr lang="en-US">
            <a:latin typeface="Century Gothic" panose="020B0502020202020204" pitchFamily="34" charset="0"/>
          </a:endParaRPr>
        </a:p>
      </dgm:t>
    </dgm:pt>
    <dgm:pt modelId="{D1A81CDC-37FB-493B-8611-7EE6868A7747}">
      <dgm:prSet custT="1"/>
      <dgm:spPr/>
      <dgm:t>
        <a:bodyPr/>
        <a:lstStyle/>
        <a:p>
          <a:pPr>
            <a:spcBef>
              <a:spcPts val="600"/>
            </a:spcBef>
            <a:spcAft>
              <a:spcPts val="600"/>
            </a:spcAft>
          </a:pPr>
          <a:r>
            <a:rPr lang="en-US" sz="1050" b="1">
              <a:latin typeface="Century Gothic" panose="020B0502020202020204" pitchFamily="34" charset="0"/>
            </a:rPr>
            <a:t>CalSAWS Project Decision Making, and Transparency</a:t>
          </a:r>
          <a:endParaRPr lang="en-US" sz="1050">
            <a:latin typeface="Century Gothic" panose="020B0502020202020204" pitchFamily="34" charset="0"/>
          </a:endParaRPr>
        </a:p>
      </dgm:t>
    </dgm:pt>
    <dgm:pt modelId="{1BA4820B-BEEE-4532-B57E-AA816339B207}" type="parTrans" cxnId="{ED327B5E-7E8E-4208-8B20-A684E010E7F7}">
      <dgm:prSet/>
      <dgm:spPr/>
      <dgm:t>
        <a:bodyPr/>
        <a:lstStyle/>
        <a:p>
          <a:endParaRPr lang="en-US">
            <a:latin typeface="Century Gothic" panose="020B0502020202020204" pitchFamily="34" charset="0"/>
          </a:endParaRPr>
        </a:p>
      </dgm:t>
    </dgm:pt>
    <dgm:pt modelId="{62C48BA0-1C60-4511-89A1-1725A81DF96F}" type="sibTrans" cxnId="{ED327B5E-7E8E-4208-8B20-A684E010E7F7}">
      <dgm:prSet/>
      <dgm:spPr/>
      <dgm:t>
        <a:bodyPr/>
        <a:lstStyle/>
        <a:p>
          <a:endParaRPr lang="en-US">
            <a:latin typeface="Century Gothic" panose="020B0502020202020204" pitchFamily="34" charset="0"/>
          </a:endParaRPr>
        </a:p>
      </dgm:t>
    </dgm:pt>
    <dgm:pt modelId="{3F655153-D086-4CB5-9835-398DB666DD35}">
      <dgm:prSet phldrT="[Text]" custT="1"/>
      <dgm:spPr/>
      <dgm:t>
        <a:bodyPr/>
        <a:lstStyle/>
        <a:p>
          <a:pPr>
            <a:spcBef>
              <a:spcPts val="600"/>
            </a:spcBef>
            <a:spcAft>
              <a:spcPts val="600"/>
            </a:spcAft>
          </a:pPr>
          <a:r>
            <a:rPr lang="en-US" sz="1050">
              <a:latin typeface="Century Gothic" panose="020B0502020202020204" pitchFamily="34" charset="0"/>
            </a:rPr>
            <a:t>Provision of the Training Webinar Materials for Sharing within the Advocates Group</a:t>
          </a:r>
        </a:p>
      </dgm:t>
    </dgm:pt>
    <dgm:pt modelId="{D7DD033C-2038-4CE9-A524-11DED192DAB4}" type="parTrans" cxnId="{5F917212-0DA8-476C-80EC-45D73D33030F}">
      <dgm:prSet/>
      <dgm:spPr/>
      <dgm:t>
        <a:bodyPr/>
        <a:lstStyle/>
        <a:p>
          <a:endParaRPr lang="en-US">
            <a:latin typeface="Century Gothic" panose="020B0502020202020204" pitchFamily="34" charset="0"/>
          </a:endParaRPr>
        </a:p>
      </dgm:t>
    </dgm:pt>
    <dgm:pt modelId="{D835FEF6-FF18-455E-9836-30F26E36C007}" type="sibTrans" cxnId="{5F917212-0DA8-476C-80EC-45D73D33030F}">
      <dgm:prSet/>
      <dgm:spPr/>
      <dgm:t>
        <a:bodyPr/>
        <a:lstStyle/>
        <a:p>
          <a:endParaRPr lang="en-US">
            <a:latin typeface="Century Gothic" panose="020B0502020202020204" pitchFamily="34" charset="0"/>
          </a:endParaRPr>
        </a:p>
      </dgm:t>
    </dgm:pt>
    <dgm:pt modelId="{1FCEF538-2D2A-4E47-AF59-714E7AE70F9A}">
      <dgm:prSet phldrT="[Text]" custT="1"/>
      <dgm:spPr/>
      <dgm:t>
        <a:bodyPr/>
        <a:lstStyle/>
        <a:p>
          <a:pPr>
            <a:spcBef>
              <a:spcPts val="600"/>
            </a:spcBef>
            <a:spcAft>
              <a:spcPts val="600"/>
            </a:spcAft>
          </a:pPr>
          <a:r>
            <a:rPr lang="en-US" sz="1050">
              <a:latin typeface="Century Gothic" panose="020B0502020202020204" pitchFamily="34" charset="0"/>
            </a:rPr>
            <a:t>Additional CBO Information available to user</a:t>
          </a:r>
        </a:p>
      </dgm:t>
    </dgm:pt>
    <dgm:pt modelId="{65D66728-D388-4740-8FED-36D657EC1DC6}" type="parTrans" cxnId="{92AE69CE-5CEE-4276-87BF-D345F09B8CE1}">
      <dgm:prSet/>
      <dgm:spPr/>
      <dgm:t>
        <a:bodyPr/>
        <a:lstStyle/>
        <a:p>
          <a:endParaRPr lang="en-US">
            <a:latin typeface="Century Gothic" panose="020B0502020202020204" pitchFamily="34" charset="0"/>
          </a:endParaRPr>
        </a:p>
      </dgm:t>
    </dgm:pt>
    <dgm:pt modelId="{3679C8BB-68E4-4CAE-A439-4DF7B4E97322}" type="sibTrans" cxnId="{92AE69CE-5CEE-4276-87BF-D345F09B8CE1}">
      <dgm:prSet/>
      <dgm:spPr/>
      <dgm:t>
        <a:bodyPr/>
        <a:lstStyle/>
        <a:p>
          <a:endParaRPr lang="en-US">
            <a:latin typeface="Century Gothic" panose="020B0502020202020204" pitchFamily="34" charset="0"/>
          </a:endParaRPr>
        </a:p>
      </dgm:t>
    </dgm:pt>
    <dgm:pt modelId="{8A1CE586-2444-41D6-BBA0-097E8F8FB9F4}">
      <dgm:prSet phldrT="[Text]" custT="1"/>
      <dgm:spPr/>
      <dgm:t>
        <a:bodyPr/>
        <a:lstStyle/>
        <a:p>
          <a:pPr>
            <a:spcBef>
              <a:spcPts val="600"/>
            </a:spcBef>
            <a:spcAft>
              <a:spcPts val="600"/>
            </a:spcAft>
          </a:pPr>
          <a:r>
            <a:rPr lang="en-US" sz="1050">
              <a:latin typeface="Century Gothic" panose="020B0502020202020204" pitchFamily="34" charset="0"/>
            </a:rPr>
            <a:t>Increased Visibility on Process Status - New functionality intended to provide users with information on the status of items like their SAR7 or EBT card replacement</a:t>
          </a:r>
        </a:p>
      </dgm:t>
    </dgm:pt>
    <dgm:pt modelId="{09D4323D-675F-40B2-8293-3472840452F4}" type="parTrans" cxnId="{03CAA13C-04C6-4D94-81D0-92978C09A968}">
      <dgm:prSet/>
      <dgm:spPr/>
      <dgm:t>
        <a:bodyPr/>
        <a:lstStyle/>
        <a:p>
          <a:endParaRPr lang="en-US">
            <a:latin typeface="Century Gothic" panose="020B0502020202020204" pitchFamily="34" charset="0"/>
          </a:endParaRPr>
        </a:p>
      </dgm:t>
    </dgm:pt>
    <dgm:pt modelId="{255B1CC0-D867-455B-888C-E3A196CE57F1}" type="sibTrans" cxnId="{03CAA13C-04C6-4D94-81D0-92978C09A968}">
      <dgm:prSet/>
      <dgm:spPr/>
      <dgm:t>
        <a:bodyPr/>
        <a:lstStyle/>
        <a:p>
          <a:endParaRPr lang="en-US">
            <a:latin typeface="Century Gothic" panose="020B0502020202020204" pitchFamily="34" charset="0"/>
          </a:endParaRPr>
        </a:p>
      </dgm:t>
    </dgm:pt>
    <dgm:pt modelId="{A40A8FDE-3799-40E6-B052-9D40F9A7ADD6}">
      <dgm:prSet custT="1"/>
      <dgm:spPr/>
      <dgm:t>
        <a:bodyPr/>
        <a:lstStyle/>
        <a:p>
          <a:pPr>
            <a:spcBef>
              <a:spcPts val="600"/>
            </a:spcBef>
            <a:spcAft>
              <a:spcPts val="600"/>
            </a:spcAft>
          </a:pPr>
          <a:r>
            <a:rPr lang="en-US" sz="1050">
              <a:latin typeface="Century Gothic" panose="020B0502020202020204" pitchFamily="34" charset="0"/>
            </a:rPr>
            <a:t>Enhancements to the Collaboration Model</a:t>
          </a:r>
        </a:p>
      </dgm:t>
    </dgm:pt>
    <dgm:pt modelId="{50076885-9C46-4941-A5BD-14E5DDDC6CD4}" type="parTrans" cxnId="{2464F411-9EAB-43F6-BC94-AD3F77DEA607}">
      <dgm:prSet/>
      <dgm:spPr/>
      <dgm:t>
        <a:bodyPr/>
        <a:lstStyle/>
        <a:p>
          <a:endParaRPr lang="en-US">
            <a:latin typeface="Century Gothic" panose="020B0502020202020204" pitchFamily="34" charset="0"/>
          </a:endParaRPr>
        </a:p>
      </dgm:t>
    </dgm:pt>
    <dgm:pt modelId="{B0AB0CB8-C990-4501-8B3B-34E640107442}" type="sibTrans" cxnId="{2464F411-9EAB-43F6-BC94-AD3F77DEA607}">
      <dgm:prSet/>
      <dgm:spPr/>
      <dgm:t>
        <a:bodyPr/>
        <a:lstStyle/>
        <a:p>
          <a:endParaRPr lang="en-US">
            <a:latin typeface="Century Gothic" panose="020B0502020202020204" pitchFamily="34" charset="0"/>
          </a:endParaRPr>
        </a:p>
      </dgm:t>
    </dgm:pt>
    <dgm:pt modelId="{80875EC5-97E8-4EC0-B57D-1F4268727BB1}">
      <dgm:prSet phldrT="[Text]" custT="1"/>
      <dgm:spPr/>
      <dgm:t>
        <a:bodyPr/>
        <a:lstStyle/>
        <a:p>
          <a:pPr>
            <a:spcBef>
              <a:spcPts val="600"/>
            </a:spcBef>
            <a:spcAft>
              <a:spcPts val="600"/>
            </a:spcAft>
          </a:pPr>
          <a:r>
            <a:rPr lang="en-US" sz="1050">
              <a:latin typeface="Century Gothic" panose="020B0502020202020204" pitchFamily="34" charset="0"/>
            </a:rPr>
            <a:t>Public Facing Live Training Webinars on Selected Topics</a:t>
          </a:r>
        </a:p>
      </dgm:t>
    </dgm:pt>
    <dgm:pt modelId="{06371976-8081-4D95-B4F3-0BE90DE5C30A}" type="parTrans" cxnId="{59710D76-4257-4A95-9469-29FF49EDE53D}">
      <dgm:prSet/>
      <dgm:spPr/>
      <dgm:t>
        <a:bodyPr/>
        <a:lstStyle/>
        <a:p>
          <a:endParaRPr lang="en-US">
            <a:latin typeface="Century Gothic" panose="020B0502020202020204" pitchFamily="34" charset="0"/>
          </a:endParaRPr>
        </a:p>
      </dgm:t>
    </dgm:pt>
    <dgm:pt modelId="{035ED45B-E347-4FA1-B5C0-29F434246003}" type="sibTrans" cxnId="{59710D76-4257-4A95-9469-29FF49EDE53D}">
      <dgm:prSet/>
      <dgm:spPr/>
      <dgm:t>
        <a:bodyPr/>
        <a:lstStyle/>
        <a:p>
          <a:endParaRPr lang="en-US">
            <a:latin typeface="Century Gothic" panose="020B0502020202020204" pitchFamily="34" charset="0"/>
          </a:endParaRPr>
        </a:p>
      </dgm:t>
    </dgm:pt>
    <dgm:pt modelId="{ABB160B9-FBEF-489A-BC6A-4F48406D2583}">
      <dgm:prSet phldrT="[Text]" custT="1"/>
      <dgm:spPr/>
      <dgm:t>
        <a:bodyPr/>
        <a:lstStyle/>
        <a:p>
          <a:pPr>
            <a:spcBef>
              <a:spcPts val="600"/>
            </a:spcBef>
            <a:spcAft>
              <a:spcPts val="600"/>
            </a:spcAft>
          </a:pPr>
          <a:r>
            <a:rPr lang="en-US" sz="1050">
              <a:latin typeface="Century Gothic" panose="020B0502020202020204" pitchFamily="34" charset="0"/>
            </a:rPr>
            <a:t>CBO Live Training Webinars on Selected Topics</a:t>
          </a:r>
        </a:p>
      </dgm:t>
    </dgm:pt>
    <dgm:pt modelId="{8C1841EA-8033-43FF-B2E7-F95F849F12C0}" type="parTrans" cxnId="{0F94D7A0-EC08-44F0-BA36-4D758608746F}">
      <dgm:prSet/>
      <dgm:spPr/>
      <dgm:t>
        <a:bodyPr/>
        <a:lstStyle/>
        <a:p>
          <a:endParaRPr lang="en-US">
            <a:latin typeface="Century Gothic" panose="020B0502020202020204" pitchFamily="34" charset="0"/>
          </a:endParaRPr>
        </a:p>
      </dgm:t>
    </dgm:pt>
    <dgm:pt modelId="{76BF61B7-9D27-40CC-BCC8-348A2C0DE48C}" type="sibTrans" cxnId="{0F94D7A0-EC08-44F0-BA36-4D758608746F}">
      <dgm:prSet/>
      <dgm:spPr/>
      <dgm:t>
        <a:bodyPr/>
        <a:lstStyle/>
        <a:p>
          <a:endParaRPr lang="en-US">
            <a:latin typeface="Century Gothic" panose="020B0502020202020204" pitchFamily="34" charset="0"/>
          </a:endParaRPr>
        </a:p>
      </dgm:t>
    </dgm:pt>
    <dgm:pt modelId="{72904C84-AB4C-4171-BB01-9A1064F26611}">
      <dgm:prSet custT="1"/>
      <dgm:spPr/>
      <dgm:t>
        <a:bodyPr/>
        <a:lstStyle/>
        <a:p>
          <a:pPr>
            <a:spcBef>
              <a:spcPts val="600"/>
            </a:spcBef>
            <a:spcAft>
              <a:spcPts val="600"/>
            </a:spcAft>
          </a:pPr>
          <a:r>
            <a:rPr lang="en-US" sz="1050">
              <a:latin typeface="Century Gothic" panose="020B0502020202020204" pitchFamily="34" charset="0"/>
            </a:rPr>
            <a:t>Creation of a Joint Success Plan</a:t>
          </a:r>
        </a:p>
      </dgm:t>
    </dgm:pt>
    <dgm:pt modelId="{EFC30885-19EA-47B3-BE4E-1B8896AE524A}" type="parTrans" cxnId="{6287EAA2-C1B4-4B3D-B08D-FF8D6519AC77}">
      <dgm:prSet/>
      <dgm:spPr/>
      <dgm:t>
        <a:bodyPr/>
        <a:lstStyle/>
        <a:p>
          <a:endParaRPr lang="en-US">
            <a:latin typeface="Century Gothic" panose="020B0502020202020204" pitchFamily="34" charset="0"/>
          </a:endParaRPr>
        </a:p>
      </dgm:t>
    </dgm:pt>
    <dgm:pt modelId="{ACB53E8B-9F98-4BAB-BF18-2956CD81F6D2}" type="sibTrans" cxnId="{6287EAA2-C1B4-4B3D-B08D-FF8D6519AC77}">
      <dgm:prSet/>
      <dgm:spPr/>
      <dgm:t>
        <a:bodyPr/>
        <a:lstStyle/>
        <a:p>
          <a:endParaRPr lang="en-US">
            <a:latin typeface="Century Gothic" panose="020B0502020202020204" pitchFamily="34" charset="0"/>
          </a:endParaRPr>
        </a:p>
      </dgm:t>
    </dgm:pt>
    <dgm:pt modelId="{1E612948-FD9B-46D8-803C-DEAC41393EA9}">
      <dgm:prSet custT="1"/>
      <dgm:spPr/>
      <dgm:t>
        <a:bodyPr/>
        <a:lstStyle/>
        <a:p>
          <a:pPr>
            <a:spcBef>
              <a:spcPts val="600"/>
            </a:spcBef>
            <a:spcAft>
              <a:spcPts val="600"/>
            </a:spcAft>
          </a:pPr>
          <a:r>
            <a:rPr lang="en-US" sz="1050">
              <a:latin typeface="Century Gothic" panose="020B0502020202020204" pitchFamily="34" charset="0"/>
            </a:rPr>
            <a:t>Stakeholder Visioning Session</a:t>
          </a:r>
        </a:p>
      </dgm:t>
    </dgm:pt>
    <dgm:pt modelId="{59A5DA55-868B-432C-B205-724CEC8E405A}" type="parTrans" cxnId="{16B1C829-2C08-4D27-8289-BC4F3BB00720}">
      <dgm:prSet/>
      <dgm:spPr/>
      <dgm:t>
        <a:bodyPr/>
        <a:lstStyle/>
        <a:p>
          <a:endParaRPr lang="en-US"/>
        </a:p>
      </dgm:t>
    </dgm:pt>
    <dgm:pt modelId="{0EC7016D-A0F4-4C6F-9924-BD36CB9522C2}" type="sibTrans" cxnId="{16B1C829-2C08-4D27-8289-BC4F3BB00720}">
      <dgm:prSet/>
      <dgm:spPr/>
      <dgm:t>
        <a:bodyPr/>
        <a:lstStyle/>
        <a:p>
          <a:endParaRPr lang="en-US"/>
        </a:p>
      </dgm:t>
    </dgm:pt>
    <dgm:pt modelId="{859CEDE7-0A8F-4FAD-9EDB-BAA4621B35E7}">
      <dgm:prSet phldrT="[Text]" custT="1"/>
      <dgm:spPr/>
      <dgm:t>
        <a:bodyPr/>
        <a:lstStyle/>
        <a:p>
          <a:pPr>
            <a:spcBef>
              <a:spcPts val="600"/>
            </a:spcBef>
            <a:spcAft>
              <a:spcPts val="600"/>
            </a:spcAft>
          </a:pPr>
          <a:r>
            <a:rPr lang="en-US" sz="1050">
              <a:latin typeface="Century Gothic" panose="020B0502020202020204" pitchFamily="34" charset="0"/>
            </a:rPr>
            <a:t>Suggest the Document Type for Document Uploads</a:t>
          </a:r>
        </a:p>
      </dgm:t>
    </dgm:pt>
    <dgm:pt modelId="{F741B754-183D-4F6E-8BFF-B6261844A00F}" type="parTrans" cxnId="{CA4D51D9-C92F-49D2-858A-B2CACF5750CA}">
      <dgm:prSet/>
      <dgm:spPr/>
      <dgm:t>
        <a:bodyPr/>
        <a:lstStyle/>
        <a:p>
          <a:endParaRPr lang="en-US"/>
        </a:p>
      </dgm:t>
    </dgm:pt>
    <dgm:pt modelId="{8D9217DC-71BE-4783-B439-A3E03AADF890}" type="sibTrans" cxnId="{CA4D51D9-C92F-49D2-858A-B2CACF5750CA}">
      <dgm:prSet/>
      <dgm:spPr/>
      <dgm:t>
        <a:bodyPr/>
        <a:lstStyle/>
        <a:p>
          <a:endParaRPr lang="en-US"/>
        </a:p>
      </dgm:t>
    </dgm:pt>
    <dgm:pt modelId="{369E84C5-57B2-498D-8279-0AD7EBFFC8ED}" type="pres">
      <dgm:prSet presAssocID="{A596DF72-213D-4F29-8E8D-4193DEF1DB3E}" presName="linear" presStyleCnt="0">
        <dgm:presLayoutVars>
          <dgm:dir/>
          <dgm:animLvl val="lvl"/>
          <dgm:resizeHandles val="exact"/>
        </dgm:presLayoutVars>
      </dgm:prSet>
      <dgm:spPr/>
    </dgm:pt>
    <dgm:pt modelId="{A4E19D71-23E4-4ACD-9C7C-8F62D8EBF56F}" type="pres">
      <dgm:prSet presAssocID="{10D679B3-4E09-4015-99D3-CA3EFA0CCBB0}" presName="parentLin" presStyleCnt="0"/>
      <dgm:spPr/>
    </dgm:pt>
    <dgm:pt modelId="{F7A2ADA9-3F61-42D3-A1C8-84E036D45514}" type="pres">
      <dgm:prSet presAssocID="{10D679B3-4E09-4015-99D3-CA3EFA0CCBB0}" presName="parentLeftMargin" presStyleLbl="node1" presStyleIdx="0" presStyleCnt="5"/>
      <dgm:spPr/>
    </dgm:pt>
    <dgm:pt modelId="{9AC3D49E-EEC3-4D56-A552-39C018D72D79}" type="pres">
      <dgm:prSet presAssocID="{10D679B3-4E09-4015-99D3-CA3EFA0CCBB0}" presName="parentText" presStyleLbl="node1" presStyleIdx="0" presStyleCnt="5">
        <dgm:presLayoutVars>
          <dgm:chMax val="0"/>
          <dgm:bulletEnabled val="1"/>
        </dgm:presLayoutVars>
      </dgm:prSet>
      <dgm:spPr/>
    </dgm:pt>
    <dgm:pt modelId="{638AC270-0FFF-4FD5-8914-A03D5AC34027}" type="pres">
      <dgm:prSet presAssocID="{10D679B3-4E09-4015-99D3-CA3EFA0CCBB0}" presName="negativeSpace" presStyleCnt="0"/>
      <dgm:spPr/>
    </dgm:pt>
    <dgm:pt modelId="{3EAA326B-02A2-4EE2-A542-9AC2458DD2A3}" type="pres">
      <dgm:prSet presAssocID="{10D679B3-4E09-4015-99D3-CA3EFA0CCBB0}" presName="childText" presStyleLbl="conFgAcc1" presStyleIdx="0" presStyleCnt="5">
        <dgm:presLayoutVars>
          <dgm:bulletEnabled val="1"/>
        </dgm:presLayoutVars>
      </dgm:prSet>
      <dgm:spPr/>
    </dgm:pt>
    <dgm:pt modelId="{25C6C32E-FB13-4B5C-8176-67010F09B3EE}" type="pres">
      <dgm:prSet presAssocID="{9574B835-2B10-42F1-AA35-AE4FFFB51C5D}" presName="spaceBetweenRectangles" presStyleCnt="0"/>
      <dgm:spPr/>
    </dgm:pt>
    <dgm:pt modelId="{9FAA55D6-491D-4880-891A-7D4555FB34B6}" type="pres">
      <dgm:prSet presAssocID="{021AF4AF-59F9-43CD-BAA6-00B88DACA7E6}" presName="parentLin" presStyleCnt="0"/>
      <dgm:spPr/>
    </dgm:pt>
    <dgm:pt modelId="{9F7FCC74-ED5C-4969-B9F2-E06EA4EE26AF}" type="pres">
      <dgm:prSet presAssocID="{021AF4AF-59F9-43CD-BAA6-00B88DACA7E6}" presName="parentLeftMargin" presStyleLbl="node1" presStyleIdx="0" presStyleCnt="5"/>
      <dgm:spPr/>
    </dgm:pt>
    <dgm:pt modelId="{4542B056-26C1-4CBA-9B5D-3CAFDA104CEE}" type="pres">
      <dgm:prSet presAssocID="{021AF4AF-59F9-43CD-BAA6-00B88DACA7E6}" presName="parentText" presStyleLbl="node1" presStyleIdx="1" presStyleCnt="5">
        <dgm:presLayoutVars>
          <dgm:chMax val="0"/>
          <dgm:bulletEnabled val="1"/>
        </dgm:presLayoutVars>
      </dgm:prSet>
      <dgm:spPr/>
    </dgm:pt>
    <dgm:pt modelId="{081EB6BA-08D7-4C02-8124-7B19DD94770F}" type="pres">
      <dgm:prSet presAssocID="{021AF4AF-59F9-43CD-BAA6-00B88DACA7E6}" presName="negativeSpace" presStyleCnt="0"/>
      <dgm:spPr/>
    </dgm:pt>
    <dgm:pt modelId="{90ECC8DF-D3DF-4F57-B98D-2D845C155266}" type="pres">
      <dgm:prSet presAssocID="{021AF4AF-59F9-43CD-BAA6-00B88DACA7E6}" presName="childText" presStyleLbl="conFgAcc1" presStyleIdx="1" presStyleCnt="5">
        <dgm:presLayoutVars>
          <dgm:bulletEnabled val="1"/>
        </dgm:presLayoutVars>
      </dgm:prSet>
      <dgm:spPr/>
    </dgm:pt>
    <dgm:pt modelId="{30D9CA70-751F-4060-8CC0-752AAD0E41E2}" type="pres">
      <dgm:prSet presAssocID="{F65B748D-830D-4F2D-BD5B-3547DF1FFF67}" presName="spaceBetweenRectangles" presStyleCnt="0"/>
      <dgm:spPr/>
    </dgm:pt>
    <dgm:pt modelId="{F8BBB73B-1D7E-4E73-8A47-1A013026FF3C}" type="pres">
      <dgm:prSet presAssocID="{5F269C59-1EA9-4442-A44A-C8E748DD278D}" presName="parentLin" presStyleCnt="0"/>
      <dgm:spPr/>
    </dgm:pt>
    <dgm:pt modelId="{393133B9-5A13-4DD0-A1E9-4B49FF5A2683}" type="pres">
      <dgm:prSet presAssocID="{5F269C59-1EA9-4442-A44A-C8E748DD278D}" presName="parentLeftMargin" presStyleLbl="node1" presStyleIdx="1" presStyleCnt="5"/>
      <dgm:spPr/>
    </dgm:pt>
    <dgm:pt modelId="{E5EDE5F8-D2F8-4B84-AF26-56FB6DB859CE}" type="pres">
      <dgm:prSet presAssocID="{5F269C59-1EA9-4442-A44A-C8E748DD278D}" presName="parentText" presStyleLbl="node1" presStyleIdx="2" presStyleCnt="5" custScaleY="136504">
        <dgm:presLayoutVars>
          <dgm:chMax val="0"/>
          <dgm:bulletEnabled val="1"/>
        </dgm:presLayoutVars>
      </dgm:prSet>
      <dgm:spPr/>
    </dgm:pt>
    <dgm:pt modelId="{52111375-784D-4E52-9430-A252E293A369}" type="pres">
      <dgm:prSet presAssocID="{5F269C59-1EA9-4442-A44A-C8E748DD278D}" presName="negativeSpace" presStyleCnt="0"/>
      <dgm:spPr/>
    </dgm:pt>
    <dgm:pt modelId="{1C5356AA-C021-4514-9E13-0512484C8938}" type="pres">
      <dgm:prSet presAssocID="{5F269C59-1EA9-4442-A44A-C8E748DD278D}" presName="childText" presStyleLbl="conFgAcc1" presStyleIdx="2" presStyleCnt="5">
        <dgm:presLayoutVars>
          <dgm:bulletEnabled val="1"/>
        </dgm:presLayoutVars>
      </dgm:prSet>
      <dgm:spPr/>
    </dgm:pt>
    <dgm:pt modelId="{4DDA7C3A-0C64-4E8F-A414-D729219E094A}" type="pres">
      <dgm:prSet presAssocID="{AB309E04-3A82-4CE4-A74F-7ACCB5E86817}" presName="spaceBetweenRectangles" presStyleCnt="0"/>
      <dgm:spPr/>
    </dgm:pt>
    <dgm:pt modelId="{C7522876-7477-4DA8-A19F-4A2C47ECBAAA}" type="pres">
      <dgm:prSet presAssocID="{B83DCC09-CFEE-46B7-AA17-42009C59AA45}" presName="parentLin" presStyleCnt="0"/>
      <dgm:spPr/>
    </dgm:pt>
    <dgm:pt modelId="{C83BF2F5-78D7-4461-A38A-23BA42F580A3}" type="pres">
      <dgm:prSet presAssocID="{B83DCC09-CFEE-46B7-AA17-42009C59AA45}" presName="parentLeftMargin" presStyleLbl="node1" presStyleIdx="2" presStyleCnt="5"/>
      <dgm:spPr/>
    </dgm:pt>
    <dgm:pt modelId="{1F05AC3A-9713-4E87-9A2A-911916144615}" type="pres">
      <dgm:prSet presAssocID="{B83DCC09-CFEE-46B7-AA17-42009C59AA45}" presName="parentText" presStyleLbl="node1" presStyleIdx="3" presStyleCnt="5">
        <dgm:presLayoutVars>
          <dgm:chMax val="0"/>
          <dgm:bulletEnabled val="1"/>
        </dgm:presLayoutVars>
      </dgm:prSet>
      <dgm:spPr/>
    </dgm:pt>
    <dgm:pt modelId="{6069118B-50F6-4EB1-A086-AFA3D55AC806}" type="pres">
      <dgm:prSet presAssocID="{B83DCC09-CFEE-46B7-AA17-42009C59AA45}" presName="negativeSpace" presStyleCnt="0"/>
      <dgm:spPr/>
    </dgm:pt>
    <dgm:pt modelId="{F6044B4C-6CEB-426F-92E4-656D4D9014DC}" type="pres">
      <dgm:prSet presAssocID="{B83DCC09-CFEE-46B7-AA17-42009C59AA45}" presName="childText" presStyleLbl="conFgAcc1" presStyleIdx="3" presStyleCnt="5">
        <dgm:presLayoutVars>
          <dgm:bulletEnabled val="1"/>
        </dgm:presLayoutVars>
      </dgm:prSet>
      <dgm:spPr/>
    </dgm:pt>
    <dgm:pt modelId="{DFB3B0B4-683A-4A58-A972-887B74CC7308}" type="pres">
      <dgm:prSet presAssocID="{800E19F1-4B2B-4876-86C4-CF53C94BE383}" presName="spaceBetweenRectangles" presStyleCnt="0"/>
      <dgm:spPr/>
    </dgm:pt>
    <dgm:pt modelId="{FFBA8E75-1CE1-49A3-98DE-AB96F3070CF3}" type="pres">
      <dgm:prSet presAssocID="{D1A81CDC-37FB-493B-8611-7EE6868A7747}" presName="parentLin" presStyleCnt="0"/>
      <dgm:spPr/>
    </dgm:pt>
    <dgm:pt modelId="{597B070A-E91C-4585-B3B8-761C6550BDF4}" type="pres">
      <dgm:prSet presAssocID="{D1A81CDC-37FB-493B-8611-7EE6868A7747}" presName="parentLeftMargin" presStyleLbl="node1" presStyleIdx="3" presStyleCnt="5"/>
      <dgm:spPr/>
    </dgm:pt>
    <dgm:pt modelId="{9BBC44B8-8473-4282-98D7-B102069A805D}" type="pres">
      <dgm:prSet presAssocID="{D1A81CDC-37FB-493B-8611-7EE6868A7747}" presName="parentText" presStyleLbl="node1" presStyleIdx="4" presStyleCnt="5">
        <dgm:presLayoutVars>
          <dgm:chMax val="0"/>
          <dgm:bulletEnabled val="1"/>
        </dgm:presLayoutVars>
      </dgm:prSet>
      <dgm:spPr/>
    </dgm:pt>
    <dgm:pt modelId="{129646AB-6CE0-4FA8-8DB4-39515CD32B3C}" type="pres">
      <dgm:prSet presAssocID="{D1A81CDC-37FB-493B-8611-7EE6868A7747}" presName="negativeSpace" presStyleCnt="0"/>
      <dgm:spPr/>
    </dgm:pt>
    <dgm:pt modelId="{48D30773-AF76-4E5A-9705-F37212DC746A}" type="pres">
      <dgm:prSet presAssocID="{D1A81CDC-37FB-493B-8611-7EE6868A7747}" presName="childText" presStyleLbl="conFgAcc1" presStyleIdx="4" presStyleCnt="5">
        <dgm:presLayoutVars>
          <dgm:bulletEnabled val="1"/>
        </dgm:presLayoutVars>
      </dgm:prSet>
      <dgm:spPr/>
    </dgm:pt>
  </dgm:ptLst>
  <dgm:cxnLst>
    <dgm:cxn modelId="{31210800-CCCD-4608-8FF8-598DB5B36C03}" type="presOf" srcId="{021AF4AF-59F9-43CD-BAA6-00B88DACA7E6}" destId="{4542B056-26C1-4CBA-9B5D-3CAFDA104CEE}" srcOrd="1" destOrd="0" presId="urn:microsoft.com/office/officeart/2005/8/layout/list1"/>
    <dgm:cxn modelId="{2464F411-9EAB-43F6-BC94-AD3F77DEA607}" srcId="{D1A81CDC-37FB-493B-8611-7EE6868A7747}" destId="{A40A8FDE-3799-40E6-B052-9D40F9A7ADD6}" srcOrd="0" destOrd="0" parTransId="{50076885-9C46-4941-A5BD-14E5DDDC6CD4}" sibTransId="{B0AB0CB8-C990-4501-8B3B-34E640107442}"/>
    <dgm:cxn modelId="{5F917212-0DA8-476C-80EC-45D73D33030F}" srcId="{5F269C59-1EA9-4442-A44A-C8E748DD278D}" destId="{3F655153-D086-4CB5-9835-398DB666DD35}" srcOrd="0" destOrd="0" parTransId="{D7DD033C-2038-4CE9-A524-11DED192DAB4}" sibTransId="{D835FEF6-FF18-455E-9836-30F26E36C007}"/>
    <dgm:cxn modelId="{E1784B1C-1E1F-4D29-BA78-98F51E1CED79}" type="presOf" srcId="{021AF4AF-59F9-43CD-BAA6-00B88DACA7E6}" destId="{9F7FCC74-ED5C-4969-B9F2-E06EA4EE26AF}" srcOrd="0" destOrd="0" presId="urn:microsoft.com/office/officeart/2005/8/layout/list1"/>
    <dgm:cxn modelId="{AA489229-917E-4A03-87E4-0D45A447C7C1}" type="presOf" srcId="{5F269C59-1EA9-4442-A44A-C8E748DD278D}" destId="{E5EDE5F8-D2F8-4B84-AF26-56FB6DB859CE}" srcOrd="1" destOrd="0" presId="urn:microsoft.com/office/officeart/2005/8/layout/list1"/>
    <dgm:cxn modelId="{16B1C829-2C08-4D27-8289-BC4F3BB00720}" srcId="{D1A81CDC-37FB-493B-8611-7EE6868A7747}" destId="{1E612948-FD9B-46D8-803C-DEAC41393EA9}" srcOrd="2" destOrd="0" parTransId="{59A5DA55-868B-432C-B205-724CEC8E405A}" sibTransId="{0EC7016D-A0F4-4C6F-9924-BD36CB9522C2}"/>
    <dgm:cxn modelId="{03CAA13C-04C6-4D94-81D0-92978C09A968}" srcId="{10D679B3-4E09-4015-99D3-CA3EFA0CCBB0}" destId="{8A1CE586-2444-41D6-BBA0-097E8F8FB9F4}" srcOrd="3" destOrd="0" parTransId="{09D4323D-675F-40B2-8293-3472840452F4}" sibTransId="{255B1CC0-D867-455B-888C-E3A196CE57F1}"/>
    <dgm:cxn modelId="{4E78F43C-4923-4DCC-AE13-14329A4F245A}" type="presOf" srcId="{10D679B3-4E09-4015-99D3-CA3EFA0CCBB0}" destId="{9AC3D49E-EEC3-4D56-A552-39C018D72D79}" srcOrd="1" destOrd="0" presId="urn:microsoft.com/office/officeart/2005/8/layout/list1"/>
    <dgm:cxn modelId="{6B4B0B5D-488B-4236-AF5C-D7059CE4A10E}" type="presOf" srcId="{F4B86EF2-9C97-4062-8F3B-E3D1424B27E8}" destId="{F6044B4C-6CEB-426F-92E4-656D4D9014DC}" srcOrd="0" destOrd="0" presId="urn:microsoft.com/office/officeart/2005/8/layout/list1"/>
    <dgm:cxn modelId="{ED327B5E-7E8E-4208-8B20-A684E010E7F7}" srcId="{A596DF72-213D-4F29-8E8D-4193DEF1DB3E}" destId="{D1A81CDC-37FB-493B-8611-7EE6868A7747}" srcOrd="4" destOrd="0" parTransId="{1BA4820B-BEEE-4532-B57E-AA816339B207}" sibTransId="{62C48BA0-1C60-4511-89A1-1725A81DF96F}"/>
    <dgm:cxn modelId="{1EA82E43-9E77-4F06-B4A3-09511CCC265D}" type="presOf" srcId="{859CEDE7-0A8F-4FAD-9EDB-BAA4621B35E7}" destId="{3EAA326B-02A2-4EE2-A542-9AC2458DD2A3}" srcOrd="0" destOrd="1" presId="urn:microsoft.com/office/officeart/2005/8/layout/list1"/>
    <dgm:cxn modelId="{DAC0B06D-C6E6-425C-BB35-5AAEA654A1B0}" srcId="{A596DF72-213D-4F29-8E8D-4193DEF1DB3E}" destId="{B83DCC09-CFEE-46B7-AA17-42009C59AA45}" srcOrd="3" destOrd="0" parTransId="{837D8C37-EE65-4E59-BE51-D2F8F8AA43DC}" sibTransId="{800E19F1-4B2B-4876-86C4-CF53C94BE383}"/>
    <dgm:cxn modelId="{03D0314F-8FD4-4A17-A9BF-11578BAB6FC6}" srcId="{A596DF72-213D-4F29-8E8D-4193DEF1DB3E}" destId="{5F269C59-1EA9-4442-A44A-C8E748DD278D}" srcOrd="2" destOrd="0" parTransId="{D73F9DAF-8324-4F74-AF91-EBAE6EBE8B3D}" sibTransId="{AB309E04-3A82-4CE4-A74F-7ACCB5E86817}"/>
    <dgm:cxn modelId="{59710D76-4257-4A95-9469-29FF49EDE53D}" srcId="{10D679B3-4E09-4015-99D3-CA3EFA0CCBB0}" destId="{80875EC5-97E8-4EC0-B57D-1F4268727BB1}" srcOrd="4" destOrd="0" parTransId="{06371976-8081-4D95-B4F3-0BE90DE5C30A}" sibTransId="{035ED45B-E347-4FA1-B5C0-29F434246003}"/>
    <dgm:cxn modelId="{DF6F0157-2BE6-4312-85FF-6B113D807ECC}" type="presOf" srcId="{CD517317-69FC-4F1A-84DF-AB79D00F0354}" destId="{3EAA326B-02A2-4EE2-A542-9AC2458DD2A3}" srcOrd="0" destOrd="0" presId="urn:microsoft.com/office/officeart/2005/8/layout/list1"/>
    <dgm:cxn modelId="{CCC40D77-25B0-442F-9F48-5C2338591883}" type="presOf" srcId="{ABB160B9-FBEF-489A-BC6A-4F48406D2583}" destId="{90ECC8DF-D3DF-4F57-B98D-2D845C155266}" srcOrd="0" destOrd="1" presId="urn:microsoft.com/office/officeart/2005/8/layout/list1"/>
    <dgm:cxn modelId="{99464679-12DD-4B44-9EC6-60FF05499085}" type="presOf" srcId="{4E816E9A-87EA-48DB-916D-4CE86C371354}" destId="{90ECC8DF-D3DF-4F57-B98D-2D845C155266}" srcOrd="0" destOrd="0" presId="urn:microsoft.com/office/officeart/2005/8/layout/list1"/>
    <dgm:cxn modelId="{0D22F25A-A288-4925-9EA2-BC9C03AB0776}" type="presOf" srcId="{5F269C59-1EA9-4442-A44A-C8E748DD278D}" destId="{393133B9-5A13-4DD0-A1E9-4B49FF5A2683}" srcOrd="0" destOrd="0" presId="urn:microsoft.com/office/officeart/2005/8/layout/list1"/>
    <dgm:cxn modelId="{44405684-A3BB-4E81-8199-231402AC24AF}" type="presOf" srcId="{8A1CE586-2444-41D6-BBA0-097E8F8FB9F4}" destId="{3EAA326B-02A2-4EE2-A542-9AC2458DD2A3}" srcOrd="0" destOrd="3" presId="urn:microsoft.com/office/officeart/2005/8/layout/list1"/>
    <dgm:cxn modelId="{B8644385-572A-4217-A5B2-ECE9CCAF1A94}" type="presOf" srcId="{3F655153-D086-4CB5-9835-398DB666DD35}" destId="{1C5356AA-C021-4514-9E13-0512484C8938}" srcOrd="0" destOrd="0" presId="urn:microsoft.com/office/officeart/2005/8/layout/list1"/>
    <dgm:cxn modelId="{7840278A-4403-4403-A741-78F96BE4F6CF}" type="presOf" srcId="{A40A8FDE-3799-40E6-B052-9D40F9A7ADD6}" destId="{48D30773-AF76-4E5A-9705-F37212DC746A}" srcOrd="0" destOrd="0" presId="urn:microsoft.com/office/officeart/2005/8/layout/list1"/>
    <dgm:cxn modelId="{98B3F192-649A-4DF6-8195-EAC52537B0CA}" type="presOf" srcId="{80875EC5-97E8-4EC0-B57D-1F4268727BB1}" destId="{3EAA326B-02A2-4EE2-A542-9AC2458DD2A3}" srcOrd="0" destOrd="4" presId="urn:microsoft.com/office/officeart/2005/8/layout/list1"/>
    <dgm:cxn modelId="{0F94D7A0-EC08-44F0-BA36-4D758608746F}" srcId="{021AF4AF-59F9-43CD-BAA6-00B88DACA7E6}" destId="{ABB160B9-FBEF-489A-BC6A-4F48406D2583}" srcOrd="1" destOrd="0" parTransId="{8C1841EA-8033-43FF-B2E7-F95F849F12C0}" sibTransId="{76BF61B7-9D27-40CC-BCC8-348A2C0DE48C}"/>
    <dgm:cxn modelId="{02C68AA1-9D61-410C-B686-C22D665AC29B}" type="presOf" srcId="{B83DCC09-CFEE-46B7-AA17-42009C59AA45}" destId="{1F05AC3A-9713-4E87-9A2A-911916144615}" srcOrd="1" destOrd="0" presId="urn:microsoft.com/office/officeart/2005/8/layout/list1"/>
    <dgm:cxn modelId="{0909C3A1-6429-4944-B8E0-F4CCF3AEB197}" srcId="{B83DCC09-CFEE-46B7-AA17-42009C59AA45}" destId="{F4B86EF2-9C97-4062-8F3B-E3D1424B27E8}" srcOrd="0" destOrd="0" parTransId="{39669279-0CC1-4E80-8498-1FCEDA4B4BB1}" sibTransId="{B80ADF6F-C0CB-49F6-A0D0-3367E28F5C51}"/>
    <dgm:cxn modelId="{6287EAA2-C1B4-4B3D-B08D-FF8D6519AC77}" srcId="{D1A81CDC-37FB-493B-8611-7EE6868A7747}" destId="{72904C84-AB4C-4171-BB01-9A1064F26611}" srcOrd="1" destOrd="0" parTransId="{EFC30885-19EA-47B3-BE4E-1B8896AE524A}" sibTransId="{ACB53E8B-9F98-4BAB-BF18-2956CD81F6D2}"/>
    <dgm:cxn modelId="{4469E0A4-CA61-4DDB-A8B4-6AC9F9F0F2C9}" type="presOf" srcId="{B83DCC09-CFEE-46B7-AA17-42009C59AA45}" destId="{C83BF2F5-78D7-4461-A38A-23BA42F580A3}" srcOrd="0" destOrd="0" presId="urn:microsoft.com/office/officeart/2005/8/layout/list1"/>
    <dgm:cxn modelId="{721603AA-91A6-43FD-8CF5-7C0D2E73BC11}" srcId="{021AF4AF-59F9-43CD-BAA6-00B88DACA7E6}" destId="{4E816E9A-87EA-48DB-916D-4CE86C371354}" srcOrd="0" destOrd="0" parTransId="{B119CEA8-EF72-45D5-9AA4-847A566A39B0}" sibTransId="{781E316E-3197-46CF-A86C-8333B63043BE}"/>
    <dgm:cxn modelId="{480F7EB5-C6C3-440F-8352-36BE198D1812}" srcId="{A596DF72-213D-4F29-8E8D-4193DEF1DB3E}" destId="{10D679B3-4E09-4015-99D3-CA3EFA0CCBB0}" srcOrd="0" destOrd="0" parTransId="{DA90C02C-0ACC-41CB-80D6-93FB8AA49B2A}" sibTransId="{9574B835-2B10-42F1-AA35-AE4FFFB51C5D}"/>
    <dgm:cxn modelId="{D9968FB8-62FE-4051-BF92-B32182DB74D2}" type="presOf" srcId="{A596DF72-213D-4F29-8E8D-4193DEF1DB3E}" destId="{369E84C5-57B2-498D-8279-0AD7EBFFC8ED}" srcOrd="0" destOrd="0" presId="urn:microsoft.com/office/officeart/2005/8/layout/list1"/>
    <dgm:cxn modelId="{6263ACB9-F664-4905-BB83-8171F11F5B84}" type="presOf" srcId="{D1A81CDC-37FB-493B-8611-7EE6868A7747}" destId="{9BBC44B8-8473-4282-98D7-B102069A805D}" srcOrd="1" destOrd="0" presId="urn:microsoft.com/office/officeart/2005/8/layout/list1"/>
    <dgm:cxn modelId="{CDA37BBE-EE70-4FDA-88FA-3A2C569C8719}" type="presOf" srcId="{1FCEF538-2D2A-4E47-AF59-714E7AE70F9A}" destId="{3EAA326B-02A2-4EE2-A542-9AC2458DD2A3}" srcOrd="0" destOrd="2" presId="urn:microsoft.com/office/officeart/2005/8/layout/list1"/>
    <dgm:cxn modelId="{9044B7C7-7981-47CF-BC5F-73D279028691}" type="presOf" srcId="{72904C84-AB4C-4171-BB01-9A1064F26611}" destId="{48D30773-AF76-4E5A-9705-F37212DC746A}" srcOrd="0" destOrd="1" presId="urn:microsoft.com/office/officeart/2005/8/layout/list1"/>
    <dgm:cxn modelId="{92AE69CE-5CEE-4276-87BF-D345F09B8CE1}" srcId="{10D679B3-4E09-4015-99D3-CA3EFA0CCBB0}" destId="{1FCEF538-2D2A-4E47-AF59-714E7AE70F9A}" srcOrd="2" destOrd="0" parTransId="{65D66728-D388-4740-8FED-36D657EC1DC6}" sibTransId="{3679C8BB-68E4-4CAE-A439-4DF7B4E97322}"/>
    <dgm:cxn modelId="{CA4D51D9-C92F-49D2-858A-B2CACF5750CA}" srcId="{10D679B3-4E09-4015-99D3-CA3EFA0CCBB0}" destId="{859CEDE7-0A8F-4FAD-9EDB-BAA4621B35E7}" srcOrd="1" destOrd="0" parTransId="{F741B754-183D-4F6E-8BFF-B6261844A00F}" sibTransId="{8D9217DC-71BE-4783-B439-A3E03AADF890}"/>
    <dgm:cxn modelId="{EF16E0DF-C0EE-425A-A86F-50931A738BB2}" srcId="{10D679B3-4E09-4015-99D3-CA3EFA0CCBB0}" destId="{CD517317-69FC-4F1A-84DF-AB79D00F0354}" srcOrd="0" destOrd="0" parTransId="{4C411A24-E778-48B3-BAD4-C00C8B09225E}" sibTransId="{A2118E06-F096-43C4-9DDC-578F8542E160}"/>
    <dgm:cxn modelId="{879F99F4-DAF0-4613-A9C3-EC83B7111962}" type="presOf" srcId="{D1A81CDC-37FB-493B-8611-7EE6868A7747}" destId="{597B070A-E91C-4585-B3B8-761C6550BDF4}" srcOrd="0" destOrd="0" presId="urn:microsoft.com/office/officeart/2005/8/layout/list1"/>
    <dgm:cxn modelId="{4EADEFF8-528B-437D-90DD-9FBA525B6E77}" type="presOf" srcId="{1E612948-FD9B-46D8-803C-DEAC41393EA9}" destId="{48D30773-AF76-4E5A-9705-F37212DC746A}" srcOrd="0" destOrd="2" presId="urn:microsoft.com/office/officeart/2005/8/layout/list1"/>
    <dgm:cxn modelId="{CC4AF3FA-DAB3-42F7-9A0E-8CABDDF1DEAC}" type="presOf" srcId="{10D679B3-4E09-4015-99D3-CA3EFA0CCBB0}" destId="{F7A2ADA9-3F61-42D3-A1C8-84E036D45514}" srcOrd="0" destOrd="0" presId="urn:microsoft.com/office/officeart/2005/8/layout/list1"/>
    <dgm:cxn modelId="{9D4B35FE-5D49-4A30-98C8-A8A3294DA2EA}" srcId="{A596DF72-213D-4F29-8E8D-4193DEF1DB3E}" destId="{021AF4AF-59F9-43CD-BAA6-00B88DACA7E6}" srcOrd="1" destOrd="0" parTransId="{6B2352CE-1C9C-49D6-B8A3-CC250D0879C9}" sibTransId="{F65B748D-830D-4F2D-BD5B-3547DF1FFF67}"/>
    <dgm:cxn modelId="{A4496FE8-0E22-4B3B-865E-ADD72AF106B3}" type="presParOf" srcId="{369E84C5-57B2-498D-8279-0AD7EBFFC8ED}" destId="{A4E19D71-23E4-4ACD-9C7C-8F62D8EBF56F}" srcOrd="0" destOrd="0" presId="urn:microsoft.com/office/officeart/2005/8/layout/list1"/>
    <dgm:cxn modelId="{DD6FE6CB-86FD-4B7A-A236-4522274C7AF9}" type="presParOf" srcId="{A4E19D71-23E4-4ACD-9C7C-8F62D8EBF56F}" destId="{F7A2ADA9-3F61-42D3-A1C8-84E036D45514}" srcOrd="0" destOrd="0" presId="urn:microsoft.com/office/officeart/2005/8/layout/list1"/>
    <dgm:cxn modelId="{866FA723-13DC-4C87-AE60-B64E71EAF684}" type="presParOf" srcId="{A4E19D71-23E4-4ACD-9C7C-8F62D8EBF56F}" destId="{9AC3D49E-EEC3-4D56-A552-39C018D72D79}" srcOrd="1" destOrd="0" presId="urn:microsoft.com/office/officeart/2005/8/layout/list1"/>
    <dgm:cxn modelId="{2CE8729C-36D0-4591-9380-403F2EDD2E0B}" type="presParOf" srcId="{369E84C5-57B2-498D-8279-0AD7EBFFC8ED}" destId="{638AC270-0FFF-4FD5-8914-A03D5AC34027}" srcOrd="1" destOrd="0" presId="urn:microsoft.com/office/officeart/2005/8/layout/list1"/>
    <dgm:cxn modelId="{AC2D1974-6D37-43AA-AB5A-74673D7BB37F}" type="presParOf" srcId="{369E84C5-57B2-498D-8279-0AD7EBFFC8ED}" destId="{3EAA326B-02A2-4EE2-A542-9AC2458DD2A3}" srcOrd="2" destOrd="0" presId="urn:microsoft.com/office/officeart/2005/8/layout/list1"/>
    <dgm:cxn modelId="{287F53F7-9D51-43EE-9334-25302B993A96}" type="presParOf" srcId="{369E84C5-57B2-498D-8279-0AD7EBFFC8ED}" destId="{25C6C32E-FB13-4B5C-8176-67010F09B3EE}" srcOrd="3" destOrd="0" presId="urn:microsoft.com/office/officeart/2005/8/layout/list1"/>
    <dgm:cxn modelId="{A372A450-1901-4F65-8483-D1C1C2B32B4C}" type="presParOf" srcId="{369E84C5-57B2-498D-8279-0AD7EBFFC8ED}" destId="{9FAA55D6-491D-4880-891A-7D4555FB34B6}" srcOrd="4" destOrd="0" presId="urn:microsoft.com/office/officeart/2005/8/layout/list1"/>
    <dgm:cxn modelId="{3694B0AB-6647-4647-9DF6-838422976FC4}" type="presParOf" srcId="{9FAA55D6-491D-4880-891A-7D4555FB34B6}" destId="{9F7FCC74-ED5C-4969-B9F2-E06EA4EE26AF}" srcOrd="0" destOrd="0" presId="urn:microsoft.com/office/officeart/2005/8/layout/list1"/>
    <dgm:cxn modelId="{BCCE896A-2769-4F2B-97C0-03D7ECE66D72}" type="presParOf" srcId="{9FAA55D6-491D-4880-891A-7D4555FB34B6}" destId="{4542B056-26C1-4CBA-9B5D-3CAFDA104CEE}" srcOrd="1" destOrd="0" presId="urn:microsoft.com/office/officeart/2005/8/layout/list1"/>
    <dgm:cxn modelId="{38392F2F-F185-4D51-AE3A-757365D6209A}" type="presParOf" srcId="{369E84C5-57B2-498D-8279-0AD7EBFFC8ED}" destId="{081EB6BA-08D7-4C02-8124-7B19DD94770F}" srcOrd="5" destOrd="0" presId="urn:microsoft.com/office/officeart/2005/8/layout/list1"/>
    <dgm:cxn modelId="{1BBC93CB-051D-43E5-86C5-0BB0BCF09734}" type="presParOf" srcId="{369E84C5-57B2-498D-8279-0AD7EBFFC8ED}" destId="{90ECC8DF-D3DF-4F57-B98D-2D845C155266}" srcOrd="6" destOrd="0" presId="urn:microsoft.com/office/officeart/2005/8/layout/list1"/>
    <dgm:cxn modelId="{E98AFEA0-7D2A-4182-86E8-7617C79898D9}" type="presParOf" srcId="{369E84C5-57B2-498D-8279-0AD7EBFFC8ED}" destId="{30D9CA70-751F-4060-8CC0-752AAD0E41E2}" srcOrd="7" destOrd="0" presId="urn:microsoft.com/office/officeart/2005/8/layout/list1"/>
    <dgm:cxn modelId="{40A182D3-12B2-4BF5-95E6-04090DBD1314}" type="presParOf" srcId="{369E84C5-57B2-498D-8279-0AD7EBFFC8ED}" destId="{F8BBB73B-1D7E-4E73-8A47-1A013026FF3C}" srcOrd="8" destOrd="0" presId="urn:microsoft.com/office/officeart/2005/8/layout/list1"/>
    <dgm:cxn modelId="{BA02A4B0-DADB-4026-941B-4F73E7A576FA}" type="presParOf" srcId="{F8BBB73B-1D7E-4E73-8A47-1A013026FF3C}" destId="{393133B9-5A13-4DD0-A1E9-4B49FF5A2683}" srcOrd="0" destOrd="0" presId="urn:microsoft.com/office/officeart/2005/8/layout/list1"/>
    <dgm:cxn modelId="{2B0D0972-E299-4098-AE9A-E4AF9514F410}" type="presParOf" srcId="{F8BBB73B-1D7E-4E73-8A47-1A013026FF3C}" destId="{E5EDE5F8-D2F8-4B84-AF26-56FB6DB859CE}" srcOrd="1" destOrd="0" presId="urn:microsoft.com/office/officeart/2005/8/layout/list1"/>
    <dgm:cxn modelId="{6C21C2F4-03FA-46EB-8D41-E731ECC769F2}" type="presParOf" srcId="{369E84C5-57B2-498D-8279-0AD7EBFFC8ED}" destId="{52111375-784D-4E52-9430-A252E293A369}" srcOrd="9" destOrd="0" presId="urn:microsoft.com/office/officeart/2005/8/layout/list1"/>
    <dgm:cxn modelId="{9F5982C0-78C3-4348-BF11-3B1AE2AA0001}" type="presParOf" srcId="{369E84C5-57B2-498D-8279-0AD7EBFFC8ED}" destId="{1C5356AA-C021-4514-9E13-0512484C8938}" srcOrd="10" destOrd="0" presId="urn:microsoft.com/office/officeart/2005/8/layout/list1"/>
    <dgm:cxn modelId="{9749FEA6-DA34-42B4-B193-259067EA19F0}" type="presParOf" srcId="{369E84C5-57B2-498D-8279-0AD7EBFFC8ED}" destId="{4DDA7C3A-0C64-4E8F-A414-D729219E094A}" srcOrd="11" destOrd="0" presId="urn:microsoft.com/office/officeart/2005/8/layout/list1"/>
    <dgm:cxn modelId="{8924C032-F1D1-4A2F-A522-7F02D0CD7EE8}" type="presParOf" srcId="{369E84C5-57B2-498D-8279-0AD7EBFFC8ED}" destId="{C7522876-7477-4DA8-A19F-4A2C47ECBAAA}" srcOrd="12" destOrd="0" presId="urn:microsoft.com/office/officeart/2005/8/layout/list1"/>
    <dgm:cxn modelId="{3B01E764-58F0-48F5-809E-D1ED870A13AB}" type="presParOf" srcId="{C7522876-7477-4DA8-A19F-4A2C47ECBAAA}" destId="{C83BF2F5-78D7-4461-A38A-23BA42F580A3}" srcOrd="0" destOrd="0" presId="urn:microsoft.com/office/officeart/2005/8/layout/list1"/>
    <dgm:cxn modelId="{3763AF55-F15D-40E3-86DB-8D6D350BD2E5}" type="presParOf" srcId="{C7522876-7477-4DA8-A19F-4A2C47ECBAAA}" destId="{1F05AC3A-9713-4E87-9A2A-911916144615}" srcOrd="1" destOrd="0" presId="urn:microsoft.com/office/officeart/2005/8/layout/list1"/>
    <dgm:cxn modelId="{F2CF850A-101D-48C5-85B7-2E5679D01516}" type="presParOf" srcId="{369E84C5-57B2-498D-8279-0AD7EBFFC8ED}" destId="{6069118B-50F6-4EB1-A086-AFA3D55AC806}" srcOrd="13" destOrd="0" presId="urn:microsoft.com/office/officeart/2005/8/layout/list1"/>
    <dgm:cxn modelId="{8B82DD21-5BBC-4E8B-BBA1-D5C85FC66D1B}" type="presParOf" srcId="{369E84C5-57B2-498D-8279-0AD7EBFFC8ED}" destId="{F6044B4C-6CEB-426F-92E4-656D4D9014DC}" srcOrd="14" destOrd="0" presId="urn:microsoft.com/office/officeart/2005/8/layout/list1"/>
    <dgm:cxn modelId="{F429D209-277C-4C49-A6F6-430E9B90FAFA}" type="presParOf" srcId="{369E84C5-57B2-498D-8279-0AD7EBFFC8ED}" destId="{DFB3B0B4-683A-4A58-A972-887B74CC7308}" srcOrd="15" destOrd="0" presId="urn:microsoft.com/office/officeart/2005/8/layout/list1"/>
    <dgm:cxn modelId="{33533C3C-1099-4494-80A9-2FAF0710E27A}" type="presParOf" srcId="{369E84C5-57B2-498D-8279-0AD7EBFFC8ED}" destId="{FFBA8E75-1CE1-49A3-98DE-AB96F3070CF3}" srcOrd="16" destOrd="0" presId="urn:microsoft.com/office/officeart/2005/8/layout/list1"/>
    <dgm:cxn modelId="{D8752C33-6302-4CCC-9D44-DE8070546ACC}" type="presParOf" srcId="{FFBA8E75-1CE1-49A3-98DE-AB96F3070CF3}" destId="{597B070A-E91C-4585-B3B8-761C6550BDF4}" srcOrd="0" destOrd="0" presId="urn:microsoft.com/office/officeart/2005/8/layout/list1"/>
    <dgm:cxn modelId="{18B8C7BB-8650-4382-82F3-98EEC908C644}" type="presParOf" srcId="{FFBA8E75-1CE1-49A3-98DE-AB96F3070CF3}" destId="{9BBC44B8-8473-4282-98D7-B102069A805D}" srcOrd="1" destOrd="0" presId="urn:microsoft.com/office/officeart/2005/8/layout/list1"/>
    <dgm:cxn modelId="{60809F4F-7591-4B8B-8E30-8B4ACBB1A80F}" type="presParOf" srcId="{369E84C5-57B2-498D-8279-0AD7EBFFC8ED}" destId="{129646AB-6CE0-4FA8-8DB4-39515CD32B3C}" srcOrd="17" destOrd="0" presId="urn:microsoft.com/office/officeart/2005/8/layout/list1"/>
    <dgm:cxn modelId="{FF960EDF-D324-4C5D-A0E0-18F187930B9E}" type="presParOf" srcId="{369E84C5-57B2-498D-8279-0AD7EBFFC8ED}" destId="{48D30773-AF76-4E5A-9705-F37212DC746A}" srcOrd="18" destOrd="0" presId="urn:microsoft.com/office/officeart/2005/8/layout/list1"/>
  </dgm:cxnLst>
  <dgm:bg/>
  <dgm:whole/>
  <dgm:extLst>
    <a:ext uri="http://schemas.microsoft.com/office/drawing/2008/diagram">
      <dsp:dataModelExt xmlns:dsp="http://schemas.microsoft.com/office/drawing/2008/diagram" relId="rId14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8A58652-B3DF-424D-824B-7C356849878C}" type="doc">
      <dgm:prSet loTypeId="urn:microsoft.com/office/officeart/2008/layout/LinedList" loCatId="list" qsTypeId="urn:microsoft.com/office/officeart/2005/8/quickstyle/simple1" qsCatId="simple" csTypeId="urn:microsoft.com/office/officeart/2005/8/colors/colorful4" csCatId="colorful" phldr="1"/>
      <dgm:spPr/>
    </dgm:pt>
    <dgm:pt modelId="{D3E2D7D2-D820-4B92-A771-A55954764B6B}">
      <dgm:prSet phldrT="[Text]" custT="1"/>
      <dgm:spPr/>
      <dgm:t>
        <a:bodyPr/>
        <a:lstStyle/>
        <a:p>
          <a:pPr algn="ctr">
            <a:buClr>
              <a:srgbClr val="2B3A44"/>
            </a:buClr>
            <a:buSzPts val="1100"/>
            <a:buFont typeface="Symbol" panose="05050102010706020507" pitchFamily="18" charset="2"/>
            <a:buChar char=""/>
          </a:pPr>
          <a:r>
            <a:rPr lang="en-US" sz="1050" b="1">
              <a:latin typeface="Century Gothic" panose="020B0502020202020204" pitchFamily="34" charset="0"/>
            </a:rPr>
            <a:t>Time to Deliver.</a:t>
          </a:r>
          <a:r>
            <a:rPr lang="en-US" sz="1050">
              <a:latin typeface="Century Gothic" panose="020B0502020202020204" pitchFamily="34" charset="0"/>
            </a:rPr>
            <a:t> </a:t>
          </a:r>
        </a:p>
        <a:p>
          <a:pPr algn="ctr">
            <a:buClr>
              <a:srgbClr val="2B3A44"/>
            </a:buClr>
            <a:buSzPts val="1100"/>
            <a:buFont typeface="Symbol" panose="05050102010706020507" pitchFamily="18" charset="2"/>
            <a:buChar char=""/>
          </a:pPr>
          <a:r>
            <a:rPr lang="en-US" sz="1050">
              <a:latin typeface="Century Gothic" panose="020B0502020202020204" pitchFamily="34" charset="0"/>
            </a:rPr>
            <a:t>What is the schedule for each contractor to be able to deliver the redundant scope? Can one or both contractors meet the date needed?</a:t>
          </a:r>
        </a:p>
      </dgm:t>
    </dgm:pt>
    <dgm:pt modelId="{13292C55-1665-4439-B501-37CA94DF4248}" type="parTrans" cxnId="{BD5C24ED-BD85-499F-A0EF-159966B424FA}">
      <dgm:prSet/>
      <dgm:spPr/>
      <dgm:t>
        <a:bodyPr/>
        <a:lstStyle/>
        <a:p>
          <a:pPr algn="ctr"/>
          <a:endParaRPr lang="en-US" sz="1050">
            <a:latin typeface="Century Gothic" panose="020B0502020202020204" pitchFamily="34" charset="0"/>
          </a:endParaRPr>
        </a:p>
      </dgm:t>
    </dgm:pt>
    <dgm:pt modelId="{A8158125-2578-4269-805B-31CFA7869C9F}" type="sibTrans" cxnId="{BD5C24ED-BD85-499F-A0EF-159966B424FA}">
      <dgm:prSet/>
      <dgm:spPr/>
      <dgm:t>
        <a:bodyPr/>
        <a:lstStyle/>
        <a:p>
          <a:pPr algn="ctr"/>
          <a:endParaRPr lang="en-US" sz="1050">
            <a:latin typeface="Century Gothic" panose="020B0502020202020204" pitchFamily="34" charset="0"/>
          </a:endParaRPr>
        </a:p>
      </dgm:t>
    </dgm:pt>
    <dgm:pt modelId="{7CE34C93-9B05-41E7-916E-7DCADEF9C417}">
      <dgm:prSet phldrT="[Text]" custT="1"/>
      <dgm:spPr/>
      <dgm:t>
        <a:bodyPr/>
        <a:lstStyle/>
        <a:p>
          <a:pPr algn="ctr">
            <a:buClr>
              <a:srgbClr val="2B3A44"/>
            </a:buClr>
            <a:buSzPts val="1100"/>
            <a:buFont typeface="Symbol" panose="05050102010706020507" pitchFamily="18" charset="2"/>
            <a:buChar char=""/>
          </a:pPr>
          <a:r>
            <a:rPr lang="en-US" sz="1050" b="1">
              <a:latin typeface="Century Gothic" panose="020B0502020202020204" pitchFamily="34" charset="0"/>
            </a:rPr>
            <a:t>Price of the Redundant Work Effort.</a:t>
          </a:r>
          <a:r>
            <a:rPr lang="en-US" sz="1050">
              <a:latin typeface="Century Gothic" panose="020B0502020202020204" pitchFamily="34" charset="0"/>
            </a:rPr>
            <a:t> </a:t>
          </a:r>
        </a:p>
        <a:p>
          <a:pPr algn="ctr">
            <a:buClr>
              <a:srgbClr val="2B3A44"/>
            </a:buClr>
            <a:buSzPts val="1100"/>
            <a:buFont typeface="Symbol" panose="05050102010706020507" pitchFamily="18" charset="2"/>
            <a:buChar char=""/>
          </a:pPr>
          <a:r>
            <a:rPr lang="en-US" sz="1050">
              <a:latin typeface="Century Gothic" panose="020B0502020202020204" pitchFamily="34" charset="0"/>
            </a:rPr>
            <a:t>What is the price from each contractor for the redundant scope? Do the prices appear reasonable (neither too low to reasonably deliver nor unexpectedly high as compared to each other)?</a:t>
          </a:r>
        </a:p>
      </dgm:t>
    </dgm:pt>
    <dgm:pt modelId="{FF6303B8-A767-4116-BF70-10E5CCE4EC81}" type="parTrans" cxnId="{D8AF6476-E27F-4FB7-A0A2-506BD3F96CC4}">
      <dgm:prSet/>
      <dgm:spPr/>
      <dgm:t>
        <a:bodyPr/>
        <a:lstStyle/>
        <a:p>
          <a:pPr algn="ctr"/>
          <a:endParaRPr lang="en-US" sz="1050">
            <a:latin typeface="Century Gothic" panose="020B0502020202020204" pitchFamily="34" charset="0"/>
          </a:endParaRPr>
        </a:p>
      </dgm:t>
    </dgm:pt>
    <dgm:pt modelId="{42585D15-3DB7-42F3-B182-D1B85A1B733B}" type="sibTrans" cxnId="{D8AF6476-E27F-4FB7-A0A2-506BD3F96CC4}">
      <dgm:prSet/>
      <dgm:spPr/>
      <dgm:t>
        <a:bodyPr/>
        <a:lstStyle/>
        <a:p>
          <a:pPr algn="ctr"/>
          <a:endParaRPr lang="en-US" sz="1050">
            <a:latin typeface="Century Gothic" panose="020B0502020202020204" pitchFamily="34" charset="0"/>
          </a:endParaRPr>
        </a:p>
      </dgm:t>
    </dgm:pt>
    <dgm:pt modelId="{546D93CD-D64A-4B10-BE55-FCF0B1814A4A}">
      <dgm:prSet phldrT="[Text]" custT="1"/>
      <dgm:spPr/>
      <dgm:t>
        <a:bodyPr/>
        <a:lstStyle/>
        <a:p>
          <a:pPr algn="ctr"/>
          <a:r>
            <a:rPr lang="en-US" sz="1050" b="1">
              <a:latin typeface="Century Gothic" panose="020B0502020202020204" pitchFamily="34" charset="0"/>
            </a:rPr>
            <a:t>Ongoing Operational Responsibility.</a:t>
          </a:r>
          <a:endParaRPr lang="en-US" sz="1050">
            <a:latin typeface="Century Gothic" panose="020B0502020202020204" pitchFamily="34" charset="0"/>
          </a:endParaRPr>
        </a:p>
        <a:p>
          <a:pPr algn="ctr"/>
          <a:r>
            <a:rPr lang="en-US" sz="1050">
              <a:latin typeface="Century Gothic" panose="020B0502020202020204" pitchFamily="34" charset="0"/>
            </a:rPr>
            <a:t>Is one of the contractors clearly responsible for the ongoing operational responsibility?</a:t>
          </a:r>
        </a:p>
      </dgm:t>
    </dgm:pt>
    <dgm:pt modelId="{9DC5CDF2-4932-4DF8-85B5-613D4229D335}" type="parTrans" cxnId="{0627D82B-2566-47FD-9CEC-24A41A09640F}">
      <dgm:prSet/>
      <dgm:spPr/>
      <dgm:t>
        <a:bodyPr/>
        <a:lstStyle/>
        <a:p>
          <a:pPr algn="ctr"/>
          <a:endParaRPr lang="en-US" sz="1050">
            <a:latin typeface="Century Gothic" panose="020B0502020202020204" pitchFamily="34" charset="0"/>
          </a:endParaRPr>
        </a:p>
      </dgm:t>
    </dgm:pt>
    <dgm:pt modelId="{6F02802C-4823-4780-B262-D81728B95274}" type="sibTrans" cxnId="{0627D82B-2566-47FD-9CEC-24A41A09640F}">
      <dgm:prSet/>
      <dgm:spPr/>
      <dgm:t>
        <a:bodyPr/>
        <a:lstStyle/>
        <a:p>
          <a:pPr algn="ctr"/>
          <a:endParaRPr lang="en-US" sz="1050">
            <a:latin typeface="Century Gothic" panose="020B0502020202020204" pitchFamily="34" charset="0"/>
          </a:endParaRPr>
        </a:p>
      </dgm:t>
    </dgm:pt>
    <dgm:pt modelId="{7978D26C-C345-48A3-98D5-104354D3AA8E}">
      <dgm:prSet phldrT="[Text]" custT="1"/>
      <dgm:spPr/>
      <dgm:t>
        <a:bodyPr/>
        <a:lstStyle/>
        <a:p>
          <a:pPr algn="ctr">
            <a:buClr>
              <a:srgbClr val="2B3A44"/>
            </a:buClr>
            <a:buSzPts val="1100"/>
            <a:buFont typeface="Symbol" panose="05050102010706020507" pitchFamily="18" charset="2"/>
            <a:buChar char=""/>
          </a:pPr>
          <a:r>
            <a:rPr lang="en-US" sz="1050" b="1">
              <a:latin typeface="Century Gothic" panose="020B0502020202020204" pitchFamily="34" charset="0"/>
            </a:rPr>
            <a:t>Technical Solution.</a:t>
          </a:r>
          <a:r>
            <a:rPr lang="en-US" sz="1050">
              <a:latin typeface="Century Gothic" panose="020B0502020202020204" pitchFamily="34" charset="0"/>
            </a:rPr>
            <a:t> </a:t>
          </a:r>
        </a:p>
        <a:p>
          <a:pPr algn="ctr">
            <a:buClr>
              <a:srgbClr val="2B3A44"/>
            </a:buClr>
            <a:buSzPts val="1100"/>
            <a:buFont typeface="Symbol" panose="05050102010706020507" pitchFamily="18" charset="2"/>
            <a:buChar char=""/>
          </a:pPr>
          <a:r>
            <a:rPr lang="en-US" sz="1050">
              <a:latin typeface="Century Gothic" panose="020B0502020202020204" pitchFamily="34" charset="0"/>
            </a:rPr>
            <a:t>Is either contractor’s proposed solution better aligned to the business and/or the CalSAWS technical architecture? Is either solution introducing desired innovation?</a:t>
          </a:r>
        </a:p>
      </dgm:t>
    </dgm:pt>
    <dgm:pt modelId="{1A33E173-EC69-48F9-AD94-24F338974A4F}" type="parTrans" cxnId="{08EC74BD-596C-480A-B4DA-68DC43F36496}">
      <dgm:prSet/>
      <dgm:spPr/>
      <dgm:t>
        <a:bodyPr/>
        <a:lstStyle/>
        <a:p>
          <a:pPr algn="ctr"/>
          <a:endParaRPr lang="en-US" sz="1050">
            <a:latin typeface="Century Gothic" panose="020B0502020202020204" pitchFamily="34" charset="0"/>
          </a:endParaRPr>
        </a:p>
      </dgm:t>
    </dgm:pt>
    <dgm:pt modelId="{043B7E6F-63DB-41D0-90F4-D2ACD148EDE9}" type="sibTrans" cxnId="{08EC74BD-596C-480A-B4DA-68DC43F36496}">
      <dgm:prSet/>
      <dgm:spPr/>
      <dgm:t>
        <a:bodyPr/>
        <a:lstStyle/>
        <a:p>
          <a:pPr algn="ctr"/>
          <a:endParaRPr lang="en-US" sz="1050">
            <a:latin typeface="Century Gothic" panose="020B0502020202020204" pitchFamily="34" charset="0"/>
          </a:endParaRPr>
        </a:p>
      </dgm:t>
    </dgm:pt>
    <dgm:pt modelId="{2A48C391-45EA-4841-9EA4-D9152C526D67}" type="pres">
      <dgm:prSet presAssocID="{28A58652-B3DF-424D-824B-7C356849878C}" presName="vert0" presStyleCnt="0">
        <dgm:presLayoutVars>
          <dgm:dir/>
          <dgm:animOne val="branch"/>
          <dgm:animLvl val="lvl"/>
        </dgm:presLayoutVars>
      </dgm:prSet>
      <dgm:spPr/>
    </dgm:pt>
    <dgm:pt modelId="{122E5A01-AD9C-4349-953D-4415BBE87B1E}" type="pres">
      <dgm:prSet presAssocID="{D3E2D7D2-D820-4B92-A771-A55954764B6B}" presName="thickLine" presStyleLbl="alignNode1" presStyleIdx="0" presStyleCnt="4"/>
      <dgm:spPr/>
    </dgm:pt>
    <dgm:pt modelId="{F0CD0B11-C9B4-4081-AA9D-E5333237B7E7}" type="pres">
      <dgm:prSet presAssocID="{D3E2D7D2-D820-4B92-A771-A55954764B6B}" presName="horz1" presStyleCnt="0"/>
      <dgm:spPr/>
    </dgm:pt>
    <dgm:pt modelId="{579274CB-C3A7-41F8-A31C-BF639CAAA5CE}" type="pres">
      <dgm:prSet presAssocID="{D3E2D7D2-D820-4B92-A771-A55954764B6B}" presName="tx1" presStyleLbl="revTx" presStyleIdx="0" presStyleCnt="4"/>
      <dgm:spPr/>
    </dgm:pt>
    <dgm:pt modelId="{25985F67-BA2B-4324-B762-8275A8AD62B4}" type="pres">
      <dgm:prSet presAssocID="{D3E2D7D2-D820-4B92-A771-A55954764B6B}" presName="vert1" presStyleCnt="0"/>
      <dgm:spPr/>
    </dgm:pt>
    <dgm:pt modelId="{20ECAFCB-79AC-488F-B190-9626CD135845}" type="pres">
      <dgm:prSet presAssocID="{7CE34C93-9B05-41E7-916E-7DCADEF9C417}" presName="thickLine" presStyleLbl="alignNode1" presStyleIdx="1" presStyleCnt="4"/>
      <dgm:spPr/>
    </dgm:pt>
    <dgm:pt modelId="{F7BFC128-B0E8-4892-831A-560DD42ED8BB}" type="pres">
      <dgm:prSet presAssocID="{7CE34C93-9B05-41E7-916E-7DCADEF9C417}" presName="horz1" presStyleCnt="0"/>
      <dgm:spPr/>
    </dgm:pt>
    <dgm:pt modelId="{3B1B77EA-2D4E-4025-BF98-CCB65F098DE2}" type="pres">
      <dgm:prSet presAssocID="{7CE34C93-9B05-41E7-916E-7DCADEF9C417}" presName="tx1" presStyleLbl="revTx" presStyleIdx="1" presStyleCnt="4"/>
      <dgm:spPr/>
    </dgm:pt>
    <dgm:pt modelId="{F610D864-B56A-4C52-8E1F-F7720183EDCA}" type="pres">
      <dgm:prSet presAssocID="{7CE34C93-9B05-41E7-916E-7DCADEF9C417}" presName="vert1" presStyleCnt="0"/>
      <dgm:spPr/>
    </dgm:pt>
    <dgm:pt modelId="{64C7A44C-57F0-4F95-8B58-4290C7F41465}" type="pres">
      <dgm:prSet presAssocID="{546D93CD-D64A-4B10-BE55-FCF0B1814A4A}" presName="thickLine" presStyleLbl="alignNode1" presStyleIdx="2" presStyleCnt="4"/>
      <dgm:spPr/>
    </dgm:pt>
    <dgm:pt modelId="{330D17AB-8058-45F2-B752-585A546B0312}" type="pres">
      <dgm:prSet presAssocID="{546D93CD-D64A-4B10-BE55-FCF0B1814A4A}" presName="horz1" presStyleCnt="0"/>
      <dgm:spPr/>
    </dgm:pt>
    <dgm:pt modelId="{AEC3EC5B-5FED-4521-AFA2-A1A5B712F440}" type="pres">
      <dgm:prSet presAssocID="{546D93CD-D64A-4B10-BE55-FCF0B1814A4A}" presName="tx1" presStyleLbl="revTx" presStyleIdx="2" presStyleCnt="4"/>
      <dgm:spPr/>
    </dgm:pt>
    <dgm:pt modelId="{779BDCA9-4636-4BAC-B7C2-F2CDA45472B0}" type="pres">
      <dgm:prSet presAssocID="{546D93CD-D64A-4B10-BE55-FCF0B1814A4A}" presName="vert1" presStyleCnt="0"/>
      <dgm:spPr/>
    </dgm:pt>
    <dgm:pt modelId="{C5053444-C9D6-4858-853D-E7A15A0419F1}" type="pres">
      <dgm:prSet presAssocID="{7978D26C-C345-48A3-98D5-104354D3AA8E}" presName="thickLine" presStyleLbl="alignNode1" presStyleIdx="3" presStyleCnt="4"/>
      <dgm:spPr/>
    </dgm:pt>
    <dgm:pt modelId="{3A8F9B99-E979-42D0-9F8C-306890E2E938}" type="pres">
      <dgm:prSet presAssocID="{7978D26C-C345-48A3-98D5-104354D3AA8E}" presName="horz1" presStyleCnt="0"/>
      <dgm:spPr/>
    </dgm:pt>
    <dgm:pt modelId="{EF05AE57-3E4D-4D93-A85E-067D8D7AD7F2}" type="pres">
      <dgm:prSet presAssocID="{7978D26C-C345-48A3-98D5-104354D3AA8E}" presName="tx1" presStyleLbl="revTx" presStyleIdx="3" presStyleCnt="4"/>
      <dgm:spPr/>
    </dgm:pt>
    <dgm:pt modelId="{BB745CBD-2C8E-4012-8D1C-3CEA1A343660}" type="pres">
      <dgm:prSet presAssocID="{7978D26C-C345-48A3-98D5-104354D3AA8E}" presName="vert1" presStyleCnt="0"/>
      <dgm:spPr/>
    </dgm:pt>
  </dgm:ptLst>
  <dgm:cxnLst>
    <dgm:cxn modelId="{E5C8D51F-B76F-4FD2-AA8B-F816779D94B2}" type="presOf" srcId="{D3E2D7D2-D820-4B92-A771-A55954764B6B}" destId="{579274CB-C3A7-41F8-A31C-BF639CAAA5CE}" srcOrd="0" destOrd="0" presId="urn:microsoft.com/office/officeart/2008/layout/LinedList"/>
    <dgm:cxn modelId="{0627D82B-2566-47FD-9CEC-24A41A09640F}" srcId="{28A58652-B3DF-424D-824B-7C356849878C}" destId="{546D93CD-D64A-4B10-BE55-FCF0B1814A4A}" srcOrd="2" destOrd="0" parTransId="{9DC5CDF2-4932-4DF8-85B5-613D4229D335}" sibTransId="{6F02802C-4823-4780-B262-D81728B95274}"/>
    <dgm:cxn modelId="{6B4F3042-0FF2-4BD4-B443-61A584B28365}" type="presOf" srcId="{7978D26C-C345-48A3-98D5-104354D3AA8E}" destId="{EF05AE57-3E4D-4D93-A85E-067D8D7AD7F2}" srcOrd="0" destOrd="0" presId="urn:microsoft.com/office/officeart/2008/layout/LinedList"/>
    <dgm:cxn modelId="{D8AF6476-E27F-4FB7-A0A2-506BD3F96CC4}" srcId="{28A58652-B3DF-424D-824B-7C356849878C}" destId="{7CE34C93-9B05-41E7-916E-7DCADEF9C417}" srcOrd="1" destOrd="0" parTransId="{FF6303B8-A767-4116-BF70-10E5CCE4EC81}" sibTransId="{42585D15-3DB7-42F3-B182-D1B85A1B733B}"/>
    <dgm:cxn modelId="{BCD71E96-E374-43DA-9AE6-C81889A60AA8}" type="presOf" srcId="{28A58652-B3DF-424D-824B-7C356849878C}" destId="{2A48C391-45EA-4841-9EA4-D9152C526D67}" srcOrd="0" destOrd="0" presId="urn:microsoft.com/office/officeart/2008/layout/LinedList"/>
    <dgm:cxn modelId="{6CD547A1-65B3-4A68-88EA-3645EEF532A2}" type="presOf" srcId="{546D93CD-D64A-4B10-BE55-FCF0B1814A4A}" destId="{AEC3EC5B-5FED-4521-AFA2-A1A5B712F440}" srcOrd="0" destOrd="0" presId="urn:microsoft.com/office/officeart/2008/layout/LinedList"/>
    <dgm:cxn modelId="{08EC74BD-596C-480A-B4DA-68DC43F36496}" srcId="{28A58652-B3DF-424D-824B-7C356849878C}" destId="{7978D26C-C345-48A3-98D5-104354D3AA8E}" srcOrd="3" destOrd="0" parTransId="{1A33E173-EC69-48F9-AD94-24F338974A4F}" sibTransId="{043B7E6F-63DB-41D0-90F4-D2ACD148EDE9}"/>
    <dgm:cxn modelId="{4C0FA9D8-C7D7-47B8-B974-4A55CB179B4F}" type="presOf" srcId="{7CE34C93-9B05-41E7-916E-7DCADEF9C417}" destId="{3B1B77EA-2D4E-4025-BF98-CCB65F098DE2}" srcOrd="0" destOrd="0" presId="urn:microsoft.com/office/officeart/2008/layout/LinedList"/>
    <dgm:cxn modelId="{BD5C24ED-BD85-499F-A0EF-159966B424FA}" srcId="{28A58652-B3DF-424D-824B-7C356849878C}" destId="{D3E2D7D2-D820-4B92-A771-A55954764B6B}" srcOrd="0" destOrd="0" parTransId="{13292C55-1665-4439-B501-37CA94DF4248}" sibTransId="{A8158125-2578-4269-805B-31CFA7869C9F}"/>
    <dgm:cxn modelId="{81431C7A-AEBA-4E2A-BD80-1A7A1A6B72EE}" type="presParOf" srcId="{2A48C391-45EA-4841-9EA4-D9152C526D67}" destId="{122E5A01-AD9C-4349-953D-4415BBE87B1E}" srcOrd="0" destOrd="0" presId="urn:microsoft.com/office/officeart/2008/layout/LinedList"/>
    <dgm:cxn modelId="{73006E52-677A-440A-B324-07C6DB351F8B}" type="presParOf" srcId="{2A48C391-45EA-4841-9EA4-D9152C526D67}" destId="{F0CD0B11-C9B4-4081-AA9D-E5333237B7E7}" srcOrd="1" destOrd="0" presId="urn:microsoft.com/office/officeart/2008/layout/LinedList"/>
    <dgm:cxn modelId="{198DC378-1046-4AFF-9497-51B461C0EF2A}" type="presParOf" srcId="{F0CD0B11-C9B4-4081-AA9D-E5333237B7E7}" destId="{579274CB-C3A7-41F8-A31C-BF639CAAA5CE}" srcOrd="0" destOrd="0" presId="urn:microsoft.com/office/officeart/2008/layout/LinedList"/>
    <dgm:cxn modelId="{F977998D-B125-4815-AB9D-F2673ECF65A3}" type="presParOf" srcId="{F0CD0B11-C9B4-4081-AA9D-E5333237B7E7}" destId="{25985F67-BA2B-4324-B762-8275A8AD62B4}" srcOrd="1" destOrd="0" presId="urn:microsoft.com/office/officeart/2008/layout/LinedList"/>
    <dgm:cxn modelId="{D26FB947-79F5-4DD2-A3FB-B0BFB8345CAA}" type="presParOf" srcId="{2A48C391-45EA-4841-9EA4-D9152C526D67}" destId="{20ECAFCB-79AC-488F-B190-9626CD135845}" srcOrd="2" destOrd="0" presId="urn:microsoft.com/office/officeart/2008/layout/LinedList"/>
    <dgm:cxn modelId="{FA988DFD-C12F-4E4D-B3D0-6E1D91020914}" type="presParOf" srcId="{2A48C391-45EA-4841-9EA4-D9152C526D67}" destId="{F7BFC128-B0E8-4892-831A-560DD42ED8BB}" srcOrd="3" destOrd="0" presId="urn:microsoft.com/office/officeart/2008/layout/LinedList"/>
    <dgm:cxn modelId="{E089A6CF-4B0A-4D76-843A-8982E251B330}" type="presParOf" srcId="{F7BFC128-B0E8-4892-831A-560DD42ED8BB}" destId="{3B1B77EA-2D4E-4025-BF98-CCB65F098DE2}" srcOrd="0" destOrd="0" presId="urn:microsoft.com/office/officeart/2008/layout/LinedList"/>
    <dgm:cxn modelId="{4D717F19-C984-4B06-8809-5E89E94DD055}" type="presParOf" srcId="{F7BFC128-B0E8-4892-831A-560DD42ED8BB}" destId="{F610D864-B56A-4C52-8E1F-F7720183EDCA}" srcOrd="1" destOrd="0" presId="urn:microsoft.com/office/officeart/2008/layout/LinedList"/>
    <dgm:cxn modelId="{CD8F4217-A5AE-4179-A862-2F35F50ACAA4}" type="presParOf" srcId="{2A48C391-45EA-4841-9EA4-D9152C526D67}" destId="{64C7A44C-57F0-4F95-8B58-4290C7F41465}" srcOrd="4" destOrd="0" presId="urn:microsoft.com/office/officeart/2008/layout/LinedList"/>
    <dgm:cxn modelId="{05E65EBC-0943-48E2-8039-2405958390DB}" type="presParOf" srcId="{2A48C391-45EA-4841-9EA4-D9152C526D67}" destId="{330D17AB-8058-45F2-B752-585A546B0312}" srcOrd="5" destOrd="0" presId="urn:microsoft.com/office/officeart/2008/layout/LinedList"/>
    <dgm:cxn modelId="{644566F1-D764-4694-AE3E-DD5B925526BD}" type="presParOf" srcId="{330D17AB-8058-45F2-B752-585A546B0312}" destId="{AEC3EC5B-5FED-4521-AFA2-A1A5B712F440}" srcOrd="0" destOrd="0" presId="urn:microsoft.com/office/officeart/2008/layout/LinedList"/>
    <dgm:cxn modelId="{3569A654-3C18-4002-9583-608EF67F0294}" type="presParOf" srcId="{330D17AB-8058-45F2-B752-585A546B0312}" destId="{779BDCA9-4636-4BAC-B7C2-F2CDA45472B0}" srcOrd="1" destOrd="0" presId="urn:microsoft.com/office/officeart/2008/layout/LinedList"/>
    <dgm:cxn modelId="{8E23D125-542C-41DD-89EA-E63F3005C4F0}" type="presParOf" srcId="{2A48C391-45EA-4841-9EA4-D9152C526D67}" destId="{C5053444-C9D6-4858-853D-E7A15A0419F1}" srcOrd="6" destOrd="0" presId="urn:microsoft.com/office/officeart/2008/layout/LinedList"/>
    <dgm:cxn modelId="{1B80EF1C-0FCD-4EC4-A572-46A41E332CB5}" type="presParOf" srcId="{2A48C391-45EA-4841-9EA4-D9152C526D67}" destId="{3A8F9B99-E979-42D0-9F8C-306890E2E938}" srcOrd="7" destOrd="0" presId="urn:microsoft.com/office/officeart/2008/layout/LinedList"/>
    <dgm:cxn modelId="{ADC103C2-0608-4AD0-9163-0787703C555C}" type="presParOf" srcId="{3A8F9B99-E979-42D0-9F8C-306890E2E938}" destId="{EF05AE57-3E4D-4D93-A85E-067D8D7AD7F2}" srcOrd="0" destOrd="0" presId="urn:microsoft.com/office/officeart/2008/layout/LinedList"/>
    <dgm:cxn modelId="{9EFA74AA-50D7-46BD-97E9-E8F412C426D2}" type="presParOf" srcId="{3A8F9B99-E979-42D0-9F8C-306890E2E938}" destId="{BB745CBD-2C8E-4012-8D1C-3CEA1A343660}" srcOrd="1" destOrd="0" presId="urn:microsoft.com/office/officeart/2008/layout/LinedList"/>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E662287-6602-4584-9507-920A1B4993E3}" type="doc">
      <dgm:prSet loTypeId="urn:microsoft.com/office/officeart/2005/8/layout/cycle6" loCatId="relationship" qsTypeId="urn:microsoft.com/office/officeart/2005/8/quickstyle/simple1" qsCatId="simple" csTypeId="urn:microsoft.com/office/officeart/2005/8/colors/colorful4" csCatId="colorful" phldr="1"/>
      <dgm:spPr/>
      <dgm:t>
        <a:bodyPr/>
        <a:lstStyle/>
        <a:p>
          <a:endParaRPr lang="en-US"/>
        </a:p>
      </dgm:t>
    </dgm:pt>
    <dgm:pt modelId="{5B112B20-3E13-4AA1-93C4-8A1A01332537}">
      <dgm:prSet phldrT="[Text]" custT="1"/>
      <dgm:spPr/>
      <dgm:t>
        <a:bodyPr/>
        <a:lstStyle/>
        <a:p>
          <a:r>
            <a:rPr lang="en-US" sz="1100" baseline="0"/>
            <a:t>Define Roles and Responsibilities</a:t>
          </a:r>
        </a:p>
      </dgm:t>
    </dgm:pt>
    <dgm:pt modelId="{9EA23F6D-786D-4D1B-B140-8078DA9AA31B}" type="parTrans" cxnId="{C7609C6A-8346-4574-B2BF-8B172854E08B}">
      <dgm:prSet/>
      <dgm:spPr/>
      <dgm:t>
        <a:bodyPr/>
        <a:lstStyle/>
        <a:p>
          <a:endParaRPr lang="en-US"/>
        </a:p>
      </dgm:t>
    </dgm:pt>
    <dgm:pt modelId="{57D2E51B-E522-4A8F-815F-1B1606035781}" type="sibTrans" cxnId="{C7609C6A-8346-4574-B2BF-8B172854E08B}">
      <dgm:prSet/>
      <dgm:spPr/>
      <dgm:t>
        <a:bodyPr/>
        <a:lstStyle/>
        <a:p>
          <a:endParaRPr lang="en-US"/>
        </a:p>
      </dgm:t>
    </dgm:pt>
    <dgm:pt modelId="{C66335A2-5D97-4F61-8312-CE30D2D559EE}">
      <dgm:prSet phldrT="[Text]" custT="1"/>
      <dgm:spPr/>
      <dgm:t>
        <a:bodyPr/>
        <a:lstStyle/>
        <a:p>
          <a:r>
            <a:rPr lang="en-US" sz="1100" baseline="0"/>
            <a:t> Establish Clear Communication Channels</a:t>
          </a:r>
        </a:p>
      </dgm:t>
    </dgm:pt>
    <dgm:pt modelId="{C76E8588-3142-4BD4-9CEA-0FD809D2F1F2}" type="parTrans" cxnId="{07056AD4-2827-4B12-A5D3-DC4F26AFE30E}">
      <dgm:prSet/>
      <dgm:spPr/>
      <dgm:t>
        <a:bodyPr/>
        <a:lstStyle/>
        <a:p>
          <a:endParaRPr lang="en-US"/>
        </a:p>
      </dgm:t>
    </dgm:pt>
    <dgm:pt modelId="{A540743A-E948-4040-BEA2-DFB2463EE98C}" type="sibTrans" cxnId="{07056AD4-2827-4B12-A5D3-DC4F26AFE30E}">
      <dgm:prSet/>
      <dgm:spPr/>
      <dgm:t>
        <a:bodyPr/>
        <a:lstStyle/>
        <a:p>
          <a:endParaRPr lang="en-US"/>
        </a:p>
      </dgm:t>
    </dgm:pt>
    <dgm:pt modelId="{09AE1AC9-B82B-40DC-B6E8-BEA92C59901A}">
      <dgm:prSet phldrT="[Text]" custT="1"/>
      <dgm:spPr/>
      <dgm:t>
        <a:bodyPr/>
        <a:lstStyle/>
        <a:p>
          <a:r>
            <a:rPr lang="en-US" sz="1100" baseline="0"/>
            <a:t>Define Touchpoints and Handoffs</a:t>
          </a:r>
        </a:p>
      </dgm:t>
    </dgm:pt>
    <dgm:pt modelId="{A08BE0B2-E443-47F2-8801-E7B832A26CFE}" type="parTrans" cxnId="{8AD75304-7715-4B75-8704-F789D7137AD7}">
      <dgm:prSet/>
      <dgm:spPr/>
      <dgm:t>
        <a:bodyPr/>
        <a:lstStyle/>
        <a:p>
          <a:endParaRPr lang="en-US"/>
        </a:p>
      </dgm:t>
    </dgm:pt>
    <dgm:pt modelId="{51443E9F-F785-405C-A3EC-F5BA2D164BC2}" type="sibTrans" cxnId="{8AD75304-7715-4B75-8704-F789D7137AD7}">
      <dgm:prSet/>
      <dgm:spPr/>
      <dgm:t>
        <a:bodyPr/>
        <a:lstStyle/>
        <a:p>
          <a:endParaRPr lang="en-US"/>
        </a:p>
      </dgm:t>
    </dgm:pt>
    <dgm:pt modelId="{DC0620C7-FFBD-492D-9CE6-28A132B5B960}">
      <dgm:prSet phldrT="[Text]" custT="1"/>
      <dgm:spPr/>
      <dgm:t>
        <a:bodyPr/>
        <a:lstStyle/>
        <a:p>
          <a:r>
            <a:rPr lang="en-US" sz="1100" baseline="0"/>
            <a:t>Define Governance and Escalation Procedures</a:t>
          </a:r>
        </a:p>
      </dgm:t>
    </dgm:pt>
    <dgm:pt modelId="{31786CA7-D44A-4197-AB02-ADD9ACC0A2AF}" type="parTrans" cxnId="{96422502-37D8-4381-B5CC-E64B6002134C}">
      <dgm:prSet/>
      <dgm:spPr/>
      <dgm:t>
        <a:bodyPr/>
        <a:lstStyle/>
        <a:p>
          <a:endParaRPr lang="en-US"/>
        </a:p>
      </dgm:t>
    </dgm:pt>
    <dgm:pt modelId="{9BB80933-5596-4188-B650-725AA5662BA5}" type="sibTrans" cxnId="{96422502-37D8-4381-B5CC-E64B6002134C}">
      <dgm:prSet/>
      <dgm:spPr/>
      <dgm:t>
        <a:bodyPr/>
        <a:lstStyle/>
        <a:p>
          <a:endParaRPr lang="en-US"/>
        </a:p>
      </dgm:t>
    </dgm:pt>
    <dgm:pt modelId="{67CCB344-ACDE-4865-808C-2E724DE4F036}">
      <dgm:prSet phldrT="[Text]" custT="1"/>
      <dgm:spPr/>
      <dgm:t>
        <a:bodyPr/>
        <a:lstStyle/>
        <a:p>
          <a:r>
            <a:rPr lang="en-US" sz="1100" baseline="0"/>
            <a:t>Standardize Processes When Applicable</a:t>
          </a:r>
        </a:p>
      </dgm:t>
    </dgm:pt>
    <dgm:pt modelId="{D4DD58F9-BA74-44AB-A7CE-A74FE6325602}" type="parTrans" cxnId="{C5C00D61-AA7C-4C41-9EC3-CF0575B962E5}">
      <dgm:prSet/>
      <dgm:spPr/>
      <dgm:t>
        <a:bodyPr/>
        <a:lstStyle/>
        <a:p>
          <a:endParaRPr lang="en-US"/>
        </a:p>
      </dgm:t>
    </dgm:pt>
    <dgm:pt modelId="{505A1A02-DECC-4CD5-9255-FE292838EB29}" type="sibTrans" cxnId="{C5C00D61-AA7C-4C41-9EC3-CF0575B962E5}">
      <dgm:prSet/>
      <dgm:spPr/>
      <dgm:t>
        <a:bodyPr/>
        <a:lstStyle/>
        <a:p>
          <a:endParaRPr lang="en-US"/>
        </a:p>
      </dgm:t>
    </dgm:pt>
    <dgm:pt modelId="{654CCCFE-413F-4BE7-BA49-A233DADAE6E2}">
      <dgm:prSet phldrT="[Text]" custT="1"/>
      <dgm:spPr/>
      <dgm:t>
        <a:bodyPr/>
        <a:lstStyle/>
        <a:p>
          <a:r>
            <a:rPr lang="en-US" sz="1100" baseline="0"/>
            <a:t>Build Solid Relationships</a:t>
          </a:r>
        </a:p>
      </dgm:t>
    </dgm:pt>
    <dgm:pt modelId="{550FBD64-1DBF-4EA7-8FB7-AA43B860856C}" type="parTrans" cxnId="{9E02ADE1-656F-4B3B-B5CE-0088B2F90A6E}">
      <dgm:prSet/>
      <dgm:spPr/>
      <dgm:t>
        <a:bodyPr/>
        <a:lstStyle/>
        <a:p>
          <a:endParaRPr lang="en-US"/>
        </a:p>
      </dgm:t>
    </dgm:pt>
    <dgm:pt modelId="{351FF367-F152-4D4B-A39B-23FECF96E86B}" type="sibTrans" cxnId="{9E02ADE1-656F-4B3B-B5CE-0088B2F90A6E}">
      <dgm:prSet/>
      <dgm:spPr/>
      <dgm:t>
        <a:bodyPr/>
        <a:lstStyle/>
        <a:p>
          <a:endParaRPr lang="en-US"/>
        </a:p>
      </dgm:t>
    </dgm:pt>
    <dgm:pt modelId="{15AE67FC-BAAE-4A46-90BA-C44FD02A66EE}" type="pres">
      <dgm:prSet presAssocID="{EE662287-6602-4584-9507-920A1B4993E3}" presName="cycle" presStyleCnt="0">
        <dgm:presLayoutVars>
          <dgm:dir/>
          <dgm:resizeHandles val="exact"/>
        </dgm:presLayoutVars>
      </dgm:prSet>
      <dgm:spPr/>
    </dgm:pt>
    <dgm:pt modelId="{A74F2236-E6E9-48D7-B9D8-8F9280B17026}" type="pres">
      <dgm:prSet presAssocID="{5B112B20-3E13-4AA1-93C4-8A1A01332537}" presName="node" presStyleLbl="node1" presStyleIdx="0" presStyleCnt="6">
        <dgm:presLayoutVars>
          <dgm:bulletEnabled val="1"/>
        </dgm:presLayoutVars>
      </dgm:prSet>
      <dgm:spPr/>
    </dgm:pt>
    <dgm:pt modelId="{492AE974-C9C9-4606-9A1B-F409CC5DDE96}" type="pres">
      <dgm:prSet presAssocID="{5B112B20-3E13-4AA1-93C4-8A1A01332537}" presName="spNode" presStyleCnt="0"/>
      <dgm:spPr/>
    </dgm:pt>
    <dgm:pt modelId="{D658EFBF-8831-4CB9-8ADF-02C198948E7F}" type="pres">
      <dgm:prSet presAssocID="{57D2E51B-E522-4A8F-815F-1B1606035781}" presName="sibTrans" presStyleLbl="sibTrans1D1" presStyleIdx="0" presStyleCnt="6"/>
      <dgm:spPr/>
    </dgm:pt>
    <dgm:pt modelId="{2EDA4303-6148-4331-98FA-DDED7A9A36A4}" type="pres">
      <dgm:prSet presAssocID="{C66335A2-5D97-4F61-8312-CE30D2D559EE}" presName="node" presStyleLbl="node1" presStyleIdx="1" presStyleCnt="6">
        <dgm:presLayoutVars>
          <dgm:bulletEnabled val="1"/>
        </dgm:presLayoutVars>
      </dgm:prSet>
      <dgm:spPr/>
    </dgm:pt>
    <dgm:pt modelId="{FBFE451B-1A0C-4022-9AC5-A04DF81F7A93}" type="pres">
      <dgm:prSet presAssocID="{C66335A2-5D97-4F61-8312-CE30D2D559EE}" presName="spNode" presStyleCnt="0"/>
      <dgm:spPr/>
    </dgm:pt>
    <dgm:pt modelId="{3BB1A883-6E56-4940-ABC5-1C5C644D4E79}" type="pres">
      <dgm:prSet presAssocID="{A540743A-E948-4040-BEA2-DFB2463EE98C}" presName="sibTrans" presStyleLbl="sibTrans1D1" presStyleIdx="1" presStyleCnt="6"/>
      <dgm:spPr/>
    </dgm:pt>
    <dgm:pt modelId="{AAEFA79F-45EF-4F09-92CB-BDC409426762}" type="pres">
      <dgm:prSet presAssocID="{09AE1AC9-B82B-40DC-B6E8-BEA92C59901A}" presName="node" presStyleLbl="node1" presStyleIdx="2" presStyleCnt="6">
        <dgm:presLayoutVars>
          <dgm:bulletEnabled val="1"/>
        </dgm:presLayoutVars>
      </dgm:prSet>
      <dgm:spPr/>
    </dgm:pt>
    <dgm:pt modelId="{E3775EA4-6A1D-4D5D-86F4-FD807D2B6B40}" type="pres">
      <dgm:prSet presAssocID="{09AE1AC9-B82B-40DC-B6E8-BEA92C59901A}" presName="spNode" presStyleCnt="0"/>
      <dgm:spPr/>
    </dgm:pt>
    <dgm:pt modelId="{C3B2C824-0324-4FB3-A1D0-4A39AD3F57FC}" type="pres">
      <dgm:prSet presAssocID="{51443E9F-F785-405C-A3EC-F5BA2D164BC2}" presName="sibTrans" presStyleLbl="sibTrans1D1" presStyleIdx="2" presStyleCnt="6"/>
      <dgm:spPr/>
    </dgm:pt>
    <dgm:pt modelId="{2341D94F-40B8-402D-90F2-A013EC580339}" type="pres">
      <dgm:prSet presAssocID="{DC0620C7-FFBD-492D-9CE6-28A132B5B960}" presName="node" presStyleLbl="node1" presStyleIdx="3" presStyleCnt="6">
        <dgm:presLayoutVars>
          <dgm:bulletEnabled val="1"/>
        </dgm:presLayoutVars>
      </dgm:prSet>
      <dgm:spPr/>
    </dgm:pt>
    <dgm:pt modelId="{774AA556-AEA9-4564-BA63-43AB4B1495DD}" type="pres">
      <dgm:prSet presAssocID="{DC0620C7-FFBD-492D-9CE6-28A132B5B960}" presName="spNode" presStyleCnt="0"/>
      <dgm:spPr/>
    </dgm:pt>
    <dgm:pt modelId="{2E1E96D3-7B97-428C-9599-E4515D4557CB}" type="pres">
      <dgm:prSet presAssocID="{9BB80933-5596-4188-B650-725AA5662BA5}" presName="sibTrans" presStyleLbl="sibTrans1D1" presStyleIdx="3" presStyleCnt="6"/>
      <dgm:spPr/>
    </dgm:pt>
    <dgm:pt modelId="{4C6D1134-EB72-4CA9-9543-8BBE4F5EBF6A}" type="pres">
      <dgm:prSet presAssocID="{67CCB344-ACDE-4865-808C-2E724DE4F036}" presName="node" presStyleLbl="node1" presStyleIdx="4" presStyleCnt="6">
        <dgm:presLayoutVars>
          <dgm:bulletEnabled val="1"/>
        </dgm:presLayoutVars>
      </dgm:prSet>
      <dgm:spPr/>
    </dgm:pt>
    <dgm:pt modelId="{2329FE85-59E1-4F41-8EE6-E37143204619}" type="pres">
      <dgm:prSet presAssocID="{67CCB344-ACDE-4865-808C-2E724DE4F036}" presName="spNode" presStyleCnt="0"/>
      <dgm:spPr/>
    </dgm:pt>
    <dgm:pt modelId="{9EF03A94-B3F8-48A4-90D6-A69EE80D84BD}" type="pres">
      <dgm:prSet presAssocID="{505A1A02-DECC-4CD5-9255-FE292838EB29}" presName="sibTrans" presStyleLbl="sibTrans1D1" presStyleIdx="4" presStyleCnt="6"/>
      <dgm:spPr/>
    </dgm:pt>
    <dgm:pt modelId="{7413DDAA-E323-4E3F-92AB-69FC5FF4C9FD}" type="pres">
      <dgm:prSet presAssocID="{654CCCFE-413F-4BE7-BA49-A233DADAE6E2}" presName="node" presStyleLbl="node1" presStyleIdx="5" presStyleCnt="6">
        <dgm:presLayoutVars>
          <dgm:bulletEnabled val="1"/>
        </dgm:presLayoutVars>
      </dgm:prSet>
      <dgm:spPr/>
    </dgm:pt>
    <dgm:pt modelId="{6EB4EDD8-07ED-4A43-BCE7-BEA7A6541BF1}" type="pres">
      <dgm:prSet presAssocID="{654CCCFE-413F-4BE7-BA49-A233DADAE6E2}" presName="spNode" presStyleCnt="0"/>
      <dgm:spPr/>
    </dgm:pt>
    <dgm:pt modelId="{5A1CDC3B-8B80-41B7-8EBE-F3534E3FE1FA}" type="pres">
      <dgm:prSet presAssocID="{351FF367-F152-4D4B-A39B-23FECF96E86B}" presName="sibTrans" presStyleLbl="sibTrans1D1" presStyleIdx="5" presStyleCnt="6"/>
      <dgm:spPr/>
    </dgm:pt>
  </dgm:ptLst>
  <dgm:cxnLst>
    <dgm:cxn modelId="{96422502-37D8-4381-B5CC-E64B6002134C}" srcId="{EE662287-6602-4584-9507-920A1B4993E3}" destId="{DC0620C7-FFBD-492D-9CE6-28A132B5B960}" srcOrd="3" destOrd="0" parTransId="{31786CA7-D44A-4197-AB02-ADD9ACC0A2AF}" sibTransId="{9BB80933-5596-4188-B650-725AA5662BA5}"/>
    <dgm:cxn modelId="{8AD75304-7715-4B75-8704-F789D7137AD7}" srcId="{EE662287-6602-4584-9507-920A1B4993E3}" destId="{09AE1AC9-B82B-40DC-B6E8-BEA92C59901A}" srcOrd="2" destOrd="0" parTransId="{A08BE0B2-E443-47F2-8801-E7B832A26CFE}" sibTransId="{51443E9F-F785-405C-A3EC-F5BA2D164BC2}"/>
    <dgm:cxn modelId="{3BD2E22C-CE11-4127-8AA5-93B2CB65E591}" type="presOf" srcId="{57D2E51B-E522-4A8F-815F-1B1606035781}" destId="{D658EFBF-8831-4CB9-8ADF-02C198948E7F}" srcOrd="0" destOrd="0" presId="urn:microsoft.com/office/officeart/2005/8/layout/cycle6"/>
    <dgm:cxn modelId="{C0DF0461-D7DD-4E87-809D-C4E98156D857}" type="presOf" srcId="{EE662287-6602-4584-9507-920A1B4993E3}" destId="{15AE67FC-BAAE-4A46-90BA-C44FD02A66EE}" srcOrd="0" destOrd="0" presId="urn:microsoft.com/office/officeart/2005/8/layout/cycle6"/>
    <dgm:cxn modelId="{C5C00D61-AA7C-4C41-9EC3-CF0575B962E5}" srcId="{EE662287-6602-4584-9507-920A1B4993E3}" destId="{67CCB344-ACDE-4865-808C-2E724DE4F036}" srcOrd="4" destOrd="0" parTransId="{D4DD58F9-BA74-44AB-A7CE-A74FE6325602}" sibTransId="{505A1A02-DECC-4CD5-9255-FE292838EB29}"/>
    <dgm:cxn modelId="{53D56141-7EDF-41AF-B02F-1BD27539B5C0}" type="presOf" srcId="{A540743A-E948-4040-BEA2-DFB2463EE98C}" destId="{3BB1A883-6E56-4940-ABC5-1C5C644D4E79}" srcOrd="0" destOrd="0" presId="urn:microsoft.com/office/officeart/2005/8/layout/cycle6"/>
    <dgm:cxn modelId="{5EE2B941-766C-4A49-AB7D-6FF81D7056E8}" type="presOf" srcId="{67CCB344-ACDE-4865-808C-2E724DE4F036}" destId="{4C6D1134-EB72-4CA9-9543-8BBE4F5EBF6A}" srcOrd="0" destOrd="0" presId="urn:microsoft.com/office/officeart/2005/8/layout/cycle6"/>
    <dgm:cxn modelId="{3B615363-571C-4FC5-B885-41306A1FA43A}" type="presOf" srcId="{5B112B20-3E13-4AA1-93C4-8A1A01332537}" destId="{A74F2236-E6E9-48D7-B9D8-8F9280B17026}" srcOrd="0" destOrd="0" presId="urn:microsoft.com/office/officeart/2005/8/layout/cycle6"/>
    <dgm:cxn modelId="{C7609C6A-8346-4574-B2BF-8B172854E08B}" srcId="{EE662287-6602-4584-9507-920A1B4993E3}" destId="{5B112B20-3E13-4AA1-93C4-8A1A01332537}" srcOrd="0" destOrd="0" parTransId="{9EA23F6D-786D-4D1B-B140-8078DA9AA31B}" sibTransId="{57D2E51B-E522-4A8F-815F-1B1606035781}"/>
    <dgm:cxn modelId="{830E728F-1A30-4A34-891E-956D4A84F9DD}" type="presOf" srcId="{9BB80933-5596-4188-B650-725AA5662BA5}" destId="{2E1E96D3-7B97-428C-9599-E4515D4557CB}" srcOrd="0" destOrd="0" presId="urn:microsoft.com/office/officeart/2005/8/layout/cycle6"/>
    <dgm:cxn modelId="{E54CEF9B-B38C-421B-88BE-98CFE07700A8}" type="presOf" srcId="{09AE1AC9-B82B-40DC-B6E8-BEA92C59901A}" destId="{AAEFA79F-45EF-4F09-92CB-BDC409426762}" srcOrd="0" destOrd="0" presId="urn:microsoft.com/office/officeart/2005/8/layout/cycle6"/>
    <dgm:cxn modelId="{3F70EA9F-D819-4164-A1DB-E2025DB4715D}" type="presOf" srcId="{DC0620C7-FFBD-492D-9CE6-28A132B5B960}" destId="{2341D94F-40B8-402D-90F2-A013EC580339}" srcOrd="0" destOrd="0" presId="urn:microsoft.com/office/officeart/2005/8/layout/cycle6"/>
    <dgm:cxn modelId="{5374BEB0-CF6C-4458-88E2-4C68586F3CC0}" type="presOf" srcId="{654CCCFE-413F-4BE7-BA49-A233DADAE6E2}" destId="{7413DDAA-E323-4E3F-92AB-69FC5FF4C9FD}" srcOrd="0" destOrd="0" presId="urn:microsoft.com/office/officeart/2005/8/layout/cycle6"/>
    <dgm:cxn modelId="{25E7BBD1-4D64-40A0-AA21-B4645F0293DE}" type="presOf" srcId="{51443E9F-F785-405C-A3EC-F5BA2D164BC2}" destId="{C3B2C824-0324-4FB3-A1D0-4A39AD3F57FC}" srcOrd="0" destOrd="0" presId="urn:microsoft.com/office/officeart/2005/8/layout/cycle6"/>
    <dgm:cxn modelId="{07056AD4-2827-4B12-A5D3-DC4F26AFE30E}" srcId="{EE662287-6602-4584-9507-920A1B4993E3}" destId="{C66335A2-5D97-4F61-8312-CE30D2D559EE}" srcOrd="1" destOrd="0" parTransId="{C76E8588-3142-4BD4-9CEA-0FD809D2F1F2}" sibTransId="{A540743A-E948-4040-BEA2-DFB2463EE98C}"/>
    <dgm:cxn modelId="{131326E1-AFFB-40BB-A85F-4E58F3EEFAA4}" type="presOf" srcId="{351FF367-F152-4D4B-A39B-23FECF96E86B}" destId="{5A1CDC3B-8B80-41B7-8EBE-F3534E3FE1FA}" srcOrd="0" destOrd="0" presId="urn:microsoft.com/office/officeart/2005/8/layout/cycle6"/>
    <dgm:cxn modelId="{9E02ADE1-656F-4B3B-B5CE-0088B2F90A6E}" srcId="{EE662287-6602-4584-9507-920A1B4993E3}" destId="{654CCCFE-413F-4BE7-BA49-A233DADAE6E2}" srcOrd="5" destOrd="0" parTransId="{550FBD64-1DBF-4EA7-8FB7-AA43B860856C}" sibTransId="{351FF367-F152-4D4B-A39B-23FECF96E86B}"/>
    <dgm:cxn modelId="{5E5B65F5-6203-43DE-A500-113ED32416DC}" type="presOf" srcId="{C66335A2-5D97-4F61-8312-CE30D2D559EE}" destId="{2EDA4303-6148-4331-98FA-DDED7A9A36A4}" srcOrd="0" destOrd="0" presId="urn:microsoft.com/office/officeart/2005/8/layout/cycle6"/>
    <dgm:cxn modelId="{C67F40F9-459B-4392-B614-1745CD5DA4D2}" type="presOf" srcId="{505A1A02-DECC-4CD5-9255-FE292838EB29}" destId="{9EF03A94-B3F8-48A4-90D6-A69EE80D84BD}" srcOrd="0" destOrd="0" presId="urn:microsoft.com/office/officeart/2005/8/layout/cycle6"/>
    <dgm:cxn modelId="{0CF5CCC4-3ACA-44ED-B67D-02B48BAF13C9}" type="presParOf" srcId="{15AE67FC-BAAE-4A46-90BA-C44FD02A66EE}" destId="{A74F2236-E6E9-48D7-B9D8-8F9280B17026}" srcOrd="0" destOrd="0" presId="urn:microsoft.com/office/officeart/2005/8/layout/cycle6"/>
    <dgm:cxn modelId="{AF8EC3FE-033B-460C-B915-D642BD102C38}" type="presParOf" srcId="{15AE67FC-BAAE-4A46-90BA-C44FD02A66EE}" destId="{492AE974-C9C9-4606-9A1B-F409CC5DDE96}" srcOrd="1" destOrd="0" presId="urn:microsoft.com/office/officeart/2005/8/layout/cycle6"/>
    <dgm:cxn modelId="{47F9B399-FE41-4622-AF79-26A9A1D00902}" type="presParOf" srcId="{15AE67FC-BAAE-4A46-90BA-C44FD02A66EE}" destId="{D658EFBF-8831-4CB9-8ADF-02C198948E7F}" srcOrd="2" destOrd="0" presId="urn:microsoft.com/office/officeart/2005/8/layout/cycle6"/>
    <dgm:cxn modelId="{6190F6C2-8920-4046-B90E-DEF1BCDA9152}" type="presParOf" srcId="{15AE67FC-BAAE-4A46-90BA-C44FD02A66EE}" destId="{2EDA4303-6148-4331-98FA-DDED7A9A36A4}" srcOrd="3" destOrd="0" presId="urn:microsoft.com/office/officeart/2005/8/layout/cycle6"/>
    <dgm:cxn modelId="{81D632A5-776D-4202-A977-919D4D75CBE2}" type="presParOf" srcId="{15AE67FC-BAAE-4A46-90BA-C44FD02A66EE}" destId="{FBFE451B-1A0C-4022-9AC5-A04DF81F7A93}" srcOrd="4" destOrd="0" presId="urn:microsoft.com/office/officeart/2005/8/layout/cycle6"/>
    <dgm:cxn modelId="{028061DC-AE1D-4792-A1DD-5C804E35AC4A}" type="presParOf" srcId="{15AE67FC-BAAE-4A46-90BA-C44FD02A66EE}" destId="{3BB1A883-6E56-4940-ABC5-1C5C644D4E79}" srcOrd="5" destOrd="0" presId="urn:microsoft.com/office/officeart/2005/8/layout/cycle6"/>
    <dgm:cxn modelId="{A95BF858-492F-4A69-935E-E6CB113FFE40}" type="presParOf" srcId="{15AE67FC-BAAE-4A46-90BA-C44FD02A66EE}" destId="{AAEFA79F-45EF-4F09-92CB-BDC409426762}" srcOrd="6" destOrd="0" presId="urn:microsoft.com/office/officeart/2005/8/layout/cycle6"/>
    <dgm:cxn modelId="{FBD01DCA-62F7-4978-8BB7-B0A853D5EFCC}" type="presParOf" srcId="{15AE67FC-BAAE-4A46-90BA-C44FD02A66EE}" destId="{E3775EA4-6A1D-4D5D-86F4-FD807D2B6B40}" srcOrd="7" destOrd="0" presId="urn:microsoft.com/office/officeart/2005/8/layout/cycle6"/>
    <dgm:cxn modelId="{9EBDAA95-4524-4437-8E0A-23E6F66AEB0A}" type="presParOf" srcId="{15AE67FC-BAAE-4A46-90BA-C44FD02A66EE}" destId="{C3B2C824-0324-4FB3-A1D0-4A39AD3F57FC}" srcOrd="8" destOrd="0" presId="urn:microsoft.com/office/officeart/2005/8/layout/cycle6"/>
    <dgm:cxn modelId="{6140A6C9-56DD-498C-A8B5-8134AD82C42B}" type="presParOf" srcId="{15AE67FC-BAAE-4A46-90BA-C44FD02A66EE}" destId="{2341D94F-40B8-402D-90F2-A013EC580339}" srcOrd="9" destOrd="0" presId="urn:microsoft.com/office/officeart/2005/8/layout/cycle6"/>
    <dgm:cxn modelId="{784CB8F9-0BB9-455D-BCCA-EE0688F5B81D}" type="presParOf" srcId="{15AE67FC-BAAE-4A46-90BA-C44FD02A66EE}" destId="{774AA556-AEA9-4564-BA63-43AB4B1495DD}" srcOrd="10" destOrd="0" presId="urn:microsoft.com/office/officeart/2005/8/layout/cycle6"/>
    <dgm:cxn modelId="{9C603DE2-A5EC-42A5-AD14-293891A4B17E}" type="presParOf" srcId="{15AE67FC-BAAE-4A46-90BA-C44FD02A66EE}" destId="{2E1E96D3-7B97-428C-9599-E4515D4557CB}" srcOrd="11" destOrd="0" presId="urn:microsoft.com/office/officeart/2005/8/layout/cycle6"/>
    <dgm:cxn modelId="{CD239C58-8CFD-4616-A63D-5EF098F018BA}" type="presParOf" srcId="{15AE67FC-BAAE-4A46-90BA-C44FD02A66EE}" destId="{4C6D1134-EB72-4CA9-9543-8BBE4F5EBF6A}" srcOrd="12" destOrd="0" presId="urn:microsoft.com/office/officeart/2005/8/layout/cycle6"/>
    <dgm:cxn modelId="{1153C40D-DA35-41A9-89BA-0CD591D53AD1}" type="presParOf" srcId="{15AE67FC-BAAE-4A46-90BA-C44FD02A66EE}" destId="{2329FE85-59E1-4F41-8EE6-E37143204619}" srcOrd="13" destOrd="0" presId="urn:microsoft.com/office/officeart/2005/8/layout/cycle6"/>
    <dgm:cxn modelId="{83CC2311-3175-42E2-8DF9-2E70A2268830}" type="presParOf" srcId="{15AE67FC-BAAE-4A46-90BA-C44FD02A66EE}" destId="{9EF03A94-B3F8-48A4-90D6-A69EE80D84BD}" srcOrd="14" destOrd="0" presId="urn:microsoft.com/office/officeart/2005/8/layout/cycle6"/>
    <dgm:cxn modelId="{2C584ADD-A9C9-4381-99FA-BACA4A9B5F43}" type="presParOf" srcId="{15AE67FC-BAAE-4A46-90BA-C44FD02A66EE}" destId="{7413DDAA-E323-4E3F-92AB-69FC5FF4C9FD}" srcOrd="15" destOrd="0" presId="urn:microsoft.com/office/officeart/2005/8/layout/cycle6"/>
    <dgm:cxn modelId="{229F585C-904A-4DF3-8012-2A6D16EA4147}" type="presParOf" srcId="{15AE67FC-BAAE-4A46-90BA-C44FD02A66EE}" destId="{6EB4EDD8-07ED-4A43-BCE7-BEA7A6541BF1}" srcOrd="16" destOrd="0" presId="urn:microsoft.com/office/officeart/2005/8/layout/cycle6"/>
    <dgm:cxn modelId="{ED90CAE8-0C0B-4684-AC71-77D16629EC14}" type="presParOf" srcId="{15AE67FC-BAAE-4A46-90BA-C44FD02A66EE}" destId="{5A1CDC3B-8B80-41B7-8EBE-F3534E3FE1FA}" srcOrd="17" destOrd="0" presId="urn:microsoft.com/office/officeart/2005/8/layout/cycle6"/>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731ED42-8B15-4057-A0D8-8E60EBAA87E6}" type="doc">
      <dgm:prSet loTypeId="urn:diagrams.loki3.com/BracketList" loCatId="list" qsTypeId="urn:microsoft.com/office/officeart/2005/8/quickstyle/simple1" qsCatId="simple" csTypeId="urn:microsoft.com/office/officeart/2005/8/colors/colorful4" csCatId="colorful" phldr="1"/>
      <dgm:spPr/>
      <dgm:t>
        <a:bodyPr/>
        <a:lstStyle/>
        <a:p>
          <a:endParaRPr lang="en-US"/>
        </a:p>
      </dgm:t>
    </dgm:pt>
    <dgm:pt modelId="{4F787EAC-50A2-479D-A3BD-EC47469FD0EC}">
      <dgm:prSet phldrT="[Text]" custT="1"/>
      <dgm:spPr/>
      <dgm:t>
        <a:bodyPr/>
        <a:lstStyle/>
        <a:p>
          <a:r>
            <a:rPr lang="en-US" sz="1050" dirty="0">
              <a:latin typeface="Century Gothic" panose="020B0502020202020204" pitchFamily="34" charset="0"/>
            </a:rPr>
            <a:t>Participate in the creation and execution of plans and processes to govern multiple contractors</a:t>
          </a:r>
          <a:endParaRPr lang="en-US" sz="1050">
            <a:latin typeface="Century Gothic" panose="020B0502020202020204" pitchFamily="34" charset="0"/>
          </a:endParaRPr>
        </a:p>
      </dgm:t>
    </dgm:pt>
    <dgm:pt modelId="{CD6DBDAE-1F54-4E68-B72C-FC1D456BC395}" type="parTrans" cxnId="{671F835A-E4D7-48C3-B77F-E3B7C276459C}">
      <dgm:prSet/>
      <dgm:spPr/>
      <dgm:t>
        <a:bodyPr/>
        <a:lstStyle/>
        <a:p>
          <a:endParaRPr lang="en-US">
            <a:latin typeface="Century Gothic" panose="020B0502020202020204" pitchFamily="34" charset="0"/>
          </a:endParaRPr>
        </a:p>
      </dgm:t>
    </dgm:pt>
    <dgm:pt modelId="{3A01C108-5C8B-4A30-899F-B44636F850F9}" type="sibTrans" cxnId="{671F835A-E4D7-48C3-B77F-E3B7C276459C}">
      <dgm:prSet/>
      <dgm:spPr/>
      <dgm:t>
        <a:bodyPr/>
        <a:lstStyle/>
        <a:p>
          <a:endParaRPr lang="en-US">
            <a:latin typeface="Century Gothic" panose="020B0502020202020204" pitchFamily="34" charset="0"/>
          </a:endParaRPr>
        </a:p>
      </dgm:t>
    </dgm:pt>
    <dgm:pt modelId="{2BCF372C-4769-4C27-9035-295E338CBFC5}">
      <dgm:prSet phldrT="[Text]" custT="1"/>
      <dgm:spPr/>
      <dgm:t>
        <a:bodyPr/>
        <a:lstStyle/>
        <a:p>
          <a:pPr>
            <a:spcAft>
              <a:spcPts val="300"/>
            </a:spcAft>
            <a:buClr>
              <a:schemeClr val="bg1"/>
            </a:buClr>
          </a:pPr>
          <a:r>
            <a:rPr lang="en-US" sz="1050" baseline="0" dirty="0">
              <a:latin typeface="Century Gothic" panose="020B0502020202020204" pitchFamily="34" charset="0"/>
            </a:rPr>
            <a:t>Partner on creation of a charter for the Delivery Integration Office (DIO)</a:t>
          </a:r>
          <a:endParaRPr lang="en-US" sz="1050" baseline="0">
            <a:latin typeface="Century Gothic" panose="020B0502020202020204" pitchFamily="34" charset="0"/>
          </a:endParaRPr>
        </a:p>
      </dgm:t>
    </dgm:pt>
    <dgm:pt modelId="{1F3B52E8-BCB9-4D0B-BCFE-492E0A2A4DCF}" type="parTrans" cxnId="{9B01FFD1-EB5C-4884-9F3E-5735D31B0DBF}">
      <dgm:prSet/>
      <dgm:spPr/>
      <dgm:t>
        <a:bodyPr/>
        <a:lstStyle/>
        <a:p>
          <a:endParaRPr lang="en-US">
            <a:latin typeface="Century Gothic" panose="020B0502020202020204" pitchFamily="34" charset="0"/>
          </a:endParaRPr>
        </a:p>
      </dgm:t>
    </dgm:pt>
    <dgm:pt modelId="{F18742F6-A744-4803-B7B2-4ADCC76B9748}" type="sibTrans" cxnId="{9B01FFD1-EB5C-4884-9F3E-5735D31B0DBF}">
      <dgm:prSet/>
      <dgm:spPr/>
      <dgm:t>
        <a:bodyPr/>
        <a:lstStyle/>
        <a:p>
          <a:endParaRPr lang="en-US">
            <a:latin typeface="Century Gothic" panose="020B0502020202020204" pitchFamily="34" charset="0"/>
          </a:endParaRPr>
        </a:p>
      </dgm:t>
    </dgm:pt>
    <dgm:pt modelId="{353DE9CF-62D0-483B-B384-C2618416E22A}">
      <dgm:prSet phldrT="[Text]" custT="1"/>
      <dgm:spPr/>
      <dgm:t>
        <a:bodyPr/>
        <a:lstStyle/>
        <a:p>
          <a:pPr>
            <a:buNone/>
          </a:pPr>
          <a:r>
            <a:rPr lang="en-US" sz="1050" dirty="0">
              <a:latin typeface="Century Gothic" panose="020B0502020202020204" pitchFamily="34" charset="0"/>
            </a:rPr>
            <a:t>Monitor effectiveness of contractor interactions</a:t>
          </a:r>
          <a:endParaRPr lang="en-US" sz="1050">
            <a:latin typeface="Century Gothic" panose="020B0502020202020204" pitchFamily="34" charset="0"/>
          </a:endParaRPr>
        </a:p>
      </dgm:t>
    </dgm:pt>
    <dgm:pt modelId="{A337C0D0-F15C-408B-8A3F-FE9FF70DC9AE}" type="parTrans" cxnId="{2ECB246B-13B4-4A99-9413-0CBF43BDAD6C}">
      <dgm:prSet/>
      <dgm:spPr/>
      <dgm:t>
        <a:bodyPr/>
        <a:lstStyle/>
        <a:p>
          <a:endParaRPr lang="en-US">
            <a:latin typeface="Century Gothic" panose="020B0502020202020204" pitchFamily="34" charset="0"/>
          </a:endParaRPr>
        </a:p>
      </dgm:t>
    </dgm:pt>
    <dgm:pt modelId="{63DF404E-D246-4368-9C86-088D48435301}" type="sibTrans" cxnId="{2ECB246B-13B4-4A99-9413-0CBF43BDAD6C}">
      <dgm:prSet/>
      <dgm:spPr/>
      <dgm:t>
        <a:bodyPr/>
        <a:lstStyle/>
        <a:p>
          <a:endParaRPr lang="en-US">
            <a:latin typeface="Century Gothic" panose="020B0502020202020204" pitchFamily="34" charset="0"/>
          </a:endParaRPr>
        </a:p>
      </dgm:t>
    </dgm:pt>
    <dgm:pt modelId="{6CFA686B-F1F3-4165-A35D-57084C290132}">
      <dgm:prSet phldrT="[Text]" custT="1"/>
      <dgm:spPr/>
      <dgm:t>
        <a:bodyPr/>
        <a:lstStyle/>
        <a:p>
          <a:pPr>
            <a:buNone/>
          </a:pPr>
          <a:r>
            <a:rPr lang="en-US" sz="1050" dirty="0">
              <a:latin typeface="Century Gothic" panose="020B0502020202020204" pitchFamily="34" charset="0"/>
            </a:rPr>
            <a:t>Monitor and clarify lines of delineation between and among contractors</a:t>
          </a:r>
          <a:endParaRPr lang="en-US" sz="1050">
            <a:latin typeface="Century Gothic" panose="020B0502020202020204" pitchFamily="34" charset="0"/>
          </a:endParaRPr>
        </a:p>
      </dgm:t>
    </dgm:pt>
    <dgm:pt modelId="{F1169EEB-4872-459A-B17A-B599BCBA2276}" type="parTrans" cxnId="{572A167F-D885-47DA-8AD8-F4B82E6318EC}">
      <dgm:prSet/>
      <dgm:spPr/>
      <dgm:t>
        <a:bodyPr/>
        <a:lstStyle/>
        <a:p>
          <a:endParaRPr lang="en-US">
            <a:latin typeface="Century Gothic" panose="020B0502020202020204" pitchFamily="34" charset="0"/>
          </a:endParaRPr>
        </a:p>
      </dgm:t>
    </dgm:pt>
    <dgm:pt modelId="{08FF0CB2-F84F-4C81-B1D0-2C54386DD812}" type="sibTrans" cxnId="{572A167F-D885-47DA-8AD8-F4B82E6318EC}">
      <dgm:prSet/>
      <dgm:spPr/>
      <dgm:t>
        <a:bodyPr/>
        <a:lstStyle/>
        <a:p>
          <a:endParaRPr lang="en-US">
            <a:latin typeface="Century Gothic" panose="020B0502020202020204" pitchFamily="34" charset="0"/>
          </a:endParaRPr>
        </a:p>
      </dgm:t>
    </dgm:pt>
    <dgm:pt modelId="{5ABF2E6E-6BBE-4691-98D6-C929E09F1B64}">
      <dgm:prSet phldrT="[Text]" custT="1"/>
      <dgm:spPr/>
      <dgm:t>
        <a:bodyPr/>
        <a:lstStyle/>
        <a:p>
          <a:pPr>
            <a:spcAft>
              <a:spcPts val="300"/>
            </a:spcAft>
            <a:buClr>
              <a:schemeClr val="bg1"/>
            </a:buClr>
          </a:pPr>
          <a:r>
            <a:rPr lang="en-US" sz="1050" dirty="0">
              <a:latin typeface="Century Gothic" panose="020B0502020202020204" pitchFamily="34" charset="0"/>
            </a:rPr>
            <a:t>Shared knowledge of contractual agreements and requirements</a:t>
          </a:r>
          <a:endParaRPr lang="en-US" sz="1050">
            <a:latin typeface="Century Gothic" panose="020B0502020202020204" pitchFamily="34" charset="0"/>
          </a:endParaRPr>
        </a:p>
      </dgm:t>
    </dgm:pt>
    <dgm:pt modelId="{52FD80D9-4207-4C62-86F9-A443E5B926FC}" type="parTrans" cxnId="{BDABE91B-B5B6-4896-89C4-722E0F31F625}">
      <dgm:prSet/>
      <dgm:spPr/>
      <dgm:t>
        <a:bodyPr/>
        <a:lstStyle/>
        <a:p>
          <a:endParaRPr lang="en-US">
            <a:latin typeface="Century Gothic" panose="020B0502020202020204" pitchFamily="34" charset="0"/>
          </a:endParaRPr>
        </a:p>
      </dgm:t>
    </dgm:pt>
    <dgm:pt modelId="{AABCFAD9-F23C-42CB-920E-421A53EF2137}" type="sibTrans" cxnId="{BDABE91B-B5B6-4896-89C4-722E0F31F625}">
      <dgm:prSet/>
      <dgm:spPr/>
      <dgm:t>
        <a:bodyPr/>
        <a:lstStyle/>
        <a:p>
          <a:endParaRPr lang="en-US">
            <a:latin typeface="Century Gothic" panose="020B0502020202020204" pitchFamily="34" charset="0"/>
          </a:endParaRPr>
        </a:p>
      </dgm:t>
    </dgm:pt>
    <dgm:pt modelId="{A468ACAB-383A-456E-9355-9F67652CB4E7}">
      <dgm:prSet custT="1"/>
      <dgm:spPr/>
      <dgm:t>
        <a:bodyPr/>
        <a:lstStyle/>
        <a:p>
          <a:pPr marL="57150">
            <a:spcAft>
              <a:spcPts val="300"/>
            </a:spcAft>
          </a:pPr>
          <a:r>
            <a:rPr lang="en-US" sz="1050" dirty="0">
              <a:latin typeface="Century Gothic" panose="020B0502020202020204" pitchFamily="34" charset="0"/>
            </a:rPr>
            <a:t>Develop Metrics to measure:</a:t>
          </a:r>
        </a:p>
      </dgm:t>
    </dgm:pt>
    <dgm:pt modelId="{C8398A62-0BA1-4C07-A240-3F7108C061F6}" type="parTrans" cxnId="{246D8969-5CCB-4A88-8068-EBA3C60EAA42}">
      <dgm:prSet/>
      <dgm:spPr/>
      <dgm:t>
        <a:bodyPr/>
        <a:lstStyle/>
        <a:p>
          <a:endParaRPr lang="en-US">
            <a:latin typeface="Century Gothic" panose="020B0502020202020204" pitchFamily="34" charset="0"/>
          </a:endParaRPr>
        </a:p>
      </dgm:t>
    </dgm:pt>
    <dgm:pt modelId="{C9E8A8A5-64ED-4F64-BDD1-B2AF0040733B}" type="sibTrans" cxnId="{246D8969-5CCB-4A88-8068-EBA3C60EAA42}">
      <dgm:prSet/>
      <dgm:spPr/>
      <dgm:t>
        <a:bodyPr/>
        <a:lstStyle/>
        <a:p>
          <a:endParaRPr lang="en-US">
            <a:latin typeface="Century Gothic" panose="020B0502020202020204" pitchFamily="34" charset="0"/>
          </a:endParaRPr>
        </a:p>
      </dgm:t>
    </dgm:pt>
    <dgm:pt modelId="{3BB4A8E5-13EB-48D5-9D3F-78BF6F726101}">
      <dgm:prSet custT="1"/>
      <dgm:spPr/>
      <dgm:t>
        <a:bodyPr/>
        <a:lstStyle/>
        <a:p>
          <a:pPr marL="274320">
            <a:spcAft>
              <a:spcPts val="300"/>
            </a:spcAft>
          </a:pPr>
          <a:r>
            <a:rPr lang="en-US" sz="1050" dirty="0">
              <a:latin typeface="Century Gothic" panose="020B0502020202020204" pitchFamily="34" charset="0"/>
            </a:rPr>
            <a:t>Timely identification and communication of impacts</a:t>
          </a:r>
        </a:p>
      </dgm:t>
    </dgm:pt>
    <dgm:pt modelId="{7C12738C-C96C-482E-9000-4F16856AC01E}" type="parTrans" cxnId="{433CDB2C-9222-4AB6-90AE-0A81F6EF510B}">
      <dgm:prSet/>
      <dgm:spPr/>
      <dgm:t>
        <a:bodyPr/>
        <a:lstStyle/>
        <a:p>
          <a:endParaRPr lang="en-US">
            <a:latin typeface="Century Gothic" panose="020B0502020202020204" pitchFamily="34" charset="0"/>
          </a:endParaRPr>
        </a:p>
      </dgm:t>
    </dgm:pt>
    <dgm:pt modelId="{EF72CC37-ED88-4DFB-994E-DE85CF9AF446}" type="sibTrans" cxnId="{433CDB2C-9222-4AB6-90AE-0A81F6EF510B}">
      <dgm:prSet/>
      <dgm:spPr/>
      <dgm:t>
        <a:bodyPr/>
        <a:lstStyle/>
        <a:p>
          <a:endParaRPr lang="en-US">
            <a:latin typeface="Century Gothic" panose="020B0502020202020204" pitchFamily="34" charset="0"/>
          </a:endParaRPr>
        </a:p>
      </dgm:t>
    </dgm:pt>
    <dgm:pt modelId="{F3418A9E-5633-4259-BB3C-B33CA3A87866}">
      <dgm:prSet custT="1"/>
      <dgm:spPr/>
      <dgm:t>
        <a:bodyPr/>
        <a:lstStyle/>
        <a:p>
          <a:pPr marL="274320">
            <a:spcAft>
              <a:spcPts val="300"/>
            </a:spcAft>
          </a:pPr>
          <a:r>
            <a:rPr lang="en-US" sz="1050" dirty="0">
              <a:latin typeface="Century Gothic" panose="020B0502020202020204" pitchFamily="34" charset="0"/>
            </a:rPr>
            <a:t>Quality of changes and impact to related services</a:t>
          </a:r>
        </a:p>
      </dgm:t>
    </dgm:pt>
    <dgm:pt modelId="{E0956617-A050-4706-A970-39EFD886E20F}" type="parTrans" cxnId="{187153AC-A061-49C2-BC6A-A11ADB5663EE}">
      <dgm:prSet/>
      <dgm:spPr/>
      <dgm:t>
        <a:bodyPr/>
        <a:lstStyle/>
        <a:p>
          <a:endParaRPr lang="en-US">
            <a:latin typeface="Century Gothic" panose="020B0502020202020204" pitchFamily="34" charset="0"/>
          </a:endParaRPr>
        </a:p>
      </dgm:t>
    </dgm:pt>
    <dgm:pt modelId="{F7785721-5330-455C-BF42-23E96AC3E7D5}" type="sibTrans" cxnId="{187153AC-A061-49C2-BC6A-A11ADB5663EE}">
      <dgm:prSet/>
      <dgm:spPr/>
      <dgm:t>
        <a:bodyPr/>
        <a:lstStyle/>
        <a:p>
          <a:endParaRPr lang="en-US">
            <a:latin typeface="Century Gothic" panose="020B0502020202020204" pitchFamily="34" charset="0"/>
          </a:endParaRPr>
        </a:p>
      </dgm:t>
    </dgm:pt>
    <dgm:pt modelId="{E1A79202-3C88-4BFF-8CFA-F93C9BCAA37C}">
      <dgm:prSet custT="1"/>
      <dgm:spPr/>
      <dgm:t>
        <a:bodyPr/>
        <a:lstStyle/>
        <a:p>
          <a:pPr marL="274320">
            <a:spcAft>
              <a:spcPts val="300"/>
            </a:spcAft>
          </a:pPr>
          <a:r>
            <a:rPr lang="en-US" sz="1050" dirty="0">
              <a:latin typeface="Century Gothic" panose="020B0502020202020204" pitchFamily="34" charset="0"/>
            </a:rPr>
            <a:t>Defects related to gaps in requirements, related failed testing and documented decisions points</a:t>
          </a:r>
        </a:p>
      </dgm:t>
    </dgm:pt>
    <dgm:pt modelId="{B3E33688-DEDF-49B6-B7AC-F38F4D03F1D5}" type="parTrans" cxnId="{B409FA3E-147C-4438-8BB8-98EF8386C9F7}">
      <dgm:prSet/>
      <dgm:spPr/>
      <dgm:t>
        <a:bodyPr/>
        <a:lstStyle/>
        <a:p>
          <a:endParaRPr lang="en-US">
            <a:latin typeface="Century Gothic" panose="020B0502020202020204" pitchFamily="34" charset="0"/>
          </a:endParaRPr>
        </a:p>
      </dgm:t>
    </dgm:pt>
    <dgm:pt modelId="{374DE25A-E817-414E-8BBF-96D83D13C8D2}" type="sibTrans" cxnId="{B409FA3E-147C-4438-8BB8-98EF8386C9F7}">
      <dgm:prSet/>
      <dgm:spPr/>
      <dgm:t>
        <a:bodyPr/>
        <a:lstStyle/>
        <a:p>
          <a:endParaRPr lang="en-US">
            <a:latin typeface="Century Gothic" panose="020B0502020202020204" pitchFamily="34" charset="0"/>
          </a:endParaRPr>
        </a:p>
      </dgm:t>
    </dgm:pt>
    <dgm:pt modelId="{B1E37BD1-BC0A-44A1-98EF-C08318018EB5}">
      <dgm:prSet custT="1"/>
      <dgm:spPr/>
      <dgm:t>
        <a:bodyPr/>
        <a:lstStyle/>
        <a:p>
          <a:pPr marL="57150">
            <a:spcAft>
              <a:spcPts val="300"/>
            </a:spcAft>
          </a:pPr>
          <a:r>
            <a:rPr lang="en-US" sz="1050" dirty="0">
              <a:latin typeface="Century Gothic" panose="020B0502020202020204" pitchFamily="34" charset="0"/>
            </a:rPr>
            <a:t>Periodically conduct contractor surveys to measure and monitor the CalSAWS contractor ecosystem</a:t>
          </a:r>
        </a:p>
      </dgm:t>
    </dgm:pt>
    <dgm:pt modelId="{F2DB6488-8C3C-437D-8E69-EE820EAC58BA}" type="parTrans" cxnId="{BAA28430-27EA-4071-866C-A6A506D0C7D9}">
      <dgm:prSet/>
      <dgm:spPr/>
      <dgm:t>
        <a:bodyPr/>
        <a:lstStyle/>
        <a:p>
          <a:endParaRPr lang="en-US">
            <a:latin typeface="Century Gothic" panose="020B0502020202020204" pitchFamily="34" charset="0"/>
          </a:endParaRPr>
        </a:p>
      </dgm:t>
    </dgm:pt>
    <dgm:pt modelId="{CE44A5A6-641F-4349-81FF-37F57A61E702}" type="sibTrans" cxnId="{BAA28430-27EA-4071-866C-A6A506D0C7D9}">
      <dgm:prSet/>
      <dgm:spPr/>
      <dgm:t>
        <a:bodyPr/>
        <a:lstStyle/>
        <a:p>
          <a:endParaRPr lang="en-US">
            <a:latin typeface="Century Gothic" panose="020B0502020202020204" pitchFamily="34" charset="0"/>
          </a:endParaRPr>
        </a:p>
      </dgm:t>
    </dgm:pt>
    <dgm:pt modelId="{E6BE1F3E-C6DB-43CF-8397-AEF60CCDBF12}">
      <dgm:prSet custT="1"/>
      <dgm:spPr/>
      <dgm:t>
        <a:bodyPr/>
        <a:lstStyle/>
        <a:p>
          <a:pPr marL="274320">
            <a:spcAft>
              <a:spcPts val="300"/>
            </a:spcAft>
          </a:pPr>
          <a:r>
            <a:rPr lang="en-US" sz="1050" dirty="0">
              <a:latin typeface="Century Gothic" panose="020B0502020202020204" pitchFamily="34" charset="0"/>
            </a:rPr>
            <a:t>Adherence and participation to CalSAWS policies</a:t>
          </a:r>
        </a:p>
      </dgm:t>
    </dgm:pt>
    <dgm:pt modelId="{D1545484-147D-4C9F-B1F8-C3503F9A58E3}" type="parTrans" cxnId="{296A2074-87CA-4154-94C6-620C323E6D2A}">
      <dgm:prSet/>
      <dgm:spPr/>
      <dgm:t>
        <a:bodyPr/>
        <a:lstStyle/>
        <a:p>
          <a:endParaRPr lang="en-US">
            <a:latin typeface="Century Gothic" panose="020B0502020202020204" pitchFamily="34" charset="0"/>
          </a:endParaRPr>
        </a:p>
      </dgm:t>
    </dgm:pt>
    <dgm:pt modelId="{0B6C76BF-5A9D-4641-97D9-261B62AC0E90}" type="sibTrans" cxnId="{296A2074-87CA-4154-94C6-620C323E6D2A}">
      <dgm:prSet/>
      <dgm:spPr/>
      <dgm:t>
        <a:bodyPr/>
        <a:lstStyle/>
        <a:p>
          <a:endParaRPr lang="en-US">
            <a:latin typeface="Century Gothic" panose="020B0502020202020204" pitchFamily="34" charset="0"/>
          </a:endParaRPr>
        </a:p>
      </dgm:t>
    </dgm:pt>
    <dgm:pt modelId="{6CF2504D-4EE0-48A5-AD6B-546E357CABFC}">
      <dgm:prSet custT="1"/>
      <dgm:spPr/>
      <dgm:t>
        <a:bodyPr/>
        <a:lstStyle/>
        <a:p>
          <a:pPr>
            <a:spcAft>
              <a:spcPts val="300"/>
            </a:spcAft>
            <a:buClr>
              <a:schemeClr val="bg1"/>
            </a:buClr>
          </a:pPr>
          <a:r>
            <a:rPr lang="en-US" sz="1050" baseline="0" dirty="0">
              <a:latin typeface="Century Gothic" panose="020B0502020202020204" pitchFamily="34" charset="0"/>
            </a:rPr>
            <a:t>Continued development and review of cross organizational Standard Operating Procedures (SOP) in adherence to </a:t>
          </a:r>
          <a:r>
            <a:rPr lang="en-US" sz="1050" baseline="0" dirty="0" err="1">
              <a:latin typeface="Century Gothic" panose="020B0502020202020204" pitchFamily="34" charset="0"/>
            </a:rPr>
            <a:t>CalSAWS</a:t>
          </a:r>
          <a:r>
            <a:rPr lang="en-US" sz="1050" baseline="0" dirty="0">
              <a:latin typeface="Century Gothic" panose="020B0502020202020204" pitchFamily="34" charset="0"/>
            </a:rPr>
            <a:t> Policies</a:t>
          </a:r>
        </a:p>
      </dgm:t>
    </dgm:pt>
    <dgm:pt modelId="{8B97FE2F-EB9F-4A22-8536-FE5A7E7BA9B5}" type="parTrans" cxnId="{C1CDF364-2913-4816-B433-CFF851A6C3A5}">
      <dgm:prSet/>
      <dgm:spPr/>
      <dgm:t>
        <a:bodyPr/>
        <a:lstStyle/>
        <a:p>
          <a:endParaRPr lang="en-US">
            <a:latin typeface="Century Gothic" panose="020B0502020202020204" pitchFamily="34" charset="0"/>
          </a:endParaRPr>
        </a:p>
      </dgm:t>
    </dgm:pt>
    <dgm:pt modelId="{8AF3F10A-CC68-4ECC-8749-383E5826EB94}" type="sibTrans" cxnId="{C1CDF364-2913-4816-B433-CFF851A6C3A5}">
      <dgm:prSet/>
      <dgm:spPr/>
      <dgm:t>
        <a:bodyPr/>
        <a:lstStyle/>
        <a:p>
          <a:endParaRPr lang="en-US">
            <a:latin typeface="Century Gothic" panose="020B0502020202020204" pitchFamily="34" charset="0"/>
          </a:endParaRPr>
        </a:p>
      </dgm:t>
    </dgm:pt>
    <dgm:pt modelId="{F257616B-FE7E-4D63-9106-6315F72AF085}">
      <dgm:prSet custT="1"/>
      <dgm:spPr/>
      <dgm:t>
        <a:bodyPr/>
        <a:lstStyle/>
        <a:p>
          <a:pPr>
            <a:spcAft>
              <a:spcPts val="300"/>
            </a:spcAft>
          </a:pPr>
          <a:r>
            <a:rPr lang="en-US" sz="1050" dirty="0">
              <a:latin typeface="Century Gothic" panose="020B0502020202020204" pitchFamily="34" charset="0"/>
            </a:rPr>
            <a:t>Facilitate creation of RACI documentation</a:t>
          </a:r>
        </a:p>
      </dgm:t>
    </dgm:pt>
    <dgm:pt modelId="{598A94E4-9069-4B28-A579-111C487FB80E}" type="parTrans" cxnId="{C8863A65-0F5B-452D-AD9E-6256E25157DB}">
      <dgm:prSet/>
      <dgm:spPr/>
      <dgm:t>
        <a:bodyPr/>
        <a:lstStyle/>
        <a:p>
          <a:endParaRPr lang="en-US">
            <a:latin typeface="Century Gothic" panose="020B0502020202020204" pitchFamily="34" charset="0"/>
          </a:endParaRPr>
        </a:p>
      </dgm:t>
    </dgm:pt>
    <dgm:pt modelId="{6714C23B-B787-4C8C-A7B2-F8D139F169E6}" type="sibTrans" cxnId="{C8863A65-0F5B-452D-AD9E-6256E25157DB}">
      <dgm:prSet/>
      <dgm:spPr/>
      <dgm:t>
        <a:bodyPr/>
        <a:lstStyle/>
        <a:p>
          <a:endParaRPr lang="en-US">
            <a:latin typeface="Century Gothic" panose="020B0502020202020204" pitchFamily="34" charset="0"/>
          </a:endParaRPr>
        </a:p>
      </dgm:t>
    </dgm:pt>
    <dgm:pt modelId="{19B010A0-65CC-4076-AF70-1A503D5B0FBA}">
      <dgm:prSet phldrT="[Text]" custT="1"/>
      <dgm:spPr/>
      <dgm:t>
        <a:bodyPr/>
        <a:lstStyle/>
        <a:p>
          <a:pPr>
            <a:buNone/>
          </a:pPr>
          <a:r>
            <a:rPr lang="en-US" sz="1050" dirty="0">
              <a:latin typeface="Century Gothic" panose="020B0502020202020204" pitchFamily="34" charset="0"/>
            </a:rPr>
            <a:t>Proactively collaborate and coordinate with other CalSAWS contractors</a:t>
          </a:r>
          <a:endParaRPr lang="en-US" sz="1050">
            <a:latin typeface="Century Gothic" panose="020B0502020202020204" pitchFamily="34" charset="0"/>
          </a:endParaRPr>
        </a:p>
      </dgm:t>
    </dgm:pt>
    <dgm:pt modelId="{0C395E57-562D-4E25-B1C1-FBE30B314044}" type="sibTrans" cxnId="{A1E8130C-3141-4CE9-9878-A33CD2CB4A1D}">
      <dgm:prSet/>
      <dgm:spPr/>
      <dgm:t>
        <a:bodyPr/>
        <a:lstStyle/>
        <a:p>
          <a:endParaRPr lang="en-US">
            <a:latin typeface="Century Gothic" panose="020B0502020202020204" pitchFamily="34" charset="0"/>
          </a:endParaRPr>
        </a:p>
      </dgm:t>
    </dgm:pt>
    <dgm:pt modelId="{B42EFE84-1998-40FC-B3AC-D244F7028DF5}" type="parTrans" cxnId="{A1E8130C-3141-4CE9-9878-A33CD2CB4A1D}">
      <dgm:prSet/>
      <dgm:spPr/>
      <dgm:t>
        <a:bodyPr/>
        <a:lstStyle/>
        <a:p>
          <a:endParaRPr lang="en-US">
            <a:latin typeface="Century Gothic" panose="020B0502020202020204" pitchFamily="34" charset="0"/>
          </a:endParaRPr>
        </a:p>
      </dgm:t>
    </dgm:pt>
    <dgm:pt modelId="{D53E6678-B6E0-4A36-B8E9-1E4CD73B1BD7}">
      <dgm:prSet phldrT="[Text]" custT="1"/>
      <dgm:spPr/>
      <dgm:t>
        <a:bodyPr/>
        <a:lstStyle/>
        <a:p>
          <a:pPr>
            <a:spcAft>
              <a:spcPts val="300"/>
            </a:spcAft>
            <a:buClr>
              <a:schemeClr val="bg1"/>
            </a:buClr>
          </a:pPr>
          <a:r>
            <a:rPr lang="en-US" sz="1050">
              <a:latin typeface="Century Gothic" panose="020B0502020202020204" pitchFamily="34" charset="0"/>
            </a:rPr>
            <a:t>Develop process and best practices for early interactions on initiatives</a:t>
          </a:r>
        </a:p>
      </dgm:t>
    </dgm:pt>
    <dgm:pt modelId="{BCF993C8-9C31-4030-84E9-AF442AFF8852}" type="parTrans" cxnId="{C14EE0D1-A1F5-41BD-8060-3FDE2521CCA7}">
      <dgm:prSet/>
      <dgm:spPr/>
      <dgm:t>
        <a:bodyPr/>
        <a:lstStyle/>
        <a:p>
          <a:endParaRPr lang="en-US">
            <a:latin typeface="Century Gothic" panose="020B0502020202020204" pitchFamily="34" charset="0"/>
          </a:endParaRPr>
        </a:p>
      </dgm:t>
    </dgm:pt>
    <dgm:pt modelId="{1611ABE7-4CD8-4DE1-A73E-4E629CF293AD}" type="sibTrans" cxnId="{C14EE0D1-A1F5-41BD-8060-3FDE2521CCA7}">
      <dgm:prSet/>
      <dgm:spPr/>
      <dgm:t>
        <a:bodyPr/>
        <a:lstStyle/>
        <a:p>
          <a:endParaRPr lang="en-US">
            <a:latin typeface="Century Gothic" panose="020B0502020202020204" pitchFamily="34" charset="0"/>
          </a:endParaRPr>
        </a:p>
      </dgm:t>
    </dgm:pt>
    <dgm:pt modelId="{3E920B29-6F02-45C7-9A82-25D299423CCA}">
      <dgm:prSet custT="1"/>
      <dgm:spPr/>
      <dgm:t>
        <a:bodyPr/>
        <a:lstStyle/>
        <a:p>
          <a:pPr>
            <a:buNone/>
          </a:pPr>
          <a:r>
            <a:rPr lang="en-US" sz="1050" dirty="0">
              <a:latin typeface="Century Gothic" panose="020B0502020202020204" pitchFamily="34" charset="0"/>
            </a:rPr>
            <a:t>Provide coordination services to confirm the CalSAWS contractor team members are aligned with Project goals, schedules, and strategic initiatives and development of the </a:t>
          </a:r>
          <a:r>
            <a:rPr lang="en-US" sz="1050" dirty="0" err="1">
              <a:latin typeface="Century Gothic" panose="020B0502020202020204" pitchFamily="34" charset="0"/>
            </a:rPr>
            <a:t>CalSAWS</a:t>
          </a:r>
          <a:r>
            <a:rPr lang="en-US" sz="1050" dirty="0">
              <a:latin typeface="Century Gothic" panose="020B0502020202020204" pitchFamily="34" charset="0"/>
            </a:rPr>
            <a:t> Master Work Plan </a:t>
          </a:r>
        </a:p>
      </dgm:t>
    </dgm:pt>
    <dgm:pt modelId="{27ED1307-2525-4330-83CF-2404C94D02A6}" type="parTrans" cxnId="{77AA9564-C906-45BF-88AC-BD83DBBA0F63}">
      <dgm:prSet/>
      <dgm:spPr/>
      <dgm:t>
        <a:bodyPr/>
        <a:lstStyle/>
        <a:p>
          <a:endParaRPr lang="en-US">
            <a:latin typeface="Century Gothic" panose="020B0502020202020204" pitchFamily="34" charset="0"/>
          </a:endParaRPr>
        </a:p>
      </dgm:t>
    </dgm:pt>
    <dgm:pt modelId="{D379E3CB-6C1D-4E88-872F-655A1D58C51B}" type="sibTrans" cxnId="{77AA9564-C906-45BF-88AC-BD83DBBA0F63}">
      <dgm:prSet/>
      <dgm:spPr/>
      <dgm:t>
        <a:bodyPr/>
        <a:lstStyle/>
        <a:p>
          <a:endParaRPr lang="en-US">
            <a:latin typeface="Century Gothic" panose="020B0502020202020204" pitchFamily="34" charset="0"/>
          </a:endParaRPr>
        </a:p>
      </dgm:t>
    </dgm:pt>
    <dgm:pt modelId="{8E990AE2-131B-4D53-8CD6-5BB6660295F6}">
      <dgm:prSet custT="1"/>
      <dgm:spPr/>
      <dgm:t>
        <a:bodyPr/>
        <a:lstStyle/>
        <a:p>
          <a:pPr>
            <a:spcAft>
              <a:spcPts val="300"/>
            </a:spcAft>
            <a:buClr>
              <a:schemeClr val="bg1"/>
            </a:buClr>
          </a:pPr>
          <a:r>
            <a:rPr lang="en-US" sz="1050">
              <a:latin typeface="Century Gothic" panose="020B0502020202020204" pitchFamily="34" charset="0"/>
            </a:rPr>
            <a:t>Coordinate reviews of adherence to CalSAWS policies and procedures for vendors</a:t>
          </a:r>
          <a:endParaRPr lang="en-US" sz="1050" dirty="0">
            <a:latin typeface="Century Gothic" panose="020B0502020202020204" pitchFamily="34" charset="0"/>
          </a:endParaRPr>
        </a:p>
      </dgm:t>
    </dgm:pt>
    <dgm:pt modelId="{B44BF2CA-9594-402D-BFA0-190549A87694}" type="parTrans" cxnId="{C537BE84-2359-4434-912D-63229B659E35}">
      <dgm:prSet/>
      <dgm:spPr/>
      <dgm:t>
        <a:bodyPr/>
        <a:lstStyle/>
        <a:p>
          <a:endParaRPr lang="en-US">
            <a:latin typeface="Century Gothic" panose="020B0502020202020204" pitchFamily="34" charset="0"/>
          </a:endParaRPr>
        </a:p>
      </dgm:t>
    </dgm:pt>
    <dgm:pt modelId="{23EB4A7B-364E-468C-B71D-62A76D0CCCA9}" type="sibTrans" cxnId="{C537BE84-2359-4434-912D-63229B659E35}">
      <dgm:prSet/>
      <dgm:spPr/>
      <dgm:t>
        <a:bodyPr/>
        <a:lstStyle/>
        <a:p>
          <a:endParaRPr lang="en-US">
            <a:latin typeface="Century Gothic" panose="020B0502020202020204" pitchFamily="34" charset="0"/>
          </a:endParaRPr>
        </a:p>
      </dgm:t>
    </dgm:pt>
    <dgm:pt modelId="{BA73005B-A79B-46B4-9A2A-E0002706467E}">
      <dgm:prSet custT="1"/>
      <dgm:spPr/>
      <dgm:t>
        <a:bodyPr/>
        <a:lstStyle/>
        <a:p>
          <a:pPr>
            <a:buNone/>
          </a:pPr>
          <a:r>
            <a:rPr lang="en-US" sz="1050" dirty="0">
              <a:latin typeface="Century Gothic" panose="020B0502020202020204" pitchFamily="34" charset="0"/>
            </a:rPr>
            <a:t>Communicate and report on Project matters on an ongoing basis</a:t>
          </a:r>
        </a:p>
      </dgm:t>
    </dgm:pt>
    <dgm:pt modelId="{3973BD17-C017-4A79-8923-6927EBC22B74}" type="parTrans" cxnId="{C7CD641E-43FA-46A2-AC22-033670B8F07D}">
      <dgm:prSet/>
      <dgm:spPr/>
      <dgm:t>
        <a:bodyPr/>
        <a:lstStyle/>
        <a:p>
          <a:endParaRPr lang="en-US">
            <a:latin typeface="Century Gothic" panose="020B0502020202020204" pitchFamily="34" charset="0"/>
          </a:endParaRPr>
        </a:p>
      </dgm:t>
    </dgm:pt>
    <dgm:pt modelId="{981EB073-1D21-4058-B528-F26DBEF0133E}" type="sibTrans" cxnId="{C7CD641E-43FA-46A2-AC22-033670B8F07D}">
      <dgm:prSet/>
      <dgm:spPr/>
      <dgm:t>
        <a:bodyPr/>
        <a:lstStyle/>
        <a:p>
          <a:endParaRPr lang="en-US">
            <a:latin typeface="Century Gothic" panose="020B0502020202020204" pitchFamily="34" charset="0"/>
          </a:endParaRPr>
        </a:p>
      </dgm:t>
    </dgm:pt>
    <dgm:pt modelId="{C6D4A9D0-4B61-46DF-8DEA-7FA9FB6F3FD9}">
      <dgm:prSet custT="1"/>
      <dgm:spPr/>
      <dgm:t>
        <a:bodyPr/>
        <a:lstStyle/>
        <a:p>
          <a:pPr>
            <a:spcAft>
              <a:spcPts val="300"/>
            </a:spcAft>
            <a:buClr>
              <a:schemeClr val="bg1"/>
            </a:buClr>
          </a:pPr>
          <a:r>
            <a:rPr lang="en-US" sz="1050">
              <a:latin typeface="Century Gothic" panose="020B0502020202020204" pitchFamily="34" charset="0"/>
            </a:rPr>
            <a:t>Develop a standardized reporting cadence and content</a:t>
          </a:r>
          <a:endParaRPr lang="en-US" sz="1050" dirty="0">
            <a:latin typeface="Century Gothic" panose="020B0502020202020204" pitchFamily="34" charset="0"/>
          </a:endParaRPr>
        </a:p>
      </dgm:t>
    </dgm:pt>
    <dgm:pt modelId="{A345F85A-5BD4-4984-B9B7-D9A0CC2FBD52}" type="parTrans" cxnId="{86FBBEB2-39D4-4399-9062-5D9002525BBA}">
      <dgm:prSet/>
      <dgm:spPr/>
      <dgm:t>
        <a:bodyPr/>
        <a:lstStyle/>
        <a:p>
          <a:endParaRPr lang="en-US">
            <a:latin typeface="Century Gothic" panose="020B0502020202020204" pitchFamily="34" charset="0"/>
          </a:endParaRPr>
        </a:p>
      </dgm:t>
    </dgm:pt>
    <dgm:pt modelId="{A9612222-E553-46B5-A897-E0422F0A931D}" type="sibTrans" cxnId="{86FBBEB2-39D4-4399-9062-5D9002525BBA}">
      <dgm:prSet/>
      <dgm:spPr/>
      <dgm:t>
        <a:bodyPr/>
        <a:lstStyle/>
        <a:p>
          <a:endParaRPr lang="en-US">
            <a:latin typeface="Century Gothic" panose="020B0502020202020204" pitchFamily="34" charset="0"/>
          </a:endParaRPr>
        </a:p>
      </dgm:t>
    </dgm:pt>
    <dgm:pt modelId="{E43ED5CC-750B-495D-8F46-A17BCC1B6755}">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Continue to Foster a collaborative and communicative environment</a:t>
          </a:r>
        </a:p>
      </dgm:t>
    </dgm:pt>
    <dgm:pt modelId="{8106E152-FCE3-4C07-8B73-4A4C8A0F6F50}" type="parTrans" cxnId="{004EB34A-F084-4C25-AE4A-1FB9E105693E}">
      <dgm:prSet/>
      <dgm:spPr/>
      <dgm:t>
        <a:bodyPr/>
        <a:lstStyle/>
        <a:p>
          <a:endParaRPr lang="en-US">
            <a:latin typeface="Century Gothic" panose="020B0502020202020204" pitchFamily="34" charset="0"/>
          </a:endParaRPr>
        </a:p>
      </dgm:t>
    </dgm:pt>
    <dgm:pt modelId="{1CC78B3F-3ED5-4DE6-959C-E60CD89E346A}" type="sibTrans" cxnId="{004EB34A-F084-4C25-AE4A-1FB9E105693E}">
      <dgm:prSet/>
      <dgm:spPr/>
      <dgm:t>
        <a:bodyPr/>
        <a:lstStyle/>
        <a:p>
          <a:endParaRPr lang="en-US">
            <a:latin typeface="Century Gothic" panose="020B0502020202020204" pitchFamily="34" charset="0"/>
          </a:endParaRPr>
        </a:p>
      </dgm:t>
    </dgm:pt>
    <dgm:pt modelId="{0004444F-906E-4B01-B85E-EE93D436C6B9}">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Develop understandings of communications styles and cultures of other vendors </a:t>
          </a:r>
        </a:p>
      </dgm:t>
    </dgm:pt>
    <dgm:pt modelId="{1B9FEAEC-22C6-417F-904D-D7CB905AD4B7}" type="parTrans" cxnId="{CB23FF67-A1AF-499A-8054-33CE5D5F5605}">
      <dgm:prSet/>
      <dgm:spPr/>
      <dgm:t>
        <a:bodyPr/>
        <a:lstStyle/>
        <a:p>
          <a:endParaRPr lang="en-US">
            <a:latin typeface="Century Gothic" panose="020B0502020202020204" pitchFamily="34" charset="0"/>
          </a:endParaRPr>
        </a:p>
      </dgm:t>
    </dgm:pt>
    <dgm:pt modelId="{4A817072-C71A-4B1A-A215-1FBBCE10A485}" type="sibTrans" cxnId="{CB23FF67-A1AF-499A-8054-33CE5D5F5605}">
      <dgm:prSet/>
      <dgm:spPr/>
      <dgm:t>
        <a:bodyPr/>
        <a:lstStyle/>
        <a:p>
          <a:endParaRPr lang="en-US">
            <a:latin typeface="Century Gothic" panose="020B0502020202020204" pitchFamily="34" charset="0"/>
          </a:endParaRPr>
        </a:p>
      </dgm:t>
    </dgm:pt>
    <dgm:pt modelId="{F1681FAA-98CD-412E-B45E-D96C25876CF2}">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Monitor cross vendor implementation of SCR’s dependencies and schedules to ensure alignment</a:t>
          </a:r>
        </a:p>
      </dgm:t>
    </dgm:pt>
    <dgm:pt modelId="{CAC29BBF-E1BF-42C8-846C-170BA9059906}" type="parTrans" cxnId="{4585BAA5-D48A-4F88-8494-31B9757FB0B1}">
      <dgm:prSet/>
      <dgm:spPr/>
      <dgm:t>
        <a:bodyPr/>
        <a:lstStyle/>
        <a:p>
          <a:endParaRPr lang="en-US">
            <a:latin typeface="Century Gothic" panose="020B0502020202020204" pitchFamily="34" charset="0"/>
          </a:endParaRPr>
        </a:p>
      </dgm:t>
    </dgm:pt>
    <dgm:pt modelId="{D3E6C1A1-6C35-40BF-8A86-6CE820A1AF5C}" type="sibTrans" cxnId="{4585BAA5-D48A-4F88-8494-31B9757FB0B1}">
      <dgm:prSet/>
      <dgm:spPr/>
      <dgm:t>
        <a:bodyPr/>
        <a:lstStyle/>
        <a:p>
          <a:endParaRPr lang="en-US">
            <a:latin typeface="Century Gothic" panose="020B0502020202020204" pitchFamily="34" charset="0"/>
          </a:endParaRPr>
        </a:p>
      </dgm:t>
    </dgm:pt>
    <dgm:pt modelId="{BE3934A8-35B1-4D9A-8C64-0E938856836B}">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Partner to develop understanding of processes for newly onboarded organizations</a:t>
          </a:r>
        </a:p>
      </dgm:t>
    </dgm:pt>
    <dgm:pt modelId="{845F9E63-86AB-4F7B-8878-01B94255E195}" type="parTrans" cxnId="{37086181-6F19-4CD3-B3DF-49E51483A501}">
      <dgm:prSet/>
      <dgm:spPr/>
      <dgm:t>
        <a:bodyPr/>
        <a:lstStyle/>
        <a:p>
          <a:endParaRPr lang="en-US">
            <a:latin typeface="Century Gothic" panose="020B0502020202020204" pitchFamily="34" charset="0"/>
          </a:endParaRPr>
        </a:p>
      </dgm:t>
    </dgm:pt>
    <dgm:pt modelId="{E9DEA3FF-F782-4041-8FE9-9C55AB9F691C}" type="sibTrans" cxnId="{37086181-6F19-4CD3-B3DF-49E51483A501}">
      <dgm:prSet/>
      <dgm:spPr/>
      <dgm:t>
        <a:bodyPr/>
        <a:lstStyle/>
        <a:p>
          <a:endParaRPr lang="en-US">
            <a:latin typeface="Century Gothic" panose="020B0502020202020204" pitchFamily="34" charset="0"/>
          </a:endParaRPr>
        </a:p>
      </dgm:t>
    </dgm:pt>
    <dgm:pt modelId="{817296A1-1B49-459B-BBB6-9AB49B69AFD7}">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Provide multi-level reporting channels to ensure information is communicated at all levels</a:t>
          </a:r>
        </a:p>
      </dgm:t>
    </dgm:pt>
    <dgm:pt modelId="{A46A4639-C33B-4A09-9132-0D0F3CA8BEAC}" type="parTrans" cxnId="{52E3FD7C-8955-431F-8CD9-1D0934FB03C9}">
      <dgm:prSet/>
      <dgm:spPr/>
      <dgm:t>
        <a:bodyPr/>
        <a:lstStyle/>
        <a:p>
          <a:endParaRPr lang="en-US">
            <a:latin typeface="Century Gothic" panose="020B0502020202020204" pitchFamily="34" charset="0"/>
          </a:endParaRPr>
        </a:p>
      </dgm:t>
    </dgm:pt>
    <dgm:pt modelId="{42D744C4-04CE-41C1-89B0-566AA6619FB1}" type="sibTrans" cxnId="{52E3FD7C-8955-431F-8CD9-1D0934FB03C9}">
      <dgm:prSet/>
      <dgm:spPr/>
      <dgm:t>
        <a:bodyPr/>
        <a:lstStyle/>
        <a:p>
          <a:endParaRPr lang="en-US">
            <a:latin typeface="Century Gothic" panose="020B0502020202020204" pitchFamily="34" charset="0"/>
          </a:endParaRPr>
        </a:p>
      </dgm:t>
    </dgm:pt>
    <dgm:pt modelId="{DB4F0733-7FA7-4490-B62F-7481517824E8}">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Section Directors</a:t>
          </a:r>
        </a:p>
      </dgm:t>
    </dgm:pt>
    <dgm:pt modelId="{7F69F619-7812-4E5D-ABDF-C37178190770}" type="parTrans" cxnId="{2D5B89B1-3112-40F2-BDDC-2915C1EADF82}">
      <dgm:prSet/>
      <dgm:spPr/>
      <dgm:t>
        <a:bodyPr/>
        <a:lstStyle/>
        <a:p>
          <a:endParaRPr lang="en-US">
            <a:latin typeface="Century Gothic" panose="020B0502020202020204" pitchFamily="34" charset="0"/>
          </a:endParaRPr>
        </a:p>
      </dgm:t>
    </dgm:pt>
    <dgm:pt modelId="{60411442-364A-469C-9AEA-D08A94E00988}" type="sibTrans" cxnId="{2D5B89B1-3112-40F2-BDDC-2915C1EADF82}">
      <dgm:prSet/>
      <dgm:spPr/>
      <dgm:t>
        <a:bodyPr/>
        <a:lstStyle/>
        <a:p>
          <a:endParaRPr lang="en-US">
            <a:latin typeface="Century Gothic" panose="020B0502020202020204" pitchFamily="34" charset="0"/>
          </a:endParaRPr>
        </a:p>
      </dgm:t>
    </dgm:pt>
    <dgm:pt modelId="{47B32823-ACA1-4ED1-96B8-17DE44F68C4D}">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JPA/PSC</a:t>
          </a:r>
        </a:p>
      </dgm:t>
    </dgm:pt>
    <dgm:pt modelId="{1C3C6095-5E87-4797-8CBC-7CBF169E05CA}" type="parTrans" cxnId="{BF2DE9D6-778D-40A9-A108-952F065D1479}">
      <dgm:prSet/>
      <dgm:spPr/>
      <dgm:t>
        <a:bodyPr/>
        <a:lstStyle/>
        <a:p>
          <a:endParaRPr lang="en-US">
            <a:latin typeface="Century Gothic" panose="020B0502020202020204" pitchFamily="34" charset="0"/>
          </a:endParaRPr>
        </a:p>
      </dgm:t>
    </dgm:pt>
    <dgm:pt modelId="{77B4206D-2037-485C-991E-26F5D38BB07D}" type="sibTrans" cxnId="{BF2DE9D6-778D-40A9-A108-952F065D1479}">
      <dgm:prSet/>
      <dgm:spPr/>
      <dgm:t>
        <a:bodyPr/>
        <a:lstStyle/>
        <a:p>
          <a:endParaRPr lang="en-US">
            <a:latin typeface="Century Gothic" panose="020B0502020202020204" pitchFamily="34" charset="0"/>
          </a:endParaRPr>
        </a:p>
      </dgm:t>
    </dgm:pt>
    <dgm:pt modelId="{87456200-F536-4B81-B93A-2121B2C899AA}">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Weekly Status Reporting</a:t>
          </a:r>
        </a:p>
      </dgm:t>
    </dgm:pt>
    <dgm:pt modelId="{79CF09C0-BD4F-48EE-B467-73118F773660}" type="parTrans" cxnId="{580AEDC5-CBDE-40B8-8920-A212B5D133F5}">
      <dgm:prSet/>
      <dgm:spPr/>
      <dgm:t>
        <a:bodyPr/>
        <a:lstStyle/>
        <a:p>
          <a:endParaRPr lang="en-US">
            <a:latin typeface="Century Gothic" panose="020B0502020202020204" pitchFamily="34" charset="0"/>
          </a:endParaRPr>
        </a:p>
      </dgm:t>
    </dgm:pt>
    <dgm:pt modelId="{1409A050-17A8-4CF5-9D63-8DE1BECE82F1}" type="sibTrans" cxnId="{580AEDC5-CBDE-40B8-8920-A212B5D133F5}">
      <dgm:prSet/>
      <dgm:spPr/>
      <dgm:t>
        <a:bodyPr/>
        <a:lstStyle/>
        <a:p>
          <a:endParaRPr lang="en-US">
            <a:latin typeface="Century Gothic" panose="020B0502020202020204" pitchFamily="34" charset="0"/>
          </a:endParaRPr>
        </a:p>
      </dgm:t>
    </dgm:pt>
    <dgm:pt modelId="{4DE09B53-6792-4ACA-AD3C-A6EC097FD6FA}" type="pres">
      <dgm:prSet presAssocID="{9731ED42-8B15-4057-A0D8-8E60EBAA87E6}" presName="Name0" presStyleCnt="0">
        <dgm:presLayoutVars>
          <dgm:dir/>
          <dgm:animLvl val="lvl"/>
          <dgm:resizeHandles val="exact"/>
        </dgm:presLayoutVars>
      </dgm:prSet>
      <dgm:spPr/>
    </dgm:pt>
    <dgm:pt modelId="{A489DF58-A83C-4034-82A8-3C8F14079D94}" type="pres">
      <dgm:prSet presAssocID="{4F787EAC-50A2-479D-A3BD-EC47469FD0EC}" presName="linNode" presStyleCnt="0"/>
      <dgm:spPr/>
    </dgm:pt>
    <dgm:pt modelId="{BD08552B-AB6D-4DCF-89A6-278AE0B6F90A}" type="pres">
      <dgm:prSet presAssocID="{4F787EAC-50A2-479D-A3BD-EC47469FD0EC}" presName="parTx" presStyleLbl="revTx" presStyleIdx="0" presStyleCnt="6">
        <dgm:presLayoutVars>
          <dgm:chMax val="1"/>
          <dgm:bulletEnabled val="1"/>
        </dgm:presLayoutVars>
      </dgm:prSet>
      <dgm:spPr/>
    </dgm:pt>
    <dgm:pt modelId="{C154F076-7A4C-4EBE-939E-436BB1823B57}" type="pres">
      <dgm:prSet presAssocID="{4F787EAC-50A2-479D-A3BD-EC47469FD0EC}" presName="bracket" presStyleLbl="parChTrans1D1" presStyleIdx="0" presStyleCnt="6"/>
      <dgm:spPr/>
    </dgm:pt>
    <dgm:pt modelId="{CF55BAFD-4152-4F2E-8447-79C06D617D0D}" type="pres">
      <dgm:prSet presAssocID="{4F787EAC-50A2-479D-A3BD-EC47469FD0EC}" presName="spH" presStyleCnt="0"/>
      <dgm:spPr/>
    </dgm:pt>
    <dgm:pt modelId="{AF9DD486-DEDC-4BE7-8C54-737483A815A8}" type="pres">
      <dgm:prSet presAssocID="{4F787EAC-50A2-479D-A3BD-EC47469FD0EC}" presName="desTx" presStyleLbl="node1" presStyleIdx="0" presStyleCnt="6">
        <dgm:presLayoutVars>
          <dgm:bulletEnabled val="1"/>
        </dgm:presLayoutVars>
      </dgm:prSet>
      <dgm:spPr/>
    </dgm:pt>
    <dgm:pt modelId="{42E29A6B-B88B-45B1-BCC7-812C3A5552F6}" type="pres">
      <dgm:prSet presAssocID="{3A01C108-5C8B-4A30-899F-B44636F850F9}" presName="spV" presStyleCnt="0"/>
      <dgm:spPr/>
    </dgm:pt>
    <dgm:pt modelId="{F64EC2F5-EC49-4FD6-A487-411C1D649B34}" type="pres">
      <dgm:prSet presAssocID="{353DE9CF-62D0-483B-B384-C2618416E22A}" presName="linNode" presStyleCnt="0"/>
      <dgm:spPr/>
    </dgm:pt>
    <dgm:pt modelId="{9D97AA6A-93EA-4982-9C0D-940A9B07A4DC}" type="pres">
      <dgm:prSet presAssocID="{353DE9CF-62D0-483B-B384-C2618416E22A}" presName="parTx" presStyleLbl="revTx" presStyleIdx="1" presStyleCnt="6">
        <dgm:presLayoutVars>
          <dgm:chMax val="1"/>
          <dgm:bulletEnabled val="1"/>
        </dgm:presLayoutVars>
      </dgm:prSet>
      <dgm:spPr/>
    </dgm:pt>
    <dgm:pt modelId="{FAF2544B-A326-4642-862B-C70F8540973D}" type="pres">
      <dgm:prSet presAssocID="{353DE9CF-62D0-483B-B384-C2618416E22A}" presName="bracket" presStyleLbl="parChTrans1D1" presStyleIdx="1" presStyleCnt="6"/>
      <dgm:spPr/>
    </dgm:pt>
    <dgm:pt modelId="{0FC89F3E-C115-4620-901B-00C0601DCF7A}" type="pres">
      <dgm:prSet presAssocID="{353DE9CF-62D0-483B-B384-C2618416E22A}" presName="spH" presStyleCnt="0"/>
      <dgm:spPr/>
    </dgm:pt>
    <dgm:pt modelId="{CDF44CD9-3D86-4BD3-B661-0B645B17E57A}" type="pres">
      <dgm:prSet presAssocID="{353DE9CF-62D0-483B-B384-C2618416E22A}" presName="desTx" presStyleLbl="node1" presStyleIdx="1" presStyleCnt="6">
        <dgm:presLayoutVars>
          <dgm:bulletEnabled val="1"/>
        </dgm:presLayoutVars>
      </dgm:prSet>
      <dgm:spPr/>
    </dgm:pt>
    <dgm:pt modelId="{25D123AA-B0A4-47C3-B478-7349F38C1C10}" type="pres">
      <dgm:prSet presAssocID="{63DF404E-D246-4368-9C86-088D48435301}" presName="spV" presStyleCnt="0"/>
      <dgm:spPr/>
    </dgm:pt>
    <dgm:pt modelId="{32253B74-1ADE-4FAF-883C-6282E6A1C8FF}" type="pres">
      <dgm:prSet presAssocID="{6CFA686B-F1F3-4165-A35D-57084C290132}" presName="linNode" presStyleCnt="0"/>
      <dgm:spPr/>
    </dgm:pt>
    <dgm:pt modelId="{4D5F9F07-A866-427C-98D8-E044D6D4EFC8}" type="pres">
      <dgm:prSet presAssocID="{6CFA686B-F1F3-4165-A35D-57084C290132}" presName="parTx" presStyleLbl="revTx" presStyleIdx="2" presStyleCnt="6">
        <dgm:presLayoutVars>
          <dgm:chMax val="1"/>
          <dgm:bulletEnabled val="1"/>
        </dgm:presLayoutVars>
      </dgm:prSet>
      <dgm:spPr/>
    </dgm:pt>
    <dgm:pt modelId="{9F24A1BE-0D9A-46B4-9028-F1E521ABF59D}" type="pres">
      <dgm:prSet presAssocID="{6CFA686B-F1F3-4165-A35D-57084C290132}" presName="bracket" presStyleLbl="parChTrans1D1" presStyleIdx="2" presStyleCnt="6"/>
      <dgm:spPr/>
    </dgm:pt>
    <dgm:pt modelId="{D173E827-79E5-43DC-94EF-E8603FCFDA9B}" type="pres">
      <dgm:prSet presAssocID="{6CFA686B-F1F3-4165-A35D-57084C290132}" presName="spH" presStyleCnt="0"/>
      <dgm:spPr/>
    </dgm:pt>
    <dgm:pt modelId="{93F11D55-FFE9-4A61-B287-D2F98A7C223C}" type="pres">
      <dgm:prSet presAssocID="{6CFA686B-F1F3-4165-A35D-57084C290132}" presName="desTx" presStyleLbl="node1" presStyleIdx="2" presStyleCnt="6">
        <dgm:presLayoutVars>
          <dgm:bulletEnabled val="1"/>
        </dgm:presLayoutVars>
      </dgm:prSet>
      <dgm:spPr/>
    </dgm:pt>
    <dgm:pt modelId="{DE97296E-DBFD-4576-900E-A032A55E3E6F}" type="pres">
      <dgm:prSet presAssocID="{08FF0CB2-F84F-4C81-B1D0-2C54386DD812}" presName="spV" presStyleCnt="0"/>
      <dgm:spPr/>
    </dgm:pt>
    <dgm:pt modelId="{C365C2FB-DD90-405F-9711-DC081A9D2293}" type="pres">
      <dgm:prSet presAssocID="{19B010A0-65CC-4076-AF70-1A503D5B0FBA}" presName="linNode" presStyleCnt="0"/>
      <dgm:spPr/>
    </dgm:pt>
    <dgm:pt modelId="{1BE9E8AB-91D0-4774-9F1F-1C711AABDB0D}" type="pres">
      <dgm:prSet presAssocID="{19B010A0-65CC-4076-AF70-1A503D5B0FBA}" presName="parTx" presStyleLbl="revTx" presStyleIdx="3" presStyleCnt="6">
        <dgm:presLayoutVars>
          <dgm:chMax val="1"/>
          <dgm:bulletEnabled val="1"/>
        </dgm:presLayoutVars>
      </dgm:prSet>
      <dgm:spPr/>
    </dgm:pt>
    <dgm:pt modelId="{1618F032-AD1C-4CA4-B383-C5FDA9E3A5E3}" type="pres">
      <dgm:prSet presAssocID="{19B010A0-65CC-4076-AF70-1A503D5B0FBA}" presName="bracket" presStyleLbl="parChTrans1D1" presStyleIdx="3" presStyleCnt="6"/>
      <dgm:spPr/>
    </dgm:pt>
    <dgm:pt modelId="{B76286E3-DD90-4139-9066-AEC9E165BD90}" type="pres">
      <dgm:prSet presAssocID="{19B010A0-65CC-4076-AF70-1A503D5B0FBA}" presName="spH" presStyleCnt="0"/>
      <dgm:spPr/>
    </dgm:pt>
    <dgm:pt modelId="{A788F5AA-B059-43B3-90BC-D03E0FB325DD}" type="pres">
      <dgm:prSet presAssocID="{19B010A0-65CC-4076-AF70-1A503D5B0FBA}" presName="desTx" presStyleLbl="node1" presStyleIdx="3" presStyleCnt="6">
        <dgm:presLayoutVars>
          <dgm:bulletEnabled val="1"/>
        </dgm:presLayoutVars>
      </dgm:prSet>
      <dgm:spPr/>
    </dgm:pt>
    <dgm:pt modelId="{00A8B4C0-067A-48FF-A075-B9A21C49BC08}" type="pres">
      <dgm:prSet presAssocID="{0C395E57-562D-4E25-B1C1-FBE30B314044}" presName="spV" presStyleCnt="0"/>
      <dgm:spPr/>
    </dgm:pt>
    <dgm:pt modelId="{BF35339C-DAF4-4E60-A805-18F19A9AEF7E}" type="pres">
      <dgm:prSet presAssocID="{3E920B29-6F02-45C7-9A82-25D299423CCA}" presName="linNode" presStyleCnt="0"/>
      <dgm:spPr/>
    </dgm:pt>
    <dgm:pt modelId="{B963CEC5-89C8-4A0E-A77F-71F86F86EC02}" type="pres">
      <dgm:prSet presAssocID="{3E920B29-6F02-45C7-9A82-25D299423CCA}" presName="parTx" presStyleLbl="revTx" presStyleIdx="4" presStyleCnt="6">
        <dgm:presLayoutVars>
          <dgm:chMax val="1"/>
          <dgm:bulletEnabled val="1"/>
        </dgm:presLayoutVars>
      </dgm:prSet>
      <dgm:spPr/>
    </dgm:pt>
    <dgm:pt modelId="{FFDC47CA-3090-431A-8717-1D1A7D0A0693}" type="pres">
      <dgm:prSet presAssocID="{3E920B29-6F02-45C7-9A82-25D299423CCA}" presName="bracket" presStyleLbl="parChTrans1D1" presStyleIdx="4" presStyleCnt="6"/>
      <dgm:spPr/>
    </dgm:pt>
    <dgm:pt modelId="{49A3882E-79D6-420B-9187-A47C8E3B52C3}" type="pres">
      <dgm:prSet presAssocID="{3E920B29-6F02-45C7-9A82-25D299423CCA}" presName="spH" presStyleCnt="0"/>
      <dgm:spPr/>
    </dgm:pt>
    <dgm:pt modelId="{F0554389-E570-4FB0-84F7-05EC4C5A8DC5}" type="pres">
      <dgm:prSet presAssocID="{3E920B29-6F02-45C7-9A82-25D299423CCA}" presName="desTx" presStyleLbl="node1" presStyleIdx="4" presStyleCnt="6">
        <dgm:presLayoutVars>
          <dgm:bulletEnabled val="1"/>
        </dgm:presLayoutVars>
      </dgm:prSet>
      <dgm:spPr/>
    </dgm:pt>
    <dgm:pt modelId="{5EF78E9F-5BCC-4ACB-98C6-523D88F95BA0}" type="pres">
      <dgm:prSet presAssocID="{D379E3CB-6C1D-4E88-872F-655A1D58C51B}" presName="spV" presStyleCnt="0"/>
      <dgm:spPr/>
    </dgm:pt>
    <dgm:pt modelId="{75D85E59-BF3E-48E5-B0B7-FF91EC2AE3F9}" type="pres">
      <dgm:prSet presAssocID="{BA73005B-A79B-46B4-9A2A-E0002706467E}" presName="linNode" presStyleCnt="0"/>
      <dgm:spPr/>
    </dgm:pt>
    <dgm:pt modelId="{F7CA9838-FC84-42F0-8CD7-118FB3CAFDE2}" type="pres">
      <dgm:prSet presAssocID="{BA73005B-A79B-46B4-9A2A-E0002706467E}" presName="parTx" presStyleLbl="revTx" presStyleIdx="5" presStyleCnt="6">
        <dgm:presLayoutVars>
          <dgm:chMax val="1"/>
          <dgm:bulletEnabled val="1"/>
        </dgm:presLayoutVars>
      </dgm:prSet>
      <dgm:spPr/>
    </dgm:pt>
    <dgm:pt modelId="{5487AFE7-CAD1-43EC-BC38-A0D228A33F9C}" type="pres">
      <dgm:prSet presAssocID="{BA73005B-A79B-46B4-9A2A-E0002706467E}" presName="bracket" presStyleLbl="parChTrans1D1" presStyleIdx="5" presStyleCnt="6"/>
      <dgm:spPr/>
    </dgm:pt>
    <dgm:pt modelId="{CCEB2583-76EC-435E-8AA5-A5EB2D71A5C8}" type="pres">
      <dgm:prSet presAssocID="{BA73005B-A79B-46B4-9A2A-E0002706467E}" presName="spH" presStyleCnt="0"/>
      <dgm:spPr/>
    </dgm:pt>
    <dgm:pt modelId="{3A9AEE6D-EA99-472D-A22F-A8499AB26FDD}" type="pres">
      <dgm:prSet presAssocID="{BA73005B-A79B-46B4-9A2A-E0002706467E}" presName="desTx" presStyleLbl="node1" presStyleIdx="5" presStyleCnt="6" custScaleY="108523">
        <dgm:presLayoutVars>
          <dgm:bulletEnabled val="1"/>
        </dgm:presLayoutVars>
      </dgm:prSet>
      <dgm:spPr/>
    </dgm:pt>
  </dgm:ptLst>
  <dgm:cxnLst>
    <dgm:cxn modelId="{A1E8130C-3141-4CE9-9878-A33CD2CB4A1D}" srcId="{9731ED42-8B15-4057-A0D8-8E60EBAA87E6}" destId="{19B010A0-65CC-4076-AF70-1A503D5B0FBA}" srcOrd="3" destOrd="0" parTransId="{B42EFE84-1998-40FC-B3AC-D244F7028DF5}" sibTransId="{0C395E57-562D-4E25-B1C1-FBE30B314044}"/>
    <dgm:cxn modelId="{60724C0F-C8CD-49A0-AC67-3CAD1B72C23A}" type="presOf" srcId="{DB4F0733-7FA7-4490-B62F-7481517824E8}" destId="{3A9AEE6D-EA99-472D-A22F-A8499AB26FDD}" srcOrd="0" destOrd="2" presId="urn:diagrams.loki3.com/BracketList"/>
    <dgm:cxn modelId="{505E7915-CBBD-4AD3-8D8D-87CF21CCDBD4}" type="presOf" srcId="{E1A79202-3C88-4BFF-8CFA-F93C9BCAA37C}" destId="{CDF44CD9-3D86-4BD3-B661-0B645B17E57A}" srcOrd="0" destOrd="4" presId="urn:diagrams.loki3.com/BracketList"/>
    <dgm:cxn modelId="{BDABE91B-B5B6-4896-89C4-722E0F31F625}" srcId="{6CFA686B-F1F3-4165-A35D-57084C290132}" destId="{5ABF2E6E-6BBE-4691-98D6-C929E09F1B64}" srcOrd="0" destOrd="0" parTransId="{52FD80D9-4207-4C62-86F9-A443E5B926FC}" sibTransId="{AABCFAD9-F23C-42CB-920E-421A53EF2137}"/>
    <dgm:cxn modelId="{C7CD641E-43FA-46A2-AC22-033670B8F07D}" srcId="{9731ED42-8B15-4057-A0D8-8E60EBAA87E6}" destId="{BA73005B-A79B-46B4-9A2A-E0002706467E}" srcOrd="5" destOrd="0" parTransId="{3973BD17-C017-4A79-8923-6927EBC22B74}" sibTransId="{981EB073-1D21-4058-B528-F26DBEF0133E}"/>
    <dgm:cxn modelId="{433CDB2C-9222-4AB6-90AE-0A81F6EF510B}" srcId="{A468ACAB-383A-456E-9355-9F67652CB4E7}" destId="{3BB4A8E5-13EB-48D5-9D3F-78BF6F726101}" srcOrd="1" destOrd="0" parTransId="{7C12738C-C96C-482E-9000-4F16856AC01E}" sibTransId="{EF72CC37-ED88-4DFB-994E-DE85CF9AF446}"/>
    <dgm:cxn modelId="{B87AC42F-F3D1-4228-8FD2-68492824AC17}" type="presOf" srcId="{5ABF2E6E-6BBE-4691-98D6-C929E09F1B64}" destId="{93F11D55-FFE9-4A61-B287-D2F98A7C223C}" srcOrd="0" destOrd="0" presId="urn:diagrams.loki3.com/BracketList"/>
    <dgm:cxn modelId="{BAA28430-27EA-4071-866C-A6A506D0C7D9}" srcId="{353DE9CF-62D0-483B-B384-C2618416E22A}" destId="{B1E37BD1-BC0A-44A1-98EF-C08318018EB5}" srcOrd="1" destOrd="0" parTransId="{F2DB6488-8C3C-437D-8E69-EE820EAC58BA}" sibTransId="{CE44A5A6-641F-4349-81FF-37F57A61E702}"/>
    <dgm:cxn modelId="{B409FA3E-147C-4438-8BB8-98EF8386C9F7}" srcId="{A468ACAB-383A-456E-9355-9F67652CB4E7}" destId="{E1A79202-3C88-4BFF-8CFA-F93C9BCAA37C}" srcOrd="3" destOrd="0" parTransId="{B3E33688-DEDF-49B6-B7AC-F38F4D03F1D5}" sibTransId="{374DE25A-E817-414E-8BBF-96D83D13C8D2}"/>
    <dgm:cxn modelId="{0026A45F-545E-4C25-864B-BF07C21A02A3}" type="presOf" srcId="{B1E37BD1-BC0A-44A1-98EF-C08318018EB5}" destId="{CDF44CD9-3D86-4BD3-B661-0B645B17E57A}" srcOrd="0" destOrd="5" presId="urn:diagrams.loki3.com/BracketList"/>
    <dgm:cxn modelId="{77AA9564-C906-45BF-88AC-BD83DBBA0F63}" srcId="{9731ED42-8B15-4057-A0D8-8E60EBAA87E6}" destId="{3E920B29-6F02-45C7-9A82-25D299423CCA}" srcOrd="4" destOrd="0" parTransId="{27ED1307-2525-4330-83CF-2404C94D02A6}" sibTransId="{D379E3CB-6C1D-4E88-872F-655A1D58C51B}"/>
    <dgm:cxn modelId="{C1CDF364-2913-4816-B433-CFF851A6C3A5}" srcId="{4F787EAC-50A2-479D-A3BD-EC47469FD0EC}" destId="{6CF2504D-4EE0-48A5-AD6B-546E357CABFC}" srcOrd="1" destOrd="0" parTransId="{8B97FE2F-EB9F-4A22-8536-FE5A7E7BA9B5}" sibTransId="{8AF3F10A-CC68-4ECC-8749-383E5826EB94}"/>
    <dgm:cxn modelId="{C8863A65-0F5B-452D-AD9E-6256E25157DB}" srcId="{6CFA686B-F1F3-4165-A35D-57084C290132}" destId="{F257616B-FE7E-4D63-9106-6315F72AF085}" srcOrd="1" destOrd="0" parTransId="{598A94E4-9069-4B28-A579-111C487FB80E}" sibTransId="{6714C23B-B787-4C8C-A7B2-F8D139F169E6}"/>
    <dgm:cxn modelId="{C383F366-DE7F-4F6A-A234-6A826B26ADCD}" type="presOf" srcId="{F3418A9E-5633-4259-BB3C-B33CA3A87866}" destId="{CDF44CD9-3D86-4BD3-B661-0B645B17E57A}" srcOrd="0" destOrd="3" presId="urn:diagrams.loki3.com/BracketList"/>
    <dgm:cxn modelId="{CB23FF67-A1AF-499A-8054-33CE5D5F5605}" srcId="{19B010A0-65CC-4076-AF70-1A503D5B0FBA}" destId="{0004444F-906E-4B01-B85E-EE93D436C6B9}" srcOrd="2" destOrd="0" parTransId="{1B9FEAEC-22C6-417F-904D-D7CB905AD4B7}" sibTransId="{4A817072-C71A-4B1A-A215-1FBBCE10A485}"/>
    <dgm:cxn modelId="{B6EB0D69-4527-49DE-ACCB-F6E60B379638}" type="presOf" srcId="{9731ED42-8B15-4057-A0D8-8E60EBAA87E6}" destId="{4DE09B53-6792-4ACA-AD3C-A6EC097FD6FA}" srcOrd="0" destOrd="0" presId="urn:diagrams.loki3.com/BracketList"/>
    <dgm:cxn modelId="{246D8969-5CCB-4A88-8068-EBA3C60EAA42}" srcId="{353DE9CF-62D0-483B-B384-C2618416E22A}" destId="{A468ACAB-383A-456E-9355-9F67652CB4E7}" srcOrd="0" destOrd="0" parTransId="{C8398A62-0BA1-4C07-A240-3F7108C061F6}" sibTransId="{C9E8A8A5-64ED-4F64-BDD1-B2AF0040733B}"/>
    <dgm:cxn modelId="{004EB34A-F084-4C25-AE4A-1FB9E105693E}" srcId="{19B010A0-65CC-4076-AF70-1A503D5B0FBA}" destId="{E43ED5CC-750B-495D-8F46-A17BCC1B6755}" srcOrd="1" destOrd="0" parTransId="{8106E152-FCE3-4C07-8B73-4A4C8A0F6F50}" sibTransId="{1CC78B3F-3ED5-4DE6-959C-E60CD89E346A}"/>
    <dgm:cxn modelId="{2ECB246B-13B4-4A99-9413-0CBF43BDAD6C}" srcId="{9731ED42-8B15-4057-A0D8-8E60EBAA87E6}" destId="{353DE9CF-62D0-483B-B384-C2618416E22A}" srcOrd="1" destOrd="0" parTransId="{A337C0D0-F15C-408B-8A3F-FE9FF70DC9AE}" sibTransId="{63DF404E-D246-4368-9C86-088D48435301}"/>
    <dgm:cxn modelId="{8CA2944C-E6EA-4C54-A018-4053D8C4B7AE}" type="presOf" srcId="{3BB4A8E5-13EB-48D5-9D3F-78BF6F726101}" destId="{CDF44CD9-3D86-4BD3-B661-0B645B17E57A}" srcOrd="0" destOrd="2" presId="urn:diagrams.loki3.com/BracketList"/>
    <dgm:cxn modelId="{296A2074-87CA-4154-94C6-620C323E6D2A}" srcId="{A468ACAB-383A-456E-9355-9F67652CB4E7}" destId="{E6BE1F3E-C6DB-43CF-8397-AEF60CCDBF12}" srcOrd="0" destOrd="0" parTransId="{D1545484-147D-4C9F-B1F8-C3503F9A58E3}" sibTransId="{0B6C76BF-5A9D-4641-97D9-261B62AC0E90}"/>
    <dgm:cxn modelId="{9288DB55-F3DA-47F4-9638-DB9067BEDCCC}" type="presOf" srcId="{353DE9CF-62D0-483B-B384-C2618416E22A}" destId="{9D97AA6A-93EA-4982-9C0D-940A9B07A4DC}" srcOrd="0" destOrd="0" presId="urn:diagrams.loki3.com/BracketList"/>
    <dgm:cxn modelId="{75C8F655-DC41-433C-98C2-88271033AD0E}" type="presOf" srcId="{0004444F-906E-4B01-B85E-EE93D436C6B9}" destId="{A788F5AA-B059-43B3-90BC-D03E0FB325DD}" srcOrd="0" destOrd="2" presId="urn:diagrams.loki3.com/BracketList"/>
    <dgm:cxn modelId="{A7661E76-FE6E-4BF6-8BBD-0EF12587079B}" type="presOf" srcId="{BE3934A8-35B1-4D9A-8C64-0E938856836B}" destId="{F0554389-E570-4FB0-84F7-05EC4C5A8DC5}" srcOrd="0" destOrd="2" presId="urn:diagrams.loki3.com/BracketList"/>
    <dgm:cxn modelId="{E3A95058-146C-41BD-B882-316AF983F876}" type="presOf" srcId="{817296A1-1B49-459B-BBB6-9AB49B69AFD7}" destId="{3A9AEE6D-EA99-472D-A22F-A8499AB26FDD}" srcOrd="0" destOrd="1" presId="urn:diagrams.loki3.com/BracketList"/>
    <dgm:cxn modelId="{DE7D0A79-90DC-4F6F-8D90-CCDA44FB2E2A}" type="presOf" srcId="{8E990AE2-131B-4D53-8CD6-5BB6660295F6}" destId="{F0554389-E570-4FB0-84F7-05EC4C5A8DC5}" srcOrd="0" destOrd="0" presId="urn:diagrams.loki3.com/BracketList"/>
    <dgm:cxn modelId="{4EA0E179-66FA-4892-B8E4-B0321C2E697B}" type="presOf" srcId="{BA73005B-A79B-46B4-9A2A-E0002706467E}" destId="{F7CA9838-FC84-42F0-8CD7-118FB3CAFDE2}" srcOrd="0" destOrd="0" presId="urn:diagrams.loki3.com/BracketList"/>
    <dgm:cxn modelId="{671F835A-E4D7-48C3-B77F-E3B7C276459C}" srcId="{9731ED42-8B15-4057-A0D8-8E60EBAA87E6}" destId="{4F787EAC-50A2-479D-A3BD-EC47469FD0EC}" srcOrd="0" destOrd="0" parTransId="{CD6DBDAE-1F54-4E68-B72C-FC1D456BC395}" sibTransId="{3A01C108-5C8B-4A30-899F-B44636F850F9}"/>
    <dgm:cxn modelId="{52E3FD7C-8955-431F-8CD9-1D0934FB03C9}" srcId="{BA73005B-A79B-46B4-9A2A-E0002706467E}" destId="{817296A1-1B49-459B-BBB6-9AB49B69AFD7}" srcOrd="1" destOrd="0" parTransId="{A46A4639-C33B-4A09-9132-0D0F3CA8BEAC}" sibTransId="{42D744C4-04CE-41C1-89B0-566AA6619FB1}"/>
    <dgm:cxn modelId="{572A167F-D885-47DA-8AD8-F4B82E6318EC}" srcId="{9731ED42-8B15-4057-A0D8-8E60EBAA87E6}" destId="{6CFA686B-F1F3-4165-A35D-57084C290132}" srcOrd="2" destOrd="0" parTransId="{F1169EEB-4872-459A-B17A-B599BCBA2276}" sibTransId="{08FF0CB2-F84F-4C81-B1D0-2C54386DD812}"/>
    <dgm:cxn modelId="{37086181-6F19-4CD3-B3DF-49E51483A501}" srcId="{3E920B29-6F02-45C7-9A82-25D299423CCA}" destId="{BE3934A8-35B1-4D9A-8C64-0E938856836B}" srcOrd="2" destOrd="0" parTransId="{845F9E63-86AB-4F7B-8878-01B94255E195}" sibTransId="{E9DEA3FF-F782-4041-8FE9-9C55AB9F691C}"/>
    <dgm:cxn modelId="{C537BE84-2359-4434-912D-63229B659E35}" srcId="{3E920B29-6F02-45C7-9A82-25D299423CCA}" destId="{8E990AE2-131B-4D53-8CD6-5BB6660295F6}" srcOrd="0" destOrd="0" parTransId="{B44BF2CA-9594-402D-BFA0-190549A87694}" sibTransId="{23EB4A7B-364E-468C-B71D-62A76D0CCCA9}"/>
    <dgm:cxn modelId="{630D1E94-0CDF-499E-B074-E276B02CCFE6}" type="presOf" srcId="{6CF2504D-4EE0-48A5-AD6B-546E357CABFC}" destId="{AF9DD486-DEDC-4BE7-8C54-737483A815A8}" srcOrd="0" destOrd="1" presId="urn:diagrams.loki3.com/BracketList"/>
    <dgm:cxn modelId="{CA3050A0-F6DA-46F4-BEA2-88BAC3C69735}" type="presOf" srcId="{87456200-F536-4B81-B93A-2121B2C899AA}" destId="{3A9AEE6D-EA99-472D-A22F-A8499AB26FDD}" srcOrd="0" destOrd="4" presId="urn:diagrams.loki3.com/BracketList"/>
    <dgm:cxn modelId="{069641A4-AF2D-43B2-B942-76A4586513A2}" type="presOf" srcId="{D53E6678-B6E0-4A36-B8E9-1E4CD73B1BD7}" destId="{A788F5AA-B059-43B3-90BC-D03E0FB325DD}" srcOrd="0" destOrd="0" presId="urn:diagrams.loki3.com/BracketList"/>
    <dgm:cxn modelId="{4585BAA5-D48A-4F88-8494-31B9757FB0B1}" srcId="{3E920B29-6F02-45C7-9A82-25D299423CCA}" destId="{F1681FAA-98CD-412E-B45E-D96C25876CF2}" srcOrd="1" destOrd="0" parTransId="{CAC29BBF-E1BF-42C8-846C-170BA9059906}" sibTransId="{D3E6C1A1-6C35-40BF-8A86-6CE820A1AF5C}"/>
    <dgm:cxn modelId="{03B6CEAA-51CD-4207-BBBD-1CC0BCA12118}" type="presOf" srcId="{F1681FAA-98CD-412E-B45E-D96C25876CF2}" destId="{F0554389-E570-4FB0-84F7-05EC4C5A8DC5}" srcOrd="0" destOrd="1" presId="urn:diagrams.loki3.com/BracketList"/>
    <dgm:cxn modelId="{187153AC-A061-49C2-BC6A-A11ADB5663EE}" srcId="{A468ACAB-383A-456E-9355-9F67652CB4E7}" destId="{F3418A9E-5633-4259-BB3C-B33CA3A87866}" srcOrd="2" destOrd="0" parTransId="{E0956617-A050-4706-A970-39EFD886E20F}" sibTransId="{F7785721-5330-455C-BF42-23E96AC3E7D5}"/>
    <dgm:cxn modelId="{2D5B89B1-3112-40F2-BDDC-2915C1EADF82}" srcId="{817296A1-1B49-459B-BBB6-9AB49B69AFD7}" destId="{DB4F0733-7FA7-4490-B62F-7481517824E8}" srcOrd="0" destOrd="0" parTransId="{7F69F619-7812-4E5D-ABDF-C37178190770}" sibTransId="{60411442-364A-469C-9AEA-D08A94E00988}"/>
    <dgm:cxn modelId="{86FBBEB2-39D4-4399-9062-5D9002525BBA}" srcId="{BA73005B-A79B-46B4-9A2A-E0002706467E}" destId="{C6D4A9D0-4B61-46DF-8DEA-7FA9FB6F3FD9}" srcOrd="0" destOrd="0" parTransId="{A345F85A-5BD4-4984-B9B7-D9A0CC2FBD52}" sibTransId="{A9612222-E553-46B5-A897-E0422F0A931D}"/>
    <dgm:cxn modelId="{69DDD3B3-AE40-4C75-B29E-D77EF74856B3}" type="presOf" srcId="{A468ACAB-383A-456E-9355-9F67652CB4E7}" destId="{CDF44CD9-3D86-4BD3-B661-0B645B17E57A}" srcOrd="0" destOrd="0" presId="urn:diagrams.loki3.com/BracketList"/>
    <dgm:cxn modelId="{F704B7BB-E99F-4830-A1B8-BF0AB495BAD3}" type="presOf" srcId="{F257616B-FE7E-4D63-9106-6315F72AF085}" destId="{93F11D55-FFE9-4A61-B287-D2F98A7C223C}" srcOrd="0" destOrd="1" presId="urn:diagrams.loki3.com/BracketList"/>
    <dgm:cxn modelId="{580AEDC5-CBDE-40B8-8920-A212B5D133F5}" srcId="{817296A1-1B49-459B-BBB6-9AB49B69AFD7}" destId="{87456200-F536-4B81-B93A-2121B2C899AA}" srcOrd="2" destOrd="0" parTransId="{79CF09C0-BD4F-48EE-B467-73118F773660}" sibTransId="{1409A050-17A8-4CF5-9D63-8DE1BECE82F1}"/>
    <dgm:cxn modelId="{9DA0FEC7-DB52-401C-9BA3-25B063123112}" type="presOf" srcId="{3E920B29-6F02-45C7-9A82-25D299423CCA}" destId="{B963CEC5-89C8-4A0E-A77F-71F86F86EC02}" srcOrd="0" destOrd="0" presId="urn:diagrams.loki3.com/BracketList"/>
    <dgm:cxn modelId="{08CDF5CB-48FB-42C9-B9A9-41182B001598}" type="presOf" srcId="{6CFA686B-F1F3-4165-A35D-57084C290132}" destId="{4D5F9F07-A866-427C-98D8-E044D6D4EFC8}" srcOrd="0" destOrd="0" presId="urn:diagrams.loki3.com/BracketList"/>
    <dgm:cxn modelId="{C14EE0D1-A1F5-41BD-8060-3FDE2521CCA7}" srcId="{19B010A0-65CC-4076-AF70-1A503D5B0FBA}" destId="{D53E6678-B6E0-4A36-B8E9-1E4CD73B1BD7}" srcOrd="0" destOrd="0" parTransId="{BCF993C8-9C31-4030-84E9-AF442AFF8852}" sibTransId="{1611ABE7-4CD8-4DE1-A73E-4E629CF293AD}"/>
    <dgm:cxn modelId="{9B01FFD1-EB5C-4884-9F3E-5735D31B0DBF}" srcId="{4F787EAC-50A2-479D-A3BD-EC47469FD0EC}" destId="{2BCF372C-4769-4C27-9035-295E338CBFC5}" srcOrd="0" destOrd="0" parTransId="{1F3B52E8-BCB9-4D0B-BCFE-492E0A2A4DCF}" sibTransId="{F18742F6-A744-4803-B7B2-4ADCC76B9748}"/>
    <dgm:cxn modelId="{BF2DE9D6-778D-40A9-A108-952F065D1479}" srcId="{817296A1-1B49-459B-BBB6-9AB49B69AFD7}" destId="{47B32823-ACA1-4ED1-96B8-17DE44F68C4D}" srcOrd="1" destOrd="0" parTransId="{1C3C6095-5E87-4797-8CBC-7CBF169E05CA}" sibTransId="{77B4206D-2037-485C-991E-26F5D38BB07D}"/>
    <dgm:cxn modelId="{69F9A2E5-E4CC-40A7-B4F4-4C373A6EFD01}" type="presOf" srcId="{4F787EAC-50A2-479D-A3BD-EC47469FD0EC}" destId="{BD08552B-AB6D-4DCF-89A6-278AE0B6F90A}" srcOrd="0" destOrd="0" presId="urn:diagrams.loki3.com/BracketList"/>
    <dgm:cxn modelId="{7808C3E5-8604-4E19-BCDB-CCD23D24FCCB}" type="presOf" srcId="{2BCF372C-4769-4C27-9035-295E338CBFC5}" destId="{AF9DD486-DEDC-4BE7-8C54-737483A815A8}" srcOrd="0" destOrd="0" presId="urn:diagrams.loki3.com/BracketList"/>
    <dgm:cxn modelId="{A56B92FB-F70E-4ADD-9724-C6E18ECA5A4E}" type="presOf" srcId="{47B32823-ACA1-4ED1-96B8-17DE44F68C4D}" destId="{3A9AEE6D-EA99-472D-A22F-A8499AB26FDD}" srcOrd="0" destOrd="3" presId="urn:diagrams.loki3.com/BracketList"/>
    <dgm:cxn modelId="{5639B4FB-3C98-42A2-B23A-3C281AD4DBC8}" type="presOf" srcId="{E43ED5CC-750B-495D-8F46-A17BCC1B6755}" destId="{A788F5AA-B059-43B3-90BC-D03E0FB325DD}" srcOrd="0" destOrd="1" presId="urn:diagrams.loki3.com/BracketList"/>
    <dgm:cxn modelId="{2203C3FB-6E33-467D-858E-5F03F92AF979}" type="presOf" srcId="{E6BE1F3E-C6DB-43CF-8397-AEF60CCDBF12}" destId="{CDF44CD9-3D86-4BD3-B661-0B645B17E57A}" srcOrd="0" destOrd="1" presId="urn:diagrams.loki3.com/BracketList"/>
    <dgm:cxn modelId="{0C71D7FC-6960-4684-B2CC-FD3E59C1B00F}" type="presOf" srcId="{19B010A0-65CC-4076-AF70-1A503D5B0FBA}" destId="{1BE9E8AB-91D0-4774-9F1F-1C711AABDB0D}" srcOrd="0" destOrd="0" presId="urn:diagrams.loki3.com/BracketList"/>
    <dgm:cxn modelId="{13D9B1FE-EB5B-43BE-AF19-44CCEE8D9994}" type="presOf" srcId="{C6D4A9D0-4B61-46DF-8DEA-7FA9FB6F3FD9}" destId="{3A9AEE6D-EA99-472D-A22F-A8499AB26FDD}" srcOrd="0" destOrd="0" presId="urn:diagrams.loki3.com/BracketList"/>
    <dgm:cxn modelId="{76EB393D-BA6A-4782-8BEC-069391D1CA74}" type="presParOf" srcId="{4DE09B53-6792-4ACA-AD3C-A6EC097FD6FA}" destId="{A489DF58-A83C-4034-82A8-3C8F14079D94}" srcOrd="0" destOrd="0" presId="urn:diagrams.loki3.com/BracketList"/>
    <dgm:cxn modelId="{0D32646C-66D3-4923-86FE-BDA8B90F1715}" type="presParOf" srcId="{A489DF58-A83C-4034-82A8-3C8F14079D94}" destId="{BD08552B-AB6D-4DCF-89A6-278AE0B6F90A}" srcOrd="0" destOrd="0" presId="urn:diagrams.loki3.com/BracketList"/>
    <dgm:cxn modelId="{A72DD27A-49F8-42A6-95EF-685C5A154C84}" type="presParOf" srcId="{A489DF58-A83C-4034-82A8-3C8F14079D94}" destId="{C154F076-7A4C-4EBE-939E-436BB1823B57}" srcOrd="1" destOrd="0" presId="urn:diagrams.loki3.com/BracketList"/>
    <dgm:cxn modelId="{3773EC43-C294-4427-9679-8FA75CEFB892}" type="presParOf" srcId="{A489DF58-A83C-4034-82A8-3C8F14079D94}" destId="{CF55BAFD-4152-4F2E-8447-79C06D617D0D}" srcOrd="2" destOrd="0" presId="urn:diagrams.loki3.com/BracketList"/>
    <dgm:cxn modelId="{F244A9AE-73C1-4C1C-B4D7-D6FC4AD16477}" type="presParOf" srcId="{A489DF58-A83C-4034-82A8-3C8F14079D94}" destId="{AF9DD486-DEDC-4BE7-8C54-737483A815A8}" srcOrd="3" destOrd="0" presId="urn:diagrams.loki3.com/BracketList"/>
    <dgm:cxn modelId="{9A613968-2433-428E-A590-3A835ECEF64F}" type="presParOf" srcId="{4DE09B53-6792-4ACA-AD3C-A6EC097FD6FA}" destId="{42E29A6B-B88B-45B1-BCC7-812C3A5552F6}" srcOrd="1" destOrd="0" presId="urn:diagrams.loki3.com/BracketList"/>
    <dgm:cxn modelId="{1E26A6E8-756E-4E4F-B9D7-5C53FA264C46}" type="presParOf" srcId="{4DE09B53-6792-4ACA-AD3C-A6EC097FD6FA}" destId="{F64EC2F5-EC49-4FD6-A487-411C1D649B34}" srcOrd="2" destOrd="0" presId="urn:diagrams.loki3.com/BracketList"/>
    <dgm:cxn modelId="{C45C7925-BA39-4E30-88B8-F0A2EC4A816E}" type="presParOf" srcId="{F64EC2F5-EC49-4FD6-A487-411C1D649B34}" destId="{9D97AA6A-93EA-4982-9C0D-940A9B07A4DC}" srcOrd="0" destOrd="0" presId="urn:diagrams.loki3.com/BracketList"/>
    <dgm:cxn modelId="{4150949D-38CE-494F-807D-BE996998F5BB}" type="presParOf" srcId="{F64EC2F5-EC49-4FD6-A487-411C1D649B34}" destId="{FAF2544B-A326-4642-862B-C70F8540973D}" srcOrd="1" destOrd="0" presId="urn:diagrams.loki3.com/BracketList"/>
    <dgm:cxn modelId="{E211EDE4-4D37-49B0-9B90-B558F8D03CD1}" type="presParOf" srcId="{F64EC2F5-EC49-4FD6-A487-411C1D649B34}" destId="{0FC89F3E-C115-4620-901B-00C0601DCF7A}" srcOrd="2" destOrd="0" presId="urn:diagrams.loki3.com/BracketList"/>
    <dgm:cxn modelId="{FEA15F95-4C9A-42EE-B633-4B93FF2D733E}" type="presParOf" srcId="{F64EC2F5-EC49-4FD6-A487-411C1D649B34}" destId="{CDF44CD9-3D86-4BD3-B661-0B645B17E57A}" srcOrd="3" destOrd="0" presId="urn:diagrams.loki3.com/BracketList"/>
    <dgm:cxn modelId="{B4B3BFD3-2A10-4AAD-BE0F-4B17642E1766}" type="presParOf" srcId="{4DE09B53-6792-4ACA-AD3C-A6EC097FD6FA}" destId="{25D123AA-B0A4-47C3-B478-7349F38C1C10}" srcOrd="3" destOrd="0" presId="urn:diagrams.loki3.com/BracketList"/>
    <dgm:cxn modelId="{4183C9D1-CCFA-4C30-88D4-EA9999637D59}" type="presParOf" srcId="{4DE09B53-6792-4ACA-AD3C-A6EC097FD6FA}" destId="{32253B74-1ADE-4FAF-883C-6282E6A1C8FF}" srcOrd="4" destOrd="0" presId="urn:diagrams.loki3.com/BracketList"/>
    <dgm:cxn modelId="{4A5307B3-074A-443C-8CF7-F0F61C64156B}" type="presParOf" srcId="{32253B74-1ADE-4FAF-883C-6282E6A1C8FF}" destId="{4D5F9F07-A866-427C-98D8-E044D6D4EFC8}" srcOrd="0" destOrd="0" presId="urn:diagrams.loki3.com/BracketList"/>
    <dgm:cxn modelId="{EAC7D027-90B3-4611-8849-693491B4DAA5}" type="presParOf" srcId="{32253B74-1ADE-4FAF-883C-6282E6A1C8FF}" destId="{9F24A1BE-0D9A-46B4-9028-F1E521ABF59D}" srcOrd="1" destOrd="0" presId="urn:diagrams.loki3.com/BracketList"/>
    <dgm:cxn modelId="{40CB7CEE-EC8C-4084-AF8A-AAA69B37D007}" type="presParOf" srcId="{32253B74-1ADE-4FAF-883C-6282E6A1C8FF}" destId="{D173E827-79E5-43DC-94EF-E8603FCFDA9B}" srcOrd="2" destOrd="0" presId="urn:diagrams.loki3.com/BracketList"/>
    <dgm:cxn modelId="{38732F9B-6D4C-4AA6-945F-747B7D904FD1}" type="presParOf" srcId="{32253B74-1ADE-4FAF-883C-6282E6A1C8FF}" destId="{93F11D55-FFE9-4A61-B287-D2F98A7C223C}" srcOrd="3" destOrd="0" presId="urn:diagrams.loki3.com/BracketList"/>
    <dgm:cxn modelId="{F62D7F01-0351-4360-B59D-5C23758D570C}" type="presParOf" srcId="{4DE09B53-6792-4ACA-AD3C-A6EC097FD6FA}" destId="{DE97296E-DBFD-4576-900E-A032A55E3E6F}" srcOrd="5" destOrd="0" presId="urn:diagrams.loki3.com/BracketList"/>
    <dgm:cxn modelId="{FFBA3FC8-0126-4160-9F0A-5A21E373FA30}" type="presParOf" srcId="{4DE09B53-6792-4ACA-AD3C-A6EC097FD6FA}" destId="{C365C2FB-DD90-405F-9711-DC081A9D2293}" srcOrd="6" destOrd="0" presId="urn:diagrams.loki3.com/BracketList"/>
    <dgm:cxn modelId="{F2E4C6BC-B64F-409F-80C6-F6BD45FDBF27}" type="presParOf" srcId="{C365C2FB-DD90-405F-9711-DC081A9D2293}" destId="{1BE9E8AB-91D0-4774-9F1F-1C711AABDB0D}" srcOrd="0" destOrd="0" presId="urn:diagrams.loki3.com/BracketList"/>
    <dgm:cxn modelId="{1AA7D205-D08B-4BCA-A8AB-C99579B868A6}" type="presParOf" srcId="{C365C2FB-DD90-405F-9711-DC081A9D2293}" destId="{1618F032-AD1C-4CA4-B383-C5FDA9E3A5E3}" srcOrd="1" destOrd="0" presId="urn:diagrams.loki3.com/BracketList"/>
    <dgm:cxn modelId="{744F3AD2-7A93-45F6-BDE5-ECCA8F7B26B0}" type="presParOf" srcId="{C365C2FB-DD90-405F-9711-DC081A9D2293}" destId="{B76286E3-DD90-4139-9066-AEC9E165BD90}" srcOrd="2" destOrd="0" presId="urn:diagrams.loki3.com/BracketList"/>
    <dgm:cxn modelId="{178619B5-6E73-4A0A-B85B-E275EEC3B26C}" type="presParOf" srcId="{C365C2FB-DD90-405F-9711-DC081A9D2293}" destId="{A788F5AA-B059-43B3-90BC-D03E0FB325DD}" srcOrd="3" destOrd="0" presId="urn:diagrams.loki3.com/BracketList"/>
    <dgm:cxn modelId="{667D7DC3-6645-465E-8F5B-CA1736979BF0}" type="presParOf" srcId="{4DE09B53-6792-4ACA-AD3C-A6EC097FD6FA}" destId="{00A8B4C0-067A-48FF-A075-B9A21C49BC08}" srcOrd="7" destOrd="0" presId="urn:diagrams.loki3.com/BracketList"/>
    <dgm:cxn modelId="{7009B7E1-7E62-4B08-AFF6-122D9C60B7A5}" type="presParOf" srcId="{4DE09B53-6792-4ACA-AD3C-A6EC097FD6FA}" destId="{BF35339C-DAF4-4E60-A805-18F19A9AEF7E}" srcOrd="8" destOrd="0" presId="urn:diagrams.loki3.com/BracketList"/>
    <dgm:cxn modelId="{12A91020-E635-4787-BF33-EE3A088A99A3}" type="presParOf" srcId="{BF35339C-DAF4-4E60-A805-18F19A9AEF7E}" destId="{B963CEC5-89C8-4A0E-A77F-71F86F86EC02}" srcOrd="0" destOrd="0" presId="urn:diagrams.loki3.com/BracketList"/>
    <dgm:cxn modelId="{AFBC5E72-B3AC-4BC2-B845-AD553AE6E030}" type="presParOf" srcId="{BF35339C-DAF4-4E60-A805-18F19A9AEF7E}" destId="{FFDC47CA-3090-431A-8717-1D1A7D0A0693}" srcOrd="1" destOrd="0" presId="urn:diagrams.loki3.com/BracketList"/>
    <dgm:cxn modelId="{F71BBDFF-3B99-447A-86E9-75CA218109BF}" type="presParOf" srcId="{BF35339C-DAF4-4E60-A805-18F19A9AEF7E}" destId="{49A3882E-79D6-420B-9187-A47C8E3B52C3}" srcOrd="2" destOrd="0" presId="urn:diagrams.loki3.com/BracketList"/>
    <dgm:cxn modelId="{9BF53FF3-2CAE-49E0-9C96-90A571F87415}" type="presParOf" srcId="{BF35339C-DAF4-4E60-A805-18F19A9AEF7E}" destId="{F0554389-E570-4FB0-84F7-05EC4C5A8DC5}" srcOrd="3" destOrd="0" presId="urn:diagrams.loki3.com/BracketList"/>
    <dgm:cxn modelId="{37D15FDD-88DA-488D-A35E-2C81142DB696}" type="presParOf" srcId="{4DE09B53-6792-4ACA-AD3C-A6EC097FD6FA}" destId="{5EF78E9F-5BCC-4ACB-98C6-523D88F95BA0}" srcOrd="9" destOrd="0" presId="urn:diagrams.loki3.com/BracketList"/>
    <dgm:cxn modelId="{91A74280-93B4-4BD4-81F6-F1C8F7B8B80A}" type="presParOf" srcId="{4DE09B53-6792-4ACA-AD3C-A6EC097FD6FA}" destId="{75D85E59-BF3E-48E5-B0B7-FF91EC2AE3F9}" srcOrd="10" destOrd="0" presId="urn:diagrams.loki3.com/BracketList"/>
    <dgm:cxn modelId="{50B1D268-1B0C-4610-A236-F5C1A28F81CB}" type="presParOf" srcId="{75D85E59-BF3E-48E5-B0B7-FF91EC2AE3F9}" destId="{F7CA9838-FC84-42F0-8CD7-118FB3CAFDE2}" srcOrd="0" destOrd="0" presId="urn:diagrams.loki3.com/BracketList"/>
    <dgm:cxn modelId="{60592B46-05FF-4A87-9205-8A7EBA096229}" type="presParOf" srcId="{75D85E59-BF3E-48E5-B0B7-FF91EC2AE3F9}" destId="{5487AFE7-CAD1-43EC-BC38-A0D228A33F9C}" srcOrd="1" destOrd="0" presId="urn:diagrams.loki3.com/BracketList"/>
    <dgm:cxn modelId="{E7F75A9E-9DA8-49EE-A3BA-57332B8EBE5D}" type="presParOf" srcId="{75D85E59-BF3E-48E5-B0B7-FF91EC2AE3F9}" destId="{CCEB2583-76EC-435E-8AA5-A5EB2D71A5C8}" srcOrd="2" destOrd="0" presId="urn:diagrams.loki3.com/BracketList"/>
    <dgm:cxn modelId="{83FA8D0C-C193-4062-AD46-55D95DC942B7}" type="presParOf" srcId="{75D85E59-BF3E-48E5-B0B7-FF91EC2AE3F9}" destId="{3A9AEE6D-EA99-472D-A22F-A8499AB26FDD}" srcOrd="3" destOrd="0" presId="urn:diagrams.loki3.com/BracketList"/>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9731ED42-8B15-4057-A0D8-8E60EBAA87E6}" type="doc">
      <dgm:prSet loTypeId="urn:diagrams.loki3.com/BracketList" loCatId="list" qsTypeId="urn:microsoft.com/office/officeart/2005/8/quickstyle/simple1" qsCatId="simple" csTypeId="urn:microsoft.com/office/officeart/2005/8/colors/colorful4" csCatId="colorful" phldr="1"/>
      <dgm:spPr/>
      <dgm:t>
        <a:bodyPr/>
        <a:lstStyle/>
        <a:p>
          <a:endParaRPr lang="en-US"/>
        </a:p>
      </dgm:t>
    </dgm:pt>
    <dgm:pt modelId="{5DB08DB5-AE7C-4954-B7B3-21386CFEE139}">
      <dgm:prSet custT="1"/>
      <dgm:spPr/>
      <dgm:t>
        <a:bodyPr/>
        <a:lstStyle/>
        <a:p>
          <a:pPr>
            <a:buNone/>
          </a:pPr>
          <a:r>
            <a:rPr lang="en-US" sz="1050" dirty="0">
              <a:latin typeface="Century Gothic" panose="020B0502020202020204" pitchFamily="34" charset="0"/>
            </a:rPr>
            <a:t>Serve as the first point of contact to resolve disputes between and/or among contractors</a:t>
          </a:r>
        </a:p>
      </dgm:t>
    </dgm:pt>
    <dgm:pt modelId="{5F830C15-4CD0-4149-B7A7-21A9CEAF84FE}" type="parTrans" cxnId="{76EEF0B4-9C28-430C-A6FE-7AD7168C710D}">
      <dgm:prSet/>
      <dgm:spPr/>
      <dgm:t>
        <a:bodyPr/>
        <a:lstStyle/>
        <a:p>
          <a:endParaRPr lang="en-US"/>
        </a:p>
      </dgm:t>
    </dgm:pt>
    <dgm:pt modelId="{E3559DA6-D615-40A6-86D8-D15A5E8020A2}" type="sibTrans" cxnId="{76EEF0B4-9C28-430C-A6FE-7AD7168C710D}">
      <dgm:prSet/>
      <dgm:spPr/>
      <dgm:t>
        <a:bodyPr/>
        <a:lstStyle/>
        <a:p>
          <a:endParaRPr lang="en-US"/>
        </a:p>
      </dgm:t>
    </dgm:pt>
    <dgm:pt modelId="{D91F70B0-7C6F-4D4B-AC7D-DD6098387C35}">
      <dgm:prSet custT="1"/>
      <dgm:spPr/>
      <dgm:t>
        <a:bodyPr/>
        <a:lstStyle/>
        <a:p>
          <a:pPr>
            <a:spcAft>
              <a:spcPts val="300"/>
            </a:spcAft>
            <a:buClr>
              <a:schemeClr val="bg1"/>
            </a:buClr>
          </a:pPr>
          <a:r>
            <a:rPr lang="en-US" sz="1050">
              <a:latin typeface="Century Gothic" panose="020B0502020202020204" pitchFamily="34" charset="0"/>
            </a:rPr>
            <a:t>Partner in weekly, biweekly or ad-hoc review of all issues escalated to the DI Team</a:t>
          </a:r>
          <a:endParaRPr lang="en-US" sz="1050" dirty="0">
            <a:latin typeface="Century Gothic" panose="020B0502020202020204" pitchFamily="34" charset="0"/>
          </a:endParaRPr>
        </a:p>
      </dgm:t>
    </dgm:pt>
    <dgm:pt modelId="{46A4746C-4DD2-4D31-98EC-E4CC4EF3BE6C}" type="parTrans" cxnId="{ABBA0E97-AFB4-4687-BB21-6F46F4B2AB77}">
      <dgm:prSet/>
      <dgm:spPr/>
      <dgm:t>
        <a:bodyPr/>
        <a:lstStyle/>
        <a:p>
          <a:endParaRPr lang="en-US"/>
        </a:p>
      </dgm:t>
    </dgm:pt>
    <dgm:pt modelId="{AA45473B-A195-4F2B-B9D3-01D418B2090D}" type="sibTrans" cxnId="{ABBA0E97-AFB4-4687-BB21-6F46F4B2AB77}">
      <dgm:prSet/>
      <dgm:spPr/>
      <dgm:t>
        <a:bodyPr/>
        <a:lstStyle/>
        <a:p>
          <a:endParaRPr lang="en-US"/>
        </a:p>
      </dgm:t>
    </dgm:pt>
    <dgm:pt modelId="{2964BAC7-50F4-4C01-AE2C-FD064BC868D8}">
      <dgm:prSet custT="1"/>
      <dgm:spPr/>
      <dgm:t>
        <a:bodyPr/>
        <a:lstStyle/>
        <a:p>
          <a:pPr>
            <a:spcAft>
              <a:spcPts val="300"/>
            </a:spcAft>
            <a:buFont typeface="Times New Roman" panose="02020603050405020304" pitchFamily="18" charset="0"/>
            <a:buChar char="•"/>
          </a:pPr>
          <a:r>
            <a:rPr lang="en-US" sz="1050">
              <a:latin typeface="Century Gothic" panose="020B0502020202020204" pitchFamily="34" charset="0"/>
            </a:rPr>
            <a:t>Provide the project clear escalation paths to ensure timely communication of issues and risks related to delivery </a:t>
          </a:r>
        </a:p>
      </dgm:t>
    </dgm:pt>
    <dgm:pt modelId="{EBA86DE5-2383-420B-AEED-78D48CB99573}" type="parTrans" cxnId="{93ADF9AE-1EA0-46AD-BDDE-2C8E9898A53B}">
      <dgm:prSet/>
      <dgm:spPr/>
      <dgm:t>
        <a:bodyPr/>
        <a:lstStyle/>
        <a:p>
          <a:endParaRPr lang="en-US"/>
        </a:p>
      </dgm:t>
    </dgm:pt>
    <dgm:pt modelId="{06BB875D-987F-4965-92A7-437A1517FE61}" type="sibTrans" cxnId="{93ADF9AE-1EA0-46AD-BDDE-2C8E9898A53B}">
      <dgm:prSet/>
      <dgm:spPr/>
      <dgm:t>
        <a:bodyPr/>
        <a:lstStyle/>
        <a:p>
          <a:endParaRPr lang="en-US"/>
        </a:p>
      </dgm:t>
    </dgm:pt>
    <dgm:pt modelId="{4DE09B53-6792-4ACA-AD3C-A6EC097FD6FA}" type="pres">
      <dgm:prSet presAssocID="{9731ED42-8B15-4057-A0D8-8E60EBAA87E6}" presName="Name0" presStyleCnt="0">
        <dgm:presLayoutVars>
          <dgm:dir/>
          <dgm:animLvl val="lvl"/>
          <dgm:resizeHandles val="exact"/>
        </dgm:presLayoutVars>
      </dgm:prSet>
      <dgm:spPr/>
    </dgm:pt>
    <dgm:pt modelId="{2D7CB2B7-E7E5-4965-925F-9F5A00B2A509}" type="pres">
      <dgm:prSet presAssocID="{5DB08DB5-AE7C-4954-B7B3-21386CFEE139}" presName="linNode" presStyleCnt="0"/>
      <dgm:spPr/>
    </dgm:pt>
    <dgm:pt modelId="{587D331B-98E5-44BC-AFEA-9834E85A8A22}" type="pres">
      <dgm:prSet presAssocID="{5DB08DB5-AE7C-4954-B7B3-21386CFEE139}" presName="parTx" presStyleLbl="revTx" presStyleIdx="0" presStyleCnt="1">
        <dgm:presLayoutVars>
          <dgm:chMax val="1"/>
          <dgm:bulletEnabled val="1"/>
        </dgm:presLayoutVars>
      </dgm:prSet>
      <dgm:spPr/>
    </dgm:pt>
    <dgm:pt modelId="{D1B59E5C-6502-4928-B7BE-334903D7C76B}" type="pres">
      <dgm:prSet presAssocID="{5DB08DB5-AE7C-4954-B7B3-21386CFEE139}" presName="bracket" presStyleLbl="parChTrans1D1" presStyleIdx="0" presStyleCnt="1"/>
      <dgm:spPr/>
    </dgm:pt>
    <dgm:pt modelId="{8C29F11C-7B9C-4817-9D43-93B6C0FD3715}" type="pres">
      <dgm:prSet presAssocID="{5DB08DB5-AE7C-4954-B7B3-21386CFEE139}" presName="spH" presStyleCnt="0"/>
      <dgm:spPr/>
    </dgm:pt>
    <dgm:pt modelId="{D939F85C-5B21-4D36-8299-1EEC2AD0A69A}" type="pres">
      <dgm:prSet presAssocID="{5DB08DB5-AE7C-4954-B7B3-21386CFEE139}" presName="desTx" presStyleLbl="node1" presStyleIdx="0" presStyleCnt="1">
        <dgm:presLayoutVars>
          <dgm:bulletEnabled val="1"/>
        </dgm:presLayoutVars>
      </dgm:prSet>
      <dgm:spPr/>
    </dgm:pt>
  </dgm:ptLst>
  <dgm:cxnLst>
    <dgm:cxn modelId="{8F6C8A19-02F4-4972-AF48-DEFBC5381724}" type="presOf" srcId="{5DB08DB5-AE7C-4954-B7B3-21386CFEE139}" destId="{587D331B-98E5-44BC-AFEA-9834E85A8A22}" srcOrd="0" destOrd="0" presId="urn:diagrams.loki3.com/BracketList"/>
    <dgm:cxn modelId="{E661C31B-CD35-4EDD-965E-7A4DBE441A56}" type="presOf" srcId="{D91F70B0-7C6F-4D4B-AC7D-DD6098387C35}" destId="{D939F85C-5B21-4D36-8299-1EEC2AD0A69A}" srcOrd="0" destOrd="0" presId="urn:diagrams.loki3.com/BracketList"/>
    <dgm:cxn modelId="{5C361626-A2F3-4CC7-BA11-ABF16DA74C8C}" type="presOf" srcId="{2964BAC7-50F4-4C01-AE2C-FD064BC868D8}" destId="{D939F85C-5B21-4D36-8299-1EEC2AD0A69A}" srcOrd="0" destOrd="1" presId="urn:diagrams.loki3.com/BracketList"/>
    <dgm:cxn modelId="{B6EB0D69-4527-49DE-ACCB-F6E60B379638}" type="presOf" srcId="{9731ED42-8B15-4057-A0D8-8E60EBAA87E6}" destId="{4DE09B53-6792-4ACA-AD3C-A6EC097FD6FA}" srcOrd="0" destOrd="0" presId="urn:diagrams.loki3.com/BracketList"/>
    <dgm:cxn modelId="{ABBA0E97-AFB4-4687-BB21-6F46F4B2AB77}" srcId="{5DB08DB5-AE7C-4954-B7B3-21386CFEE139}" destId="{D91F70B0-7C6F-4D4B-AC7D-DD6098387C35}" srcOrd="0" destOrd="0" parTransId="{46A4746C-4DD2-4D31-98EC-E4CC4EF3BE6C}" sibTransId="{AA45473B-A195-4F2B-B9D3-01D418B2090D}"/>
    <dgm:cxn modelId="{93ADF9AE-1EA0-46AD-BDDE-2C8E9898A53B}" srcId="{5DB08DB5-AE7C-4954-B7B3-21386CFEE139}" destId="{2964BAC7-50F4-4C01-AE2C-FD064BC868D8}" srcOrd="1" destOrd="0" parTransId="{EBA86DE5-2383-420B-AEED-78D48CB99573}" sibTransId="{06BB875D-987F-4965-92A7-437A1517FE61}"/>
    <dgm:cxn modelId="{76EEF0B4-9C28-430C-A6FE-7AD7168C710D}" srcId="{9731ED42-8B15-4057-A0D8-8E60EBAA87E6}" destId="{5DB08DB5-AE7C-4954-B7B3-21386CFEE139}" srcOrd="0" destOrd="0" parTransId="{5F830C15-4CD0-4149-B7A7-21A9CEAF84FE}" sibTransId="{E3559DA6-D615-40A6-86D8-D15A5E8020A2}"/>
    <dgm:cxn modelId="{37CD35B7-3AE0-4364-902E-A34F88F92103}" type="presParOf" srcId="{4DE09B53-6792-4ACA-AD3C-A6EC097FD6FA}" destId="{2D7CB2B7-E7E5-4965-925F-9F5A00B2A509}" srcOrd="0" destOrd="0" presId="urn:diagrams.loki3.com/BracketList"/>
    <dgm:cxn modelId="{6F8A7DA6-E610-442B-830F-BAEACE1F64F4}" type="presParOf" srcId="{2D7CB2B7-E7E5-4965-925F-9F5A00B2A509}" destId="{587D331B-98E5-44BC-AFEA-9834E85A8A22}" srcOrd="0" destOrd="0" presId="urn:diagrams.loki3.com/BracketList"/>
    <dgm:cxn modelId="{CEBB75EB-E3CE-4C99-8FC7-88D3982E97D1}" type="presParOf" srcId="{2D7CB2B7-E7E5-4965-925F-9F5A00B2A509}" destId="{D1B59E5C-6502-4928-B7BE-334903D7C76B}" srcOrd="1" destOrd="0" presId="urn:diagrams.loki3.com/BracketList"/>
    <dgm:cxn modelId="{33B1244E-332E-48D8-AA03-19E4C8C3CA77}" type="presParOf" srcId="{2D7CB2B7-E7E5-4965-925F-9F5A00B2A509}" destId="{8C29F11C-7B9C-4817-9D43-93B6C0FD3715}" srcOrd="2" destOrd="0" presId="urn:diagrams.loki3.com/BracketList"/>
    <dgm:cxn modelId="{CD79D8F4-D4D4-4B3A-85E8-94323603C327}" type="presParOf" srcId="{2D7CB2B7-E7E5-4965-925F-9F5A00B2A509}" destId="{D939F85C-5B21-4D36-8299-1EEC2AD0A69A}" srcOrd="3" destOrd="0" presId="urn:diagrams.loki3.com/BracketList"/>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35931090-D024-459C-BBA2-028FFC823CD6}" type="doc">
      <dgm:prSet loTypeId="urn:microsoft.com/office/officeart/2008/layout/LinedList" loCatId="list" qsTypeId="urn:microsoft.com/office/officeart/2005/8/quickstyle/simple1" qsCatId="simple" csTypeId="urn:microsoft.com/office/officeart/2005/8/colors/colorful4" csCatId="colorful" phldr="1"/>
      <dgm:spPr/>
      <dgm:t>
        <a:bodyPr/>
        <a:lstStyle/>
        <a:p>
          <a:endParaRPr lang="en-US"/>
        </a:p>
      </dgm:t>
    </dgm:pt>
    <dgm:pt modelId="{9CC7B8B5-E941-4309-BFB1-C62CCF230F34}">
      <dgm:prSet phldrT="[Text]" custT="1"/>
      <dgm:spPr/>
      <dgm:t>
        <a:bodyPr/>
        <a:lstStyle/>
        <a:p>
          <a:r>
            <a:rPr lang="en-US" sz="1050">
              <a:latin typeface="Century Gothic" panose="020B0502020202020204" pitchFamily="34" charset="0"/>
            </a:rPr>
            <a:t>Our Agile development approach includes the use of:</a:t>
          </a:r>
        </a:p>
      </dgm:t>
    </dgm:pt>
    <dgm:pt modelId="{5E25252C-2F66-4973-AC22-C3AB1686B79B}" type="parTrans" cxnId="{66839592-EB2B-4509-A9DD-831E9647C5DE}">
      <dgm:prSet/>
      <dgm:spPr/>
      <dgm:t>
        <a:bodyPr/>
        <a:lstStyle/>
        <a:p>
          <a:endParaRPr lang="en-US"/>
        </a:p>
      </dgm:t>
    </dgm:pt>
    <dgm:pt modelId="{10F8959F-4F01-479A-9642-7AB24BF49AFB}" type="sibTrans" cxnId="{66839592-EB2B-4509-A9DD-831E9647C5DE}">
      <dgm:prSet/>
      <dgm:spPr/>
      <dgm:t>
        <a:bodyPr/>
        <a:lstStyle/>
        <a:p>
          <a:endParaRPr lang="en-US"/>
        </a:p>
      </dgm:t>
    </dgm:pt>
    <dgm:pt modelId="{50A10A93-3665-4523-8343-4EC46E61B9C4}">
      <dgm:prSet phldrT="[Text]" custT="1"/>
      <dgm:spPr/>
      <dgm:t>
        <a:bodyPr/>
        <a:lstStyle/>
        <a:p>
          <a:pPr>
            <a:buClr>
              <a:srgbClr val="2B3A44"/>
            </a:buClr>
            <a:buSzPts val="1100"/>
            <a:buFont typeface="Symbol" panose="05050102010706020507" pitchFamily="18" charset="2"/>
            <a:buChar char=""/>
          </a:pPr>
          <a:r>
            <a:rPr lang="en-US" sz="1050">
              <a:latin typeface="Century Gothic" panose="020B0502020202020204" pitchFamily="34" charset="0"/>
            </a:rPr>
            <a:t>DevSecOps, including incorporation of security design and testing earlier in the development lifecycle, to support smaller, more incremental releases</a:t>
          </a:r>
        </a:p>
      </dgm:t>
    </dgm:pt>
    <dgm:pt modelId="{F4D03A46-01A4-4B7A-82F3-9B1D8FC67E65}" type="parTrans" cxnId="{E3DE0A79-D8B5-4BB6-B52B-D336C029BF1C}">
      <dgm:prSet/>
      <dgm:spPr/>
      <dgm:t>
        <a:bodyPr/>
        <a:lstStyle/>
        <a:p>
          <a:endParaRPr lang="en-US"/>
        </a:p>
      </dgm:t>
    </dgm:pt>
    <dgm:pt modelId="{67295216-1543-4C9C-8E49-A120C7724D49}" type="sibTrans" cxnId="{E3DE0A79-D8B5-4BB6-B52B-D336C029BF1C}">
      <dgm:prSet/>
      <dgm:spPr/>
      <dgm:t>
        <a:bodyPr/>
        <a:lstStyle/>
        <a:p>
          <a:endParaRPr lang="en-US"/>
        </a:p>
      </dgm:t>
    </dgm:pt>
    <dgm:pt modelId="{5CA4528E-F75D-48C8-8106-8A93DD13183E}">
      <dgm:prSet phldrT="[Text]" custT="1"/>
      <dgm:spPr/>
      <dgm:t>
        <a:bodyPr/>
        <a:lstStyle/>
        <a:p>
          <a:pPr>
            <a:buClr>
              <a:srgbClr val="2B3A44"/>
            </a:buClr>
            <a:buSzPts val="1100"/>
            <a:buFont typeface="Symbol" panose="05050102010706020507" pitchFamily="18" charset="2"/>
            <a:buChar char=""/>
          </a:pPr>
          <a:r>
            <a:rPr lang="en-US" sz="1050">
              <a:latin typeface="Century Gothic" panose="020B0502020202020204" pitchFamily="34" charset="0"/>
            </a:rPr>
            <a:t>CI/CD for continuous automated code delivery</a:t>
          </a:r>
        </a:p>
      </dgm:t>
    </dgm:pt>
    <dgm:pt modelId="{7F5FC172-FC45-47F1-BFCC-852D30ADC312}" type="parTrans" cxnId="{B4CB8359-E3D9-4FE4-A04F-5D1D72F89FBC}">
      <dgm:prSet/>
      <dgm:spPr/>
      <dgm:t>
        <a:bodyPr/>
        <a:lstStyle/>
        <a:p>
          <a:endParaRPr lang="en-US"/>
        </a:p>
      </dgm:t>
    </dgm:pt>
    <dgm:pt modelId="{001870A1-331D-4750-A5A8-7AFB900C41EB}" type="sibTrans" cxnId="{B4CB8359-E3D9-4FE4-A04F-5D1D72F89FBC}">
      <dgm:prSet/>
      <dgm:spPr/>
      <dgm:t>
        <a:bodyPr/>
        <a:lstStyle/>
        <a:p>
          <a:endParaRPr lang="en-US"/>
        </a:p>
      </dgm:t>
    </dgm:pt>
    <dgm:pt modelId="{A0C49F75-F487-4618-B102-0469645D2C0F}">
      <dgm:prSet phldrT="[Text]" custT="1"/>
      <dgm:spPr/>
      <dgm:t>
        <a:bodyPr/>
        <a:lstStyle/>
        <a:p>
          <a:pPr>
            <a:buClr>
              <a:srgbClr val="2B3A44"/>
            </a:buClr>
            <a:buSzPts val="1100"/>
            <a:buFont typeface="Symbol" panose="05050102010706020507" pitchFamily="18" charset="2"/>
            <a:buChar char=""/>
          </a:pPr>
          <a:r>
            <a:rPr lang="en-US" sz="1050">
              <a:latin typeface="Century Gothic" panose="020B0502020202020204" pitchFamily="34" charset="0"/>
            </a:rPr>
            <a:t>Expanded automated testing to improve the release quality and complete testing cycles faster</a:t>
          </a:r>
        </a:p>
      </dgm:t>
    </dgm:pt>
    <dgm:pt modelId="{CBAB17A2-CF6C-44AD-8EE1-5085116CB4C8}" type="parTrans" cxnId="{9E8701F5-6556-4D2D-A6B4-AB6562F2046F}">
      <dgm:prSet/>
      <dgm:spPr/>
      <dgm:t>
        <a:bodyPr/>
        <a:lstStyle/>
        <a:p>
          <a:endParaRPr lang="en-US"/>
        </a:p>
      </dgm:t>
    </dgm:pt>
    <dgm:pt modelId="{C512B3D0-E00B-4E99-98E4-DF2A78D3E668}" type="sibTrans" cxnId="{9E8701F5-6556-4D2D-A6B4-AB6562F2046F}">
      <dgm:prSet/>
      <dgm:spPr/>
      <dgm:t>
        <a:bodyPr/>
        <a:lstStyle/>
        <a:p>
          <a:endParaRPr lang="en-US"/>
        </a:p>
      </dgm:t>
    </dgm:pt>
    <dgm:pt modelId="{76AE6BCD-819F-4168-8271-A83B0905B8CC}">
      <dgm:prSet phldrT="[Text]" custT="1"/>
      <dgm:spPr/>
      <dgm:t>
        <a:bodyPr/>
        <a:lstStyle/>
        <a:p>
          <a:pPr>
            <a:buClr>
              <a:srgbClr val="2B3A44"/>
            </a:buClr>
            <a:buSzPts val="1100"/>
            <a:buFont typeface="Symbol" panose="05050102010706020507" pitchFamily="18" charset="2"/>
            <a:buChar char=""/>
          </a:pPr>
          <a:r>
            <a:rPr lang="en-US" sz="1050">
              <a:latin typeface="Century Gothic" panose="020B0502020202020204" pitchFamily="34" charset="0"/>
            </a:rPr>
            <a:t>Infrastructure as Code (IaC) </a:t>
          </a:r>
        </a:p>
      </dgm:t>
    </dgm:pt>
    <dgm:pt modelId="{F3093A45-E1DD-4651-A085-E93F301E4F16}" type="parTrans" cxnId="{5621F9BD-B519-449E-AB43-00C88E598292}">
      <dgm:prSet/>
      <dgm:spPr/>
      <dgm:t>
        <a:bodyPr/>
        <a:lstStyle/>
        <a:p>
          <a:endParaRPr lang="en-US"/>
        </a:p>
      </dgm:t>
    </dgm:pt>
    <dgm:pt modelId="{434FE848-56C0-41AD-A5A6-279E69C6FAE8}" type="sibTrans" cxnId="{5621F9BD-B519-449E-AB43-00C88E598292}">
      <dgm:prSet/>
      <dgm:spPr/>
      <dgm:t>
        <a:bodyPr/>
        <a:lstStyle/>
        <a:p>
          <a:endParaRPr lang="en-US"/>
        </a:p>
      </dgm:t>
    </dgm:pt>
    <dgm:pt modelId="{BCDCB50E-014C-4FDB-B9A0-B4E68F538648}">
      <dgm:prSet phldrT="[Text]" custT="1"/>
      <dgm:spPr/>
      <dgm:t>
        <a:bodyPr/>
        <a:lstStyle/>
        <a:p>
          <a:r>
            <a:rPr lang="en-US" sz="1050">
              <a:latin typeface="Century Gothic" panose="020B0502020202020204" pitchFamily="34" charset="0"/>
            </a:rPr>
            <a:t>Release When Ready (RWR) and coordinated releases with other CalSAWS system changes when there is a dependency</a:t>
          </a:r>
        </a:p>
      </dgm:t>
    </dgm:pt>
    <dgm:pt modelId="{8D30D79E-8E31-4791-AEA6-C1A9E388C4F4}" type="parTrans" cxnId="{A93897A5-415E-4F36-B453-549A4365FD82}">
      <dgm:prSet/>
      <dgm:spPr/>
      <dgm:t>
        <a:bodyPr/>
        <a:lstStyle/>
        <a:p>
          <a:endParaRPr lang="en-US"/>
        </a:p>
      </dgm:t>
    </dgm:pt>
    <dgm:pt modelId="{18A36319-4AA7-4B4D-B206-F189B00C87FB}" type="sibTrans" cxnId="{A93897A5-415E-4F36-B453-549A4365FD82}">
      <dgm:prSet/>
      <dgm:spPr/>
      <dgm:t>
        <a:bodyPr/>
        <a:lstStyle/>
        <a:p>
          <a:endParaRPr lang="en-US"/>
        </a:p>
      </dgm:t>
    </dgm:pt>
    <dgm:pt modelId="{2C3986C0-5B77-4D96-A98B-E6E877146028}">
      <dgm:prSet phldrT="[Text]" custT="1"/>
      <dgm:spPr/>
      <dgm:t>
        <a:bodyPr/>
        <a:lstStyle/>
        <a:p>
          <a:pPr>
            <a:buClr>
              <a:srgbClr val="2B3A44"/>
            </a:buClr>
            <a:buSzPts val="1100"/>
            <a:buFont typeface="Symbol" panose="05050102010706020507" pitchFamily="18" charset="2"/>
            <a:buChar char=""/>
          </a:pPr>
          <a:r>
            <a:rPr lang="en-US" sz="1050">
              <a:latin typeface="Century Gothic" panose="020B0502020202020204" pitchFamily="34" charset="0"/>
            </a:rPr>
            <a:t>Offshore resources for simpler, more straightforward application changes (As required in the RFP, we have limited our use of offshore resources to 40% of the overall application maintenance available hours.)</a:t>
          </a:r>
        </a:p>
      </dgm:t>
    </dgm:pt>
    <dgm:pt modelId="{FBB60191-D4A6-4FA4-BF11-51F952EEFAD6}" type="parTrans" cxnId="{5AAD9E78-EBED-4C94-B367-EE1FFF5A57D0}">
      <dgm:prSet/>
      <dgm:spPr/>
      <dgm:t>
        <a:bodyPr/>
        <a:lstStyle/>
        <a:p>
          <a:endParaRPr lang="en-US"/>
        </a:p>
      </dgm:t>
    </dgm:pt>
    <dgm:pt modelId="{DC6DC79C-7CCB-445A-A828-CFDCCB6A6F4C}" type="sibTrans" cxnId="{5AAD9E78-EBED-4C94-B367-EE1FFF5A57D0}">
      <dgm:prSet/>
      <dgm:spPr/>
      <dgm:t>
        <a:bodyPr/>
        <a:lstStyle/>
        <a:p>
          <a:endParaRPr lang="en-US"/>
        </a:p>
      </dgm:t>
    </dgm:pt>
    <dgm:pt modelId="{14C55641-2B0F-4445-848D-64BBE59E39BC}">
      <dgm:prSet phldrT="[Text]" custT="1"/>
      <dgm:spPr/>
      <dgm:t>
        <a:bodyPr/>
        <a:lstStyle/>
        <a:p>
          <a:pPr>
            <a:buClr>
              <a:srgbClr val="2B3A44"/>
            </a:buClr>
            <a:buSzPts val="1100"/>
            <a:buFont typeface="Symbol" panose="05050102010706020507" pitchFamily="18" charset="2"/>
            <a:buChar char=""/>
          </a:pPr>
          <a:r>
            <a:rPr lang="en-US" sz="1050">
              <a:latin typeface="Century Gothic" panose="020B0502020202020204" pitchFamily="34" charset="0"/>
            </a:rPr>
            <a:t>The CalSAWS Collaboration Model integrated into our development approach</a:t>
          </a:r>
        </a:p>
      </dgm:t>
    </dgm:pt>
    <dgm:pt modelId="{0E768F76-93CF-4446-B62A-0218AE84DBEA}" type="parTrans" cxnId="{EB4F1964-DFB7-4256-B3A8-10A72A6B2650}">
      <dgm:prSet/>
      <dgm:spPr/>
      <dgm:t>
        <a:bodyPr/>
        <a:lstStyle/>
        <a:p>
          <a:endParaRPr lang="en-US"/>
        </a:p>
      </dgm:t>
    </dgm:pt>
    <dgm:pt modelId="{E33022F2-929E-45BD-9630-1FEA226DB01F}" type="sibTrans" cxnId="{EB4F1964-DFB7-4256-B3A8-10A72A6B2650}">
      <dgm:prSet/>
      <dgm:spPr/>
      <dgm:t>
        <a:bodyPr/>
        <a:lstStyle/>
        <a:p>
          <a:endParaRPr lang="en-US"/>
        </a:p>
      </dgm:t>
    </dgm:pt>
    <dgm:pt modelId="{6E9BE980-0C65-42BC-8369-FBA9DD1FF63A}" type="pres">
      <dgm:prSet presAssocID="{35931090-D024-459C-BBA2-028FFC823CD6}" presName="vert0" presStyleCnt="0">
        <dgm:presLayoutVars>
          <dgm:dir/>
          <dgm:animOne val="branch"/>
          <dgm:animLvl val="lvl"/>
        </dgm:presLayoutVars>
      </dgm:prSet>
      <dgm:spPr/>
    </dgm:pt>
    <dgm:pt modelId="{67F45437-AD76-4756-B921-6F06546BC45A}" type="pres">
      <dgm:prSet presAssocID="{9CC7B8B5-E941-4309-BFB1-C62CCF230F34}" presName="thickLine" presStyleLbl="alignNode1" presStyleIdx="0" presStyleCnt="1"/>
      <dgm:spPr/>
    </dgm:pt>
    <dgm:pt modelId="{C1B85D46-DFF4-402B-8C26-2A83EA2573CA}" type="pres">
      <dgm:prSet presAssocID="{9CC7B8B5-E941-4309-BFB1-C62CCF230F34}" presName="horz1" presStyleCnt="0"/>
      <dgm:spPr/>
    </dgm:pt>
    <dgm:pt modelId="{9876536A-5C5F-46C4-902A-4A2B064ADD85}" type="pres">
      <dgm:prSet presAssocID="{9CC7B8B5-E941-4309-BFB1-C62CCF230F34}" presName="tx1" presStyleLbl="revTx" presStyleIdx="0" presStyleCnt="8"/>
      <dgm:spPr/>
    </dgm:pt>
    <dgm:pt modelId="{8AACFDE8-97A4-4989-90B2-090A2E9E4938}" type="pres">
      <dgm:prSet presAssocID="{9CC7B8B5-E941-4309-BFB1-C62CCF230F34}" presName="vert1" presStyleCnt="0"/>
      <dgm:spPr/>
    </dgm:pt>
    <dgm:pt modelId="{D3376ADB-EAAC-424F-A646-224113D01744}" type="pres">
      <dgm:prSet presAssocID="{50A10A93-3665-4523-8343-4EC46E61B9C4}" presName="vertSpace2a" presStyleCnt="0"/>
      <dgm:spPr/>
    </dgm:pt>
    <dgm:pt modelId="{D6682037-2A8E-40F9-8D49-E4ACB8A5E8E2}" type="pres">
      <dgm:prSet presAssocID="{50A10A93-3665-4523-8343-4EC46E61B9C4}" presName="horz2" presStyleCnt="0"/>
      <dgm:spPr/>
    </dgm:pt>
    <dgm:pt modelId="{3B3944B6-FD5F-48AB-81B5-837A6ECC2E0D}" type="pres">
      <dgm:prSet presAssocID="{50A10A93-3665-4523-8343-4EC46E61B9C4}" presName="horzSpace2" presStyleCnt="0"/>
      <dgm:spPr/>
    </dgm:pt>
    <dgm:pt modelId="{46767466-1A1C-46DD-AF63-0DA6202C95EA}" type="pres">
      <dgm:prSet presAssocID="{50A10A93-3665-4523-8343-4EC46E61B9C4}" presName="tx2" presStyleLbl="revTx" presStyleIdx="1" presStyleCnt="8"/>
      <dgm:spPr/>
    </dgm:pt>
    <dgm:pt modelId="{3BE4BFC0-4F44-436C-9449-10B6CEC254B4}" type="pres">
      <dgm:prSet presAssocID="{50A10A93-3665-4523-8343-4EC46E61B9C4}" presName="vert2" presStyleCnt="0"/>
      <dgm:spPr/>
    </dgm:pt>
    <dgm:pt modelId="{506E164D-4997-4E18-92D8-C4C02A673A84}" type="pres">
      <dgm:prSet presAssocID="{50A10A93-3665-4523-8343-4EC46E61B9C4}" presName="thinLine2b" presStyleLbl="callout" presStyleIdx="0" presStyleCnt="7"/>
      <dgm:spPr/>
    </dgm:pt>
    <dgm:pt modelId="{1593B533-16CC-4E9D-B7B2-C1E1ACE7A5E4}" type="pres">
      <dgm:prSet presAssocID="{50A10A93-3665-4523-8343-4EC46E61B9C4}" presName="vertSpace2b" presStyleCnt="0"/>
      <dgm:spPr/>
    </dgm:pt>
    <dgm:pt modelId="{3EE0FD23-43FA-4CD0-B4DE-E053B1D67CBD}" type="pres">
      <dgm:prSet presAssocID="{5CA4528E-F75D-48C8-8106-8A93DD13183E}" presName="horz2" presStyleCnt="0"/>
      <dgm:spPr/>
    </dgm:pt>
    <dgm:pt modelId="{0294F197-698D-4661-A483-7186BF400C2B}" type="pres">
      <dgm:prSet presAssocID="{5CA4528E-F75D-48C8-8106-8A93DD13183E}" presName="horzSpace2" presStyleCnt="0"/>
      <dgm:spPr/>
    </dgm:pt>
    <dgm:pt modelId="{CC67756D-4525-4ED5-B197-159D43E0D6C0}" type="pres">
      <dgm:prSet presAssocID="{5CA4528E-F75D-48C8-8106-8A93DD13183E}" presName="tx2" presStyleLbl="revTx" presStyleIdx="2" presStyleCnt="8" custLinFactNeighborY="12022"/>
      <dgm:spPr/>
    </dgm:pt>
    <dgm:pt modelId="{973C8031-1E95-4AB1-8FED-A77B417DE4F8}" type="pres">
      <dgm:prSet presAssocID="{5CA4528E-F75D-48C8-8106-8A93DD13183E}" presName="vert2" presStyleCnt="0"/>
      <dgm:spPr/>
    </dgm:pt>
    <dgm:pt modelId="{F56E90EF-9696-491D-AF93-314B81E4BBF2}" type="pres">
      <dgm:prSet presAssocID="{5CA4528E-F75D-48C8-8106-8A93DD13183E}" presName="thinLine2b" presStyleLbl="callout" presStyleIdx="1" presStyleCnt="7" custLinFactY="-200000" custLinFactNeighborX="648" custLinFactNeighborY="-264831"/>
      <dgm:spPr/>
    </dgm:pt>
    <dgm:pt modelId="{8C83836C-B378-404E-8C22-D11D00844FDB}" type="pres">
      <dgm:prSet presAssocID="{5CA4528E-F75D-48C8-8106-8A93DD13183E}" presName="vertSpace2b" presStyleCnt="0"/>
      <dgm:spPr/>
    </dgm:pt>
    <dgm:pt modelId="{0D8F292E-D18C-4826-9ADE-01035D90B8BE}" type="pres">
      <dgm:prSet presAssocID="{A0C49F75-F487-4618-B102-0469645D2C0F}" presName="horz2" presStyleCnt="0"/>
      <dgm:spPr/>
    </dgm:pt>
    <dgm:pt modelId="{130897DD-7555-4FB7-822A-617C806A8D4C}" type="pres">
      <dgm:prSet presAssocID="{A0C49F75-F487-4618-B102-0469645D2C0F}" presName="horzSpace2" presStyleCnt="0"/>
      <dgm:spPr/>
    </dgm:pt>
    <dgm:pt modelId="{D5BBEC20-E036-4D04-929A-DB6E8FE4BD42}" type="pres">
      <dgm:prSet presAssocID="{A0C49F75-F487-4618-B102-0469645D2C0F}" presName="tx2" presStyleLbl="revTx" presStyleIdx="3" presStyleCnt="8" custLinFactNeighborX="0" custLinFactNeighborY="-14282"/>
      <dgm:spPr/>
    </dgm:pt>
    <dgm:pt modelId="{CDC62947-69C4-46EF-8903-D346AE99D95D}" type="pres">
      <dgm:prSet presAssocID="{A0C49F75-F487-4618-B102-0469645D2C0F}" presName="vert2" presStyleCnt="0"/>
      <dgm:spPr/>
    </dgm:pt>
    <dgm:pt modelId="{C56E6C45-70B2-4AF5-956E-8EEA23212C18}" type="pres">
      <dgm:prSet presAssocID="{A0C49F75-F487-4618-B102-0469645D2C0F}" presName="thinLine2b" presStyleLbl="callout" presStyleIdx="2" presStyleCnt="7" custLinFactY="-296287" custLinFactNeighborY="-300000"/>
      <dgm:spPr/>
    </dgm:pt>
    <dgm:pt modelId="{9F199CDA-98A8-44B3-8881-805FD89177BD}" type="pres">
      <dgm:prSet presAssocID="{A0C49F75-F487-4618-B102-0469645D2C0F}" presName="vertSpace2b" presStyleCnt="0"/>
      <dgm:spPr/>
    </dgm:pt>
    <dgm:pt modelId="{8BF28ABB-901A-4D21-8E96-E2C02F57DED6}" type="pres">
      <dgm:prSet presAssocID="{76AE6BCD-819F-4168-8271-A83B0905B8CC}" presName="horz2" presStyleCnt="0"/>
      <dgm:spPr/>
    </dgm:pt>
    <dgm:pt modelId="{5C3E8FE7-A10A-49F8-8555-4587F7481C74}" type="pres">
      <dgm:prSet presAssocID="{76AE6BCD-819F-4168-8271-A83B0905B8CC}" presName="horzSpace2" presStyleCnt="0"/>
      <dgm:spPr/>
    </dgm:pt>
    <dgm:pt modelId="{18383D95-E0A8-4755-A973-687E420287ED}" type="pres">
      <dgm:prSet presAssocID="{76AE6BCD-819F-4168-8271-A83B0905B8CC}" presName="tx2" presStyleLbl="revTx" presStyleIdx="4" presStyleCnt="8" custLinFactNeighborY="-26468"/>
      <dgm:spPr/>
    </dgm:pt>
    <dgm:pt modelId="{EA617CDE-7449-4ABE-851A-8962A8297D59}" type="pres">
      <dgm:prSet presAssocID="{76AE6BCD-819F-4168-8271-A83B0905B8CC}" presName="vert2" presStyleCnt="0"/>
      <dgm:spPr/>
    </dgm:pt>
    <dgm:pt modelId="{1B1E2E38-35D1-4B6C-BC71-EE0802478735}" type="pres">
      <dgm:prSet presAssocID="{76AE6BCD-819F-4168-8271-A83B0905B8CC}" presName="thinLine2b" presStyleLbl="callout" presStyleIdx="3" presStyleCnt="7" custLinFactY="-500000" custLinFactNeighborX="-186" custLinFactNeighborY="-541648"/>
      <dgm:spPr/>
    </dgm:pt>
    <dgm:pt modelId="{C7D81AFF-D915-4D4E-9AD2-F63811078BA5}" type="pres">
      <dgm:prSet presAssocID="{76AE6BCD-819F-4168-8271-A83B0905B8CC}" presName="vertSpace2b" presStyleCnt="0"/>
      <dgm:spPr/>
    </dgm:pt>
    <dgm:pt modelId="{6C132BFD-BBB6-4612-89BA-5B553D89E4FD}" type="pres">
      <dgm:prSet presAssocID="{BCDCB50E-014C-4FDB-B9A0-B4E68F538648}" presName="horz2" presStyleCnt="0"/>
      <dgm:spPr/>
    </dgm:pt>
    <dgm:pt modelId="{B84B2ED6-079C-4E2F-976C-428CE8DDE474}" type="pres">
      <dgm:prSet presAssocID="{BCDCB50E-014C-4FDB-B9A0-B4E68F538648}" presName="horzSpace2" presStyleCnt="0"/>
      <dgm:spPr/>
    </dgm:pt>
    <dgm:pt modelId="{84EAC120-DB48-49BF-BB7E-A2907F53658F}" type="pres">
      <dgm:prSet presAssocID="{BCDCB50E-014C-4FDB-B9A0-B4E68F538648}" presName="tx2" presStyleLbl="revTx" presStyleIdx="5" presStyleCnt="8" custLinFactNeighborY="-50168"/>
      <dgm:spPr/>
    </dgm:pt>
    <dgm:pt modelId="{E4977DC8-A422-4782-AFB1-5D69D26B0C37}" type="pres">
      <dgm:prSet presAssocID="{BCDCB50E-014C-4FDB-B9A0-B4E68F538648}" presName="vert2" presStyleCnt="0"/>
      <dgm:spPr/>
    </dgm:pt>
    <dgm:pt modelId="{EAB80771-2B25-4F4C-AA50-246D9B34775E}" type="pres">
      <dgm:prSet presAssocID="{BCDCB50E-014C-4FDB-B9A0-B4E68F538648}" presName="thinLine2b" presStyleLbl="callout" presStyleIdx="4" presStyleCnt="7" custLinFactY="-485183" custLinFactNeighborX="-186" custLinFactNeighborY="-500000"/>
      <dgm:spPr/>
    </dgm:pt>
    <dgm:pt modelId="{BE21BBE1-C598-42A5-8524-51ACD525E13D}" type="pres">
      <dgm:prSet presAssocID="{BCDCB50E-014C-4FDB-B9A0-B4E68F538648}" presName="vertSpace2b" presStyleCnt="0"/>
      <dgm:spPr/>
    </dgm:pt>
    <dgm:pt modelId="{EE752285-0F73-4462-9542-26FB83DFA743}" type="pres">
      <dgm:prSet presAssocID="{2C3986C0-5B77-4D96-A98B-E6E877146028}" presName="horz2" presStyleCnt="0"/>
      <dgm:spPr/>
    </dgm:pt>
    <dgm:pt modelId="{03307620-2E8C-4BB1-B936-032861987D6C}" type="pres">
      <dgm:prSet presAssocID="{2C3986C0-5B77-4D96-A98B-E6E877146028}" presName="horzSpace2" presStyleCnt="0"/>
      <dgm:spPr/>
    </dgm:pt>
    <dgm:pt modelId="{E5AB8E84-EACA-4CDE-9A59-F5679766801F}" type="pres">
      <dgm:prSet presAssocID="{2C3986C0-5B77-4D96-A98B-E6E877146028}" presName="tx2" presStyleLbl="revTx" presStyleIdx="6" presStyleCnt="8" custScaleY="130520" custLinFactNeighborX="0" custLinFactNeighborY="88211"/>
      <dgm:spPr/>
    </dgm:pt>
    <dgm:pt modelId="{44CE5D9B-6E8B-4741-A91A-2E5F6FFD2CED}" type="pres">
      <dgm:prSet presAssocID="{2C3986C0-5B77-4D96-A98B-E6E877146028}" presName="vert2" presStyleCnt="0"/>
      <dgm:spPr/>
    </dgm:pt>
    <dgm:pt modelId="{620ADE07-0EFE-4C9C-8308-FAD99CDE07FC}" type="pres">
      <dgm:prSet presAssocID="{2C3986C0-5B77-4D96-A98B-E6E877146028}" presName="thinLine2b" presStyleLbl="callout" presStyleIdx="5" presStyleCnt="7" custLinFactY="-534452" custLinFactNeighborX="0" custLinFactNeighborY="-600000"/>
      <dgm:spPr/>
    </dgm:pt>
    <dgm:pt modelId="{74C9FE83-52A3-4BCA-85C4-31957523D643}" type="pres">
      <dgm:prSet presAssocID="{2C3986C0-5B77-4D96-A98B-E6E877146028}" presName="vertSpace2b" presStyleCnt="0"/>
      <dgm:spPr/>
    </dgm:pt>
    <dgm:pt modelId="{D78C9745-7E6F-4C13-90C4-117AB9371E1C}" type="pres">
      <dgm:prSet presAssocID="{14C55641-2B0F-4445-848D-64BBE59E39BC}" presName="horz2" presStyleCnt="0"/>
      <dgm:spPr/>
    </dgm:pt>
    <dgm:pt modelId="{9EC58C5F-A02A-4A28-98DF-064CEBCFB717}" type="pres">
      <dgm:prSet presAssocID="{14C55641-2B0F-4445-848D-64BBE59E39BC}" presName="horzSpace2" presStyleCnt="0"/>
      <dgm:spPr/>
    </dgm:pt>
    <dgm:pt modelId="{601D9D2C-9D9F-4DA6-9177-BD402EEAC747}" type="pres">
      <dgm:prSet presAssocID="{14C55641-2B0F-4445-848D-64BBE59E39BC}" presName="tx2" presStyleLbl="revTx" presStyleIdx="7" presStyleCnt="8" custLinFactY="-71648" custLinFactNeighborX="0" custLinFactNeighborY="-100000"/>
      <dgm:spPr/>
    </dgm:pt>
    <dgm:pt modelId="{684A2965-0AB3-40E9-B1C3-E5B0BB997104}" type="pres">
      <dgm:prSet presAssocID="{14C55641-2B0F-4445-848D-64BBE59E39BC}" presName="vert2" presStyleCnt="0"/>
      <dgm:spPr/>
    </dgm:pt>
    <dgm:pt modelId="{63C86925-7D0C-40A6-A704-4C4FCFC8A5EB}" type="pres">
      <dgm:prSet presAssocID="{14C55641-2B0F-4445-848D-64BBE59E39BC}" presName="thinLine2b" presStyleLbl="callout" presStyleIdx="6" presStyleCnt="7"/>
      <dgm:spPr/>
    </dgm:pt>
    <dgm:pt modelId="{A5B2ACC5-37F2-4860-BFF4-EC18868CF8EE}" type="pres">
      <dgm:prSet presAssocID="{14C55641-2B0F-4445-848D-64BBE59E39BC}" presName="vertSpace2b" presStyleCnt="0"/>
      <dgm:spPr/>
    </dgm:pt>
  </dgm:ptLst>
  <dgm:cxnLst>
    <dgm:cxn modelId="{F27E6F0C-3C7F-45E1-BFD9-505962EABAD1}" type="presOf" srcId="{BCDCB50E-014C-4FDB-B9A0-B4E68F538648}" destId="{84EAC120-DB48-49BF-BB7E-A2907F53658F}" srcOrd="0" destOrd="0" presId="urn:microsoft.com/office/officeart/2008/layout/LinedList"/>
    <dgm:cxn modelId="{98854D36-0B5D-4EBD-8896-0F28D97C48F7}" type="presOf" srcId="{50A10A93-3665-4523-8343-4EC46E61B9C4}" destId="{46767466-1A1C-46DD-AF63-0DA6202C95EA}" srcOrd="0" destOrd="0" presId="urn:microsoft.com/office/officeart/2008/layout/LinedList"/>
    <dgm:cxn modelId="{3BDFDA3A-947D-46A2-84F6-762ECC67A077}" type="presOf" srcId="{14C55641-2B0F-4445-848D-64BBE59E39BC}" destId="{601D9D2C-9D9F-4DA6-9177-BD402EEAC747}" srcOrd="0" destOrd="0" presId="urn:microsoft.com/office/officeart/2008/layout/LinedList"/>
    <dgm:cxn modelId="{EB4F1964-DFB7-4256-B3A8-10A72A6B2650}" srcId="{9CC7B8B5-E941-4309-BFB1-C62CCF230F34}" destId="{14C55641-2B0F-4445-848D-64BBE59E39BC}" srcOrd="6" destOrd="0" parTransId="{0E768F76-93CF-4446-B62A-0218AE84DBEA}" sibTransId="{E33022F2-929E-45BD-9630-1FEA226DB01F}"/>
    <dgm:cxn modelId="{8BCD686D-5A11-46B8-90C8-C75BE99C71CD}" type="presOf" srcId="{2C3986C0-5B77-4D96-A98B-E6E877146028}" destId="{E5AB8E84-EACA-4CDE-9A59-F5679766801F}" srcOrd="0" destOrd="0" presId="urn:microsoft.com/office/officeart/2008/layout/LinedList"/>
    <dgm:cxn modelId="{6D509372-37E2-459C-A059-E99F729112B8}" type="presOf" srcId="{76AE6BCD-819F-4168-8271-A83B0905B8CC}" destId="{18383D95-E0A8-4755-A973-687E420287ED}" srcOrd="0" destOrd="0" presId="urn:microsoft.com/office/officeart/2008/layout/LinedList"/>
    <dgm:cxn modelId="{5AAD9E78-EBED-4C94-B367-EE1FFF5A57D0}" srcId="{9CC7B8B5-E941-4309-BFB1-C62CCF230F34}" destId="{2C3986C0-5B77-4D96-A98B-E6E877146028}" srcOrd="5" destOrd="0" parTransId="{FBB60191-D4A6-4FA4-BF11-51F952EEFAD6}" sibTransId="{DC6DC79C-7CCB-445A-A828-CFDCCB6A6F4C}"/>
    <dgm:cxn modelId="{E3DE0A79-D8B5-4BB6-B52B-D336C029BF1C}" srcId="{9CC7B8B5-E941-4309-BFB1-C62CCF230F34}" destId="{50A10A93-3665-4523-8343-4EC46E61B9C4}" srcOrd="0" destOrd="0" parTransId="{F4D03A46-01A4-4B7A-82F3-9B1D8FC67E65}" sibTransId="{67295216-1543-4C9C-8E49-A120C7724D49}"/>
    <dgm:cxn modelId="{B4CB8359-E3D9-4FE4-A04F-5D1D72F89FBC}" srcId="{9CC7B8B5-E941-4309-BFB1-C62CCF230F34}" destId="{5CA4528E-F75D-48C8-8106-8A93DD13183E}" srcOrd="1" destOrd="0" parTransId="{7F5FC172-FC45-47F1-BFCC-852D30ADC312}" sibTransId="{001870A1-331D-4750-A5A8-7AFB900C41EB}"/>
    <dgm:cxn modelId="{66839592-EB2B-4509-A9DD-831E9647C5DE}" srcId="{35931090-D024-459C-BBA2-028FFC823CD6}" destId="{9CC7B8B5-E941-4309-BFB1-C62CCF230F34}" srcOrd="0" destOrd="0" parTransId="{5E25252C-2F66-4973-AC22-C3AB1686B79B}" sibTransId="{10F8959F-4F01-479A-9642-7AB24BF49AFB}"/>
    <dgm:cxn modelId="{B933899E-1F82-46B2-B221-E31351104EB6}" type="presOf" srcId="{A0C49F75-F487-4618-B102-0469645D2C0F}" destId="{D5BBEC20-E036-4D04-929A-DB6E8FE4BD42}" srcOrd="0" destOrd="0" presId="urn:microsoft.com/office/officeart/2008/layout/LinedList"/>
    <dgm:cxn modelId="{A93897A5-415E-4F36-B453-549A4365FD82}" srcId="{9CC7B8B5-E941-4309-BFB1-C62CCF230F34}" destId="{BCDCB50E-014C-4FDB-B9A0-B4E68F538648}" srcOrd="4" destOrd="0" parTransId="{8D30D79E-8E31-4791-AEA6-C1A9E388C4F4}" sibTransId="{18A36319-4AA7-4B4D-B206-F189B00C87FB}"/>
    <dgm:cxn modelId="{5621F9BD-B519-449E-AB43-00C88E598292}" srcId="{9CC7B8B5-E941-4309-BFB1-C62CCF230F34}" destId="{76AE6BCD-819F-4168-8271-A83B0905B8CC}" srcOrd="3" destOrd="0" parTransId="{F3093A45-E1DD-4651-A085-E93F301E4F16}" sibTransId="{434FE848-56C0-41AD-A5A6-279E69C6FAE8}"/>
    <dgm:cxn modelId="{6A1E51D0-5800-4F12-B016-2DB4C199C8F6}" type="presOf" srcId="{35931090-D024-459C-BBA2-028FFC823CD6}" destId="{6E9BE980-0C65-42BC-8369-FBA9DD1FF63A}" srcOrd="0" destOrd="0" presId="urn:microsoft.com/office/officeart/2008/layout/LinedList"/>
    <dgm:cxn modelId="{4DA9E9D8-81A0-4BB9-BF10-D616467B38F0}" type="presOf" srcId="{9CC7B8B5-E941-4309-BFB1-C62CCF230F34}" destId="{9876536A-5C5F-46C4-902A-4A2B064ADD85}" srcOrd="0" destOrd="0" presId="urn:microsoft.com/office/officeart/2008/layout/LinedList"/>
    <dgm:cxn modelId="{C49F2BEF-A42A-4C7B-ABC1-857423FC65EE}" type="presOf" srcId="{5CA4528E-F75D-48C8-8106-8A93DD13183E}" destId="{CC67756D-4525-4ED5-B197-159D43E0D6C0}" srcOrd="0" destOrd="0" presId="urn:microsoft.com/office/officeart/2008/layout/LinedList"/>
    <dgm:cxn modelId="{9E8701F5-6556-4D2D-A6B4-AB6562F2046F}" srcId="{9CC7B8B5-E941-4309-BFB1-C62CCF230F34}" destId="{A0C49F75-F487-4618-B102-0469645D2C0F}" srcOrd="2" destOrd="0" parTransId="{CBAB17A2-CF6C-44AD-8EE1-5085116CB4C8}" sibTransId="{C512B3D0-E00B-4E99-98E4-DF2A78D3E668}"/>
    <dgm:cxn modelId="{E56E8B83-F8E6-4EEB-BFE6-66A915F1D029}" type="presParOf" srcId="{6E9BE980-0C65-42BC-8369-FBA9DD1FF63A}" destId="{67F45437-AD76-4756-B921-6F06546BC45A}" srcOrd="0" destOrd="0" presId="urn:microsoft.com/office/officeart/2008/layout/LinedList"/>
    <dgm:cxn modelId="{3F8354A4-152A-4208-931C-EE1AF2CC6985}" type="presParOf" srcId="{6E9BE980-0C65-42BC-8369-FBA9DD1FF63A}" destId="{C1B85D46-DFF4-402B-8C26-2A83EA2573CA}" srcOrd="1" destOrd="0" presId="urn:microsoft.com/office/officeart/2008/layout/LinedList"/>
    <dgm:cxn modelId="{6EF2DAC7-1C37-4309-BB00-45E36F51B38A}" type="presParOf" srcId="{C1B85D46-DFF4-402B-8C26-2A83EA2573CA}" destId="{9876536A-5C5F-46C4-902A-4A2B064ADD85}" srcOrd="0" destOrd="0" presId="urn:microsoft.com/office/officeart/2008/layout/LinedList"/>
    <dgm:cxn modelId="{7EEB708E-811F-4DF0-8EFF-FE90B95C1FD8}" type="presParOf" srcId="{C1B85D46-DFF4-402B-8C26-2A83EA2573CA}" destId="{8AACFDE8-97A4-4989-90B2-090A2E9E4938}" srcOrd="1" destOrd="0" presId="urn:microsoft.com/office/officeart/2008/layout/LinedList"/>
    <dgm:cxn modelId="{EEB059D8-61CA-41A7-AE79-0DA1F30F8C73}" type="presParOf" srcId="{8AACFDE8-97A4-4989-90B2-090A2E9E4938}" destId="{D3376ADB-EAAC-424F-A646-224113D01744}" srcOrd="0" destOrd="0" presId="urn:microsoft.com/office/officeart/2008/layout/LinedList"/>
    <dgm:cxn modelId="{D8CC86A5-8C37-407F-8FCA-D4F16C8D1AC0}" type="presParOf" srcId="{8AACFDE8-97A4-4989-90B2-090A2E9E4938}" destId="{D6682037-2A8E-40F9-8D49-E4ACB8A5E8E2}" srcOrd="1" destOrd="0" presId="urn:microsoft.com/office/officeart/2008/layout/LinedList"/>
    <dgm:cxn modelId="{E1B4FC40-7153-44DF-A5DB-E8750D7B969A}" type="presParOf" srcId="{D6682037-2A8E-40F9-8D49-E4ACB8A5E8E2}" destId="{3B3944B6-FD5F-48AB-81B5-837A6ECC2E0D}" srcOrd="0" destOrd="0" presId="urn:microsoft.com/office/officeart/2008/layout/LinedList"/>
    <dgm:cxn modelId="{CB154FD2-E8F2-43F8-A390-A9BF7ED757C2}" type="presParOf" srcId="{D6682037-2A8E-40F9-8D49-E4ACB8A5E8E2}" destId="{46767466-1A1C-46DD-AF63-0DA6202C95EA}" srcOrd="1" destOrd="0" presId="urn:microsoft.com/office/officeart/2008/layout/LinedList"/>
    <dgm:cxn modelId="{6A570AA2-3E69-4A32-9A72-4756E2BBA4DA}" type="presParOf" srcId="{D6682037-2A8E-40F9-8D49-E4ACB8A5E8E2}" destId="{3BE4BFC0-4F44-436C-9449-10B6CEC254B4}" srcOrd="2" destOrd="0" presId="urn:microsoft.com/office/officeart/2008/layout/LinedList"/>
    <dgm:cxn modelId="{A6A88008-EE79-4365-8BEE-2D861AC6E837}" type="presParOf" srcId="{8AACFDE8-97A4-4989-90B2-090A2E9E4938}" destId="{506E164D-4997-4E18-92D8-C4C02A673A84}" srcOrd="2" destOrd="0" presId="urn:microsoft.com/office/officeart/2008/layout/LinedList"/>
    <dgm:cxn modelId="{16E8343B-4345-457D-A01E-CDDC61C8623D}" type="presParOf" srcId="{8AACFDE8-97A4-4989-90B2-090A2E9E4938}" destId="{1593B533-16CC-4E9D-B7B2-C1E1ACE7A5E4}" srcOrd="3" destOrd="0" presId="urn:microsoft.com/office/officeart/2008/layout/LinedList"/>
    <dgm:cxn modelId="{80AE2344-D911-4239-B201-98AD85EF54D4}" type="presParOf" srcId="{8AACFDE8-97A4-4989-90B2-090A2E9E4938}" destId="{3EE0FD23-43FA-4CD0-B4DE-E053B1D67CBD}" srcOrd="4" destOrd="0" presId="urn:microsoft.com/office/officeart/2008/layout/LinedList"/>
    <dgm:cxn modelId="{136C9775-F474-44C2-8B6F-89CB45879610}" type="presParOf" srcId="{3EE0FD23-43FA-4CD0-B4DE-E053B1D67CBD}" destId="{0294F197-698D-4661-A483-7186BF400C2B}" srcOrd="0" destOrd="0" presId="urn:microsoft.com/office/officeart/2008/layout/LinedList"/>
    <dgm:cxn modelId="{20ABBBA8-A638-444B-BAC7-702CA852508C}" type="presParOf" srcId="{3EE0FD23-43FA-4CD0-B4DE-E053B1D67CBD}" destId="{CC67756D-4525-4ED5-B197-159D43E0D6C0}" srcOrd="1" destOrd="0" presId="urn:microsoft.com/office/officeart/2008/layout/LinedList"/>
    <dgm:cxn modelId="{D617A92C-0176-4C14-8F0A-AE8DA2C62F70}" type="presParOf" srcId="{3EE0FD23-43FA-4CD0-B4DE-E053B1D67CBD}" destId="{973C8031-1E95-4AB1-8FED-A77B417DE4F8}" srcOrd="2" destOrd="0" presId="urn:microsoft.com/office/officeart/2008/layout/LinedList"/>
    <dgm:cxn modelId="{250A9329-91E7-4EA4-B048-D39A296F3699}" type="presParOf" srcId="{8AACFDE8-97A4-4989-90B2-090A2E9E4938}" destId="{F56E90EF-9696-491D-AF93-314B81E4BBF2}" srcOrd="5" destOrd="0" presId="urn:microsoft.com/office/officeart/2008/layout/LinedList"/>
    <dgm:cxn modelId="{B19E3C77-6EE6-40E8-B06F-CC10C00A54CB}" type="presParOf" srcId="{8AACFDE8-97A4-4989-90B2-090A2E9E4938}" destId="{8C83836C-B378-404E-8C22-D11D00844FDB}" srcOrd="6" destOrd="0" presId="urn:microsoft.com/office/officeart/2008/layout/LinedList"/>
    <dgm:cxn modelId="{D4A1ECFD-0EBC-4185-8077-E6D46897C959}" type="presParOf" srcId="{8AACFDE8-97A4-4989-90B2-090A2E9E4938}" destId="{0D8F292E-D18C-4826-9ADE-01035D90B8BE}" srcOrd="7" destOrd="0" presId="urn:microsoft.com/office/officeart/2008/layout/LinedList"/>
    <dgm:cxn modelId="{801B0833-61D9-490D-B2B8-9FC14442B79B}" type="presParOf" srcId="{0D8F292E-D18C-4826-9ADE-01035D90B8BE}" destId="{130897DD-7555-4FB7-822A-617C806A8D4C}" srcOrd="0" destOrd="0" presId="urn:microsoft.com/office/officeart/2008/layout/LinedList"/>
    <dgm:cxn modelId="{9B6D14B9-3270-4482-8E35-75EBEC5736D0}" type="presParOf" srcId="{0D8F292E-D18C-4826-9ADE-01035D90B8BE}" destId="{D5BBEC20-E036-4D04-929A-DB6E8FE4BD42}" srcOrd="1" destOrd="0" presId="urn:microsoft.com/office/officeart/2008/layout/LinedList"/>
    <dgm:cxn modelId="{97A7C9F7-1DE1-45DA-87E9-8DDBD668E2FC}" type="presParOf" srcId="{0D8F292E-D18C-4826-9ADE-01035D90B8BE}" destId="{CDC62947-69C4-46EF-8903-D346AE99D95D}" srcOrd="2" destOrd="0" presId="urn:microsoft.com/office/officeart/2008/layout/LinedList"/>
    <dgm:cxn modelId="{6610B2F2-79AB-454B-B055-9A8594058028}" type="presParOf" srcId="{8AACFDE8-97A4-4989-90B2-090A2E9E4938}" destId="{C56E6C45-70B2-4AF5-956E-8EEA23212C18}" srcOrd="8" destOrd="0" presId="urn:microsoft.com/office/officeart/2008/layout/LinedList"/>
    <dgm:cxn modelId="{6DC19937-0B81-4018-A652-028E6667A850}" type="presParOf" srcId="{8AACFDE8-97A4-4989-90B2-090A2E9E4938}" destId="{9F199CDA-98A8-44B3-8881-805FD89177BD}" srcOrd="9" destOrd="0" presId="urn:microsoft.com/office/officeart/2008/layout/LinedList"/>
    <dgm:cxn modelId="{D058E054-7197-4222-9484-656E9035759E}" type="presParOf" srcId="{8AACFDE8-97A4-4989-90B2-090A2E9E4938}" destId="{8BF28ABB-901A-4D21-8E96-E2C02F57DED6}" srcOrd="10" destOrd="0" presId="urn:microsoft.com/office/officeart/2008/layout/LinedList"/>
    <dgm:cxn modelId="{D30CE7B6-EA4C-4A69-8F87-3CAE23EEC917}" type="presParOf" srcId="{8BF28ABB-901A-4D21-8E96-E2C02F57DED6}" destId="{5C3E8FE7-A10A-49F8-8555-4587F7481C74}" srcOrd="0" destOrd="0" presId="urn:microsoft.com/office/officeart/2008/layout/LinedList"/>
    <dgm:cxn modelId="{D05EE011-AB5B-48B4-A17C-57EFDF5DDD8A}" type="presParOf" srcId="{8BF28ABB-901A-4D21-8E96-E2C02F57DED6}" destId="{18383D95-E0A8-4755-A973-687E420287ED}" srcOrd="1" destOrd="0" presId="urn:microsoft.com/office/officeart/2008/layout/LinedList"/>
    <dgm:cxn modelId="{47D726F7-80CA-4D44-9156-124E9989B396}" type="presParOf" srcId="{8BF28ABB-901A-4D21-8E96-E2C02F57DED6}" destId="{EA617CDE-7449-4ABE-851A-8962A8297D59}" srcOrd="2" destOrd="0" presId="urn:microsoft.com/office/officeart/2008/layout/LinedList"/>
    <dgm:cxn modelId="{B1F119CD-8748-4B1A-B3F0-B35B1C18D014}" type="presParOf" srcId="{8AACFDE8-97A4-4989-90B2-090A2E9E4938}" destId="{1B1E2E38-35D1-4B6C-BC71-EE0802478735}" srcOrd="11" destOrd="0" presId="urn:microsoft.com/office/officeart/2008/layout/LinedList"/>
    <dgm:cxn modelId="{C0B2F9F9-30F6-4CF8-B148-D513BF170908}" type="presParOf" srcId="{8AACFDE8-97A4-4989-90B2-090A2E9E4938}" destId="{C7D81AFF-D915-4D4E-9AD2-F63811078BA5}" srcOrd="12" destOrd="0" presId="urn:microsoft.com/office/officeart/2008/layout/LinedList"/>
    <dgm:cxn modelId="{F623265D-C8C1-454A-A43A-02E6C265B35D}" type="presParOf" srcId="{8AACFDE8-97A4-4989-90B2-090A2E9E4938}" destId="{6C132BFD-BBB6-4612-89BA-5B553D89E4FD}" srcOrd="13" destOrd="0" presId="urn:microsoft.com/office/officeart/2008/layout/LinedList"/>
    <dgm:cxn modelId="{5A646C08-8134-439E-BFB7-854780AB6283}" type="presParOf" srcId="{6C132BFD-BBB6-4612-89BA-5B553D89E4FD}" destId="{B84B2ED6-079C-4E2F-976C-428CE8DDE474}" srcOrd="0" destOrd="0" presId="urn:microsoft.com/office/officeart/2008/layout/LinedList"/>
    <dgm:cxn modelId="{7BC7030F-DC16-4B54-9DDF-36791D635925}" type="presParOf" srcId="{6C132BFD-BBB6-4612-89BA-5B553D89E4FD}" destId="{84EAC120-DB48-49BF-BB7E-A2907F53658F}" srcOrd="1" destOrd="0" presId="urn:microsoft.com/office/officeart/2008/layout/LinedList"/>
    <dgm:cxn modelId="{159D0CCC-5851-4927-AB9F-7378AAE36260}" type="presParOf" srcId="{6C132BFD-BBB6-4612-89BA-5B553D89E4FD}" destId="{E4977DC8-A422-4782-AFB1-5D69D26B0C37}" srcOrd="2" destOrd="0" presId="urn:microsoft.com/office/officeart/2008/layout/LinedList"/>
    <dgm:cxn modelId="{F08B0F3A-82DD-4557-B457-656144E16AA6}" type="presParOf" srcId="{8AACFDE8-97A4-4989-90B2-090A2E9E4938}" destId="{EAB80771-2B25-4F4C-AA50-246D9B34775E}" srcOrd="14" destOrd="0" presId="urn:microsoft.com/office/officeart/2008/layout/LinedList"/>
    <dgm:cxn modelId="{0673CE3B-9D49-43A3-9DBE-1AF2E56A88D6}" type="presParOf" srcId="{8AACFDE8-97A4-4989-90B2-090A2E9E4938}" destId="{BE21BBE1-C598-42A5-8524-51ACD525E13D}" srcOrd="15" destOrd="0" presId="urn:microsoft.com/office/officeart/2008/layout/LinedList"/>
    <dgm:cxn modelId="{B39AA4C5-3E2A-4224-849C-3656BEBDC14C}" type="presParOf" srcId="{8AACFDE8-97A4-4989-90B2-090A2E9E4938}" destId="{EE752285-0F73-4462-9542-26FB83DFA743}" srcOrd="16" destOrd="0" presId="urn:microsoft.com/office/officeart/2008/layout/LinedList"/>
    <dgm:cxn modelId="{D97F7EDE-4F87-40C8-8772-64FEB3EDAB34}" type="presParOf" srcId="{EE752285-0F73-4462-9542-26FB83DFA743}" destId="{03307620-2E8C-4BB1-B936-032861987D6C}" srcOrd="0" destOrd="0" presId="urn:microsoft.com/office/officeart/2008/layout/LinedList"/>
    <dgm:cxn modelId="{2E388308-CE32-423C-8052-CDAA86681249}" type="presParOf" srcId="{EE752285-0F73-4462-9542-26FB83DFA743}" destId="{E5AB8E84-EACA-4CDE-9A59-F5679766801F}" srcOrd="1" destOrd="0" presId="urn:microsoft.com/office/officeart/2008/layout/LinedList"/>
    <dgm:cxn modelId="{0F8CBDB8-24E2-45D3-B1CA-BC479CAD674F}" type="presParOf" srcId="{EE752285-0F73-4462-9542-26FB83DFA743}" destId="{44CE5D9B-6E8B-4741-A91A-2E5F6FFD2CED}" srcOrd="2" destOrd="0" presId="urn:microsoft.com/office/officeart/2008/layout/LinedList"/>
    <dgm:cxn modelId="{FE33007D-374E-4CB3-A90A-A8AFCFB9C68C}" type="presParOf" srcId="{8AACFDE8-97A4-4989-90B2-090A2E9E4938}" destId="{620ADE07-0EFE-4C9C-8308-FAD99CDE07FC}" srcOrd="17" destOrd="0" presId="urn:microsoft.com/office/officeart/2008/layout/LinedList"/>
    <dgm:cxn modelId="{097745E5-61A9-4E19-9F58-A0E02D575651}" type="presParOf" srcId="{8AACFDE8-97A4-4989-90B2-090A2E9E4938}" destId="{74C9FE83-52A3-4BCA-85C4-31957523D643}" srcOrd="18" destOrd="0" presId="urn:microsoft.com/office/officeart/2008/layout/LinedList"/>
    <dgm:cxn modelId="{C07EA541-36AA-48BF-9F06-B562CF8BCBB4}" type="presParOf" srcId="{8AACFDE8-97A4-4989-90B2-090A2E9E4938}" destId="{D78C9745-7E6F-4C13-90C4-117AB9371E1C}" srcOrd="19" destOrd="0" presId="urn:microsoft.com/office/officeart/2008/layout/LinedList"/>
    <dgm:cxn modelId="{C566A734-AEDA-4A16-A2BE-3A32D3CBD38F}" type="presParOf" srcId="{D78C9745-7E6F-4C13-90C4-117AB9371E1C}" destId="{9EC58C5F-A02A-4A28-98DF-064CEBCFB717}" srcOrd="0" destOrd="0" presId="urn:microsoft.com/office/officeart/2008/layout/LinedList"/>
    <dgm:cxn modelId="{51E1A54B-665D-4F02-956E-DF0F2071AF9E}" type="presParOf" srcId="{D78C9745-7E6F-4C13-90C4-117AB9371E1C}" destId="{601D9D2C-9D9F-4DA6-9177-BD402EEAC747}" srcOrd="1" destOrd="0" presId="urn:microsoft.com/office/officeart/2008/layout/LinedList"/>
    <dgm:cxn modelId="{95C8FDF1-1A59-4ED2-A5B1-59B81EE23C2A}" type="presParOf" srcId="{D78C9745-7E6F-4C13-90C4-117AB9371E1C}" destId="{684A2965-0AB3-40E9-B1C3-E5B0BB997104}" srcOrd="2" destOrd="0" presId="urn:microsoft.com/office/officeart/2008/layout/LinedList"/>
    <dgm:cxn modelId="{61E2DD2B-7271-4C12-A43D-A0340758FA23}" type="presParOf" srcId="{8AACFDE8-97A4-4989-90B2-090A2E9E4938}" destId="{63C86925-7D0C-40A6-A704-4C4FCFC8A5EB}" srcOrd="20" destOrd="0" presId="urn:microsoft.com/office/officeart/2008/layout/LinedList"/>
    <dgm:cxn modelId="{FBE6AF7E-A072-49B1-AC2F-A3DA2FEC9A1C}" type="presParOf" srcId="{8AACFDE8-97A4-4989-90B2-090A2E9E4938}" destId="{A5B2ACC5-37F2-4860-BFF4-EC18868CF8EE}" srcOrd="21" destOrd="0" presId="urn:microsoft.com/office/officeart/2008/layout/LinedList"/>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9B243C6B-F17C-462E-8BB2-057E96224E55}" type="doc">
      <dgm:prSet loTypeId="urn:microsoft.com/office/officeart/2005/8/layout/vList2" loCatId="list" qsTypeId="urn:microsoft.com/office/officeart/2005/8/quickstyle/simple1" qsCatId="simple" csTypeId="urn:microsoft.com/office/officeart/2005/8/colors/colorful4" csCatId="colorful" phldr="1"/>
      <dgm:spPr/>
      <dgm:t>
        <a:bodyPr/>
        <a:lstStyle/>
        <a:p>
          <a:endParaRPr lang="en-US"/>
        </a:p>
      </dgm:t>
    </dgm:pt>
    <dgm:pt modelId="{19A07AE9-A51A-4977-A5CD-62E2645C24A5}">
      <dgm:prSet phldrT="[Text]" custT="1"/>
      <dgm:spPr/>
      <dgm:t>
        <a:bodyPr/>
        <a:lstStyle/>
        <a:p>
          <a:r>
            <a:rPr lang="en-US" sz="1100">
              <a:latin typeface="Century Gothic" panose="020B0502020202020204" pitchFamily="34" charset="0"/>
            </a:rPr>
            <a:t>Expand the CalSAWS Innovation Team members to include representatives from other areas of the Consortium or Counties</a:t>
          </a:r>
        </a:p>
      </dgm:t>
    </dgm:pt>
    <dgm:pt modelId="{65485EC3-C5C1-4D34-8528-32959CB31265}" type="parTrans" cxnId="{9B368CF9-54FD-4565-BAB9-5CB1AC78599D}">
      <dgm:prSet/>
      <dgm:spPr/>
      <dgm:t>
        <a:bodyPr/>
        <a:lstStyle/>
        <a:p>
          <a:endParaRPr lang="en-US">
            <a:latin typeface="Century Gothic" panose="020B0502020202020204" pitchFamily="34" charset="0"/>
          </a:endParaRPr>
        </a:p>
      </dgm:t>
    </dgm:pt>
    <dgm:pt modelId="{43C94E3E-ED65-4327-BE88-D2307DAB700A}" type="sibTrans" cxnId="{9B368CF9-54FD-4565-BAB9-5CB1AC78599D}">
      <dgm:prSet/>
      <dgm:spPr/>
      <dgm:t>
        <a:bodyPr/>
        <a:lstStyle/>
        <a:p>
          <a:endParaRPr lang="en-US">
            <a:latin typeface="Century Gothic" panose="020B0502020202020204" pitchFamily="34" charset="0"/>
          </a:endParaRPr>
        </a:p>
      </dgm:t>
    </dgm:pt>
    <dgm:pt modelId="{A72FD1B1-D2CC-4B92-8568-1E25593C88C6}">
      <dgm:prSet phldrT="[Text]" custT="1"/>
      <dgm:spPr/>
      <dgm:t>
        <a:bodyPr/>
        <a:lstStyle/>
        <a:p>
          <a:r>
            <a:rPr lang="en-US" sz="1100" baseline="0">
              <a:latin typeface="Century Gothic" panose="020B0502020202020204" pitchFamily="34" charset="0"/>
            </a:rPr>
            <a:t>Establish Innovation program goals and objectives that are tied to the organization's goals</a:t>
          </a:r>
        </a:p>
      </dgm:t>
    </dgm:pt>
    <dgm:pt modelId="{3B37EAAF-1207-4F74-B3FE-9C0FBDE61366}" type="parTrans" cxnId="{81CE0490-E32A-480E-8AC4-4B2BD2975AAF}">
      <dgm:prSet/>
      <dgm:spPr/>
      <dgm:t>
        <a:bodyPr/>
        <a:lstStyle/>
        <a:p>
          <a:endParaRPr lang="en-US">
            <a:latin typeface="Century Gothic" panose="020B0502020202020204" pitchFamily="34" charset="0"/>
          </a:endParaRPr>
        </a:p>
      </dgm:t>
    </dgm:pt>
    <dgm:pt modelId="{73DD9357-F8AC-4B1A-A946-E6BF7BE264A8}" type="sibTrans" cxnId="{81CE0490-E32A-480E-8AC4-4B2BD2975AAF}">
      <dgm:prSet/>
      <dgm:spPr/>
      <dgm:t>
        <a:bodyPr/>
        <a:lstStyle/>
        <a:p>
          <a:endParaRPr lang="en-US">
            <a:latin typeface="Century Gothic" panose="020B0502020202020204" pitchFamily="34" charset="0"/>
          </a:endParaRPr>
        </a:p>
      </dgm:t>
    </dgm:pt>
    <dgm:pt modelId="{651F965F-F4AC-437C-82CB-8212593D1F87}">
      <dgm:prSet phldrT="[Text]" custT="1"/>
      <dgm:spPr/>
      <dgm:t>
        <a:bodyPr/>
        <a:lstStyle/>
        <a:p>
          <a:pPr>
            <a:buClr>
              <a:srgbClr val="2B3A44"/>
            </a:buClr>
            <a:buSzPts val="1100"/>
            <a:buFont typeface="Symbol" panose="05050102010706020507" pitchFamily="18" charset="2"/>
            <a:buChar char=""/>
          </a:pPr>
          <a:r>
            <a:rPr lang="en-US" sz="1100" baseline="0">
              <a:latin typeface="Century Gothic" panose="020B0502020202020204" pitchFamily="34" charset="0"/>
            </a:rPr>
            <a:t>Identify training for all staff members to “market” the Innovation program and create a culture of innovation at the staff level</a:t>
          </a:r>
        </a:p>
      </dgm:t>
    </dgm:pt>
    <dgm:pt modelId="{5E9C3B52-4E49-4BFF-8C9D-AFFF8A745CB6}" type="parTrans" cxnId="{512757FE-574B-4FC3-A268-0657220EC05C}">
      <dgm:prSet/>
      <dgm:spPr/>
      <dgm:t>
        <a:bodyPr/>
        <a:lstStyle/>
        <a:p>
          <a:endParaRPr lang="en-US">
            <a:latin typeface="Century Gothic" panose="020B0502020202020204" pitchFamily="34" charset="0"/>
          </a:endParaRPr>
        </a:p>
      </dgm:t>
    </dgm:pt>
    <dgm:pt modelId="{2AF52200-C508-45F7-8E17-47753027131E}" type="sibTrans" cxnId="{512757FE-574B-4FC3-A268-0657220EC05C}">
      <dgm:prSet/>
      <dgm:spPr/>
      <dgm:t>
        <a:bodyPr/>
        <a:lstStyle/>
        <a:p>
          <a:endParaRPr lang="en-US">
            <a:latin typeface="Century Gothic" panose="020B0502020202020204" pitchFamily="34" charset="0"/>
          </a:endParaRPr>
        </a:p>
      </dgm:t>
    </dgm:pt>
    <dgm:pt modelId="{4A661C7A-5B52-4DC5-A05C-FACA351A063A}">
      <dgm:prSet phldrT="[Text]" custT="1"/>
      <dgm:spPr/>
      <dgm:t>
        <a:bodyPr/>
        <a:lstStyle/>
        <a:p>
          <a:pPr>
            <a:buClr>
              <a:srgbClr val="2B3A44"/>
            </a:buClr>
            <a:buSzPts val="1100"/>
            <a:buFont typeface="Symbol" panose="05050102010706020507" pitchFamily="18" charset="2"/>
            <a:buChar char=""/>
          </a:pPr>
          <a:r>
            <a:rPr lang="en-US" sz="1100" baseline="0">
              <a:latin typeface="Century Gothic" panose="020B0502020202020204" pitchFamily="34" charset="0"/>
            </a:rPr>
            <a:t>Participate in the current award-winning “Shark Tank” process </a:t>
          </a:r>
        </a:p>
      </dgm:t>
    </dgm:pt>
    <dgm:pt modelId="{B0582BA7-33FE-4E2F-801A-CB4750EAA902}" type="parTrans" cxnId="{6F0D21B2-8C15-4861-A29F-666B792D8FA6}">
      <dgm:prSet/>
      <dgm:spPr/>
      <dgm:t>
        <a:bodyPr/>
        <a:lstStyle/>
        <a:p>
          <a:endParaRPr lang="en-US">
            <a:latin typeface="Century Gothic" panose="020B0502020202020204" pitchFamily="34" charset="0"/>
          </a:endParaRPr>
        </a:p>
      </dgm:t>
    </dgm:pt>
    <dgm:pt modelId="{67F59953-44A7-4935-938F-F7A646A2225D}" type="sibTrans" cxnId="{6F0D21B2-8C15-4861-A29F-666B792D8FA6}">
      <dgm:prSet/>
      <dgm:spPr/>
      <dgm:t>
        <a:bodyPr/>
        <a:lstStyle/>
        <a:p>
          <a:endParaRPr lang="en-US">
            <a:latin typeface="Century Gothic" panose="020B0502020202020204" pitchFamily="34" charset="0"/>
          </a:endParaRPr>
        </a:p>
      </dgm:t>
    </dgm:pt>
    <dgm:pt modelId="{002AE15E-9D5B-4359-A69F-DA4BF2E71B1E}">
      <dgm:prSet phldrT="[Text]" custT="1"/>
      <dgm:spPr/>
      <dgm:t>
        <a:bodyPr/>
        <a:lstStyle/>
        <a:p>
          <a:pPr>
            <a:buClr>
              <a:srgbClr val="2B3A44"/>
            </a:buClr>
            <a:buSzPts val="1100"/>
            <a:buFont typeface="Symbol" panose="05050102010706020507" pitchFamily="18" charset="2"/>
            <a:buChar char=""/>
          </a:pPr>
          <a:r>
            <a:rPr lang="en-US" sz="1100" baseline="0">
              <a:latin typeface="Century Gothic" panose="020B0502020202020204" pitchFamily="34" charset="0"/>
            </a:rPr>
            <a:t>Support the CalSAWS Innovation Team in selecting ideas for POC and evaluating results at the conclusion of the POC build</a:t>
          </a:r>
        </a:p>
      </dgm:t>
    </dgm:pt>
    <dgm:pt modelId="{ECDF60C5-E712-4E2F-9217-933AE3A24EE9}" type="parTrans" cxnId="{46E59A3F-6CE1-4363-B81B-AA2E435ACBBE}">
      <dgm:prSet/>
      <dgm:spPr/>
      <dgm:t>
        <a:bodyPr/>
        <a:lstStyle/>
        <a:p>
          <a:endParaRPr lang="en-US">
            <a:latin typeface="Century Gothic" panose="020B0502020202020204" pitchFamily="34" charset="0"/>
          </a:endParaRPr>
        </a:p>
      </dgm:t>
    </dgm:pt>
    <dgm:pt modelId="{F6D15895-452F-4DBE-863D-07F59E399AC6}" type="sibTrans" cxnId="{46E59A3F-6CE1-4363-B81B-AA2E435ACBBE}">
      <dgm:prSet/>
      <dgm:spPr/>
      <dgm:t>
        <a:bodyPr/>
        <a:lstStyle/>
        <a:p>
          <a:endParaRPr lang="en-US">
            <a:latin typeface="Century Gothic" panose="020B0502020202020204" pitchFamily="34" charset="0"/>
          </a:endParaRPr>
        </a:p>
      </dgm:t>
    </dgm:pt>
    <dgm:pt modelId="{9FE620A4-4C13-4146-B587-2E177D93031D}">
      <dgm:prSet phldrT="[Text]" custT="1"/>
      <dgm:spPr/>
      <dgm:t>
        <a:bodyPr/>
        <a:lstStyle/>
        <a:p>
          <a:r>
            <a:rPr lang="en-US" sz="1100" baseline="0">
              <a:latin typeface="Century Gothic" panose="020B0502020202020204" pitchFamily="34" charset="0"/>
            </a:rPr>
            <a:t>Provide information based on the variety of user centered design techniques that allow us to gather user experiences and reporting metrics</a:t>
          </a:r>
        </a:p>
      </dgm:t>
    </dgm:pt>
    <dgm:pt modelId="{E34887A5-B8E8-464F-9CB2-9E8E7B95128D}" type="parTrans" cxnId="{14D4D40D-BF37-4A3E-8FA1-5620D4D986E9}">
      <dgm:prSet/>
      <dgm:spPr/>
      <dgm:t>
        <a:bodyPr/>
        <a:lstStyle/>
        <a:p>
          <a:endParaRPr lang="en-US">
            <a:latin typeface="Century Gothic" panose="020B0502020202020204" pitchFamily="34" charset="0"/>
          </a:endParaRPr>
        </a:p>
      </dgm:t>
    </dgm:pt>
    <dgm:pt modelId="{3BD6D099-6559-462D-A65C-914502E7838C}" type="sibTrans" cxnId="{14D4D40D-BF37-4A3E-8FA1-5620D4D986E9}">
      <dgm:prSet/>
      <dgm:spPr/>
      <dgm:t>
        <a:bodyPr/>
        <a:lstStyle/>
        <a:p>
          <a:endParaRPr lang="en-US">
            <a:latin typeface="Century Gothic" panose="020B0502020202020204" pitchFamily="34" charset="0"/>
          </a:endParaRPr>
        </a:p>
      </dgm:t>
    </dgm:pt>
    <dgm:pt modelId="{3570BBF2-2A5C-4D10-B23A-526BCD5ED56A}">
      <dgm:prSet phldrT="[Text]" custT="1"/>
      <dgm:spPr/>
      <dgm:t>
        <a:bodyPr/>
        <a:lstStyle/>
        <a:p>
          <a:r>
            <a:rPr lang="en-US" sz="1100" baseline="0">
              <a:latin typeface="Century Gothic" panose="020B0502020202020204" pitchFamily="34" charset="0"/>
            </a:rPr>
            <a:t>Conduct analytics research into outcome questions such as the described churn example</a:t>
          </a:r>
        </a:p>
      </dgm:t>
    </dgm:pt>
    <dgm:pt modelId="{9FD68837-7254-48A6-BD2E-77F4033D63A0}" type="parTrans" cxnId="{9F8ADD75-9CF4-4C02-9FCE-3002BEE2DE10}">
      <dgm:prSet/>
      <dgm:spPr/>
      <dgm:t>
        <a:bodyPr/>
        <a:lstStyle/>
        <a:p>
          <a:endParaRPr lang="en-US">
            <a:latin typeface="Century Gothic" panose="020B0502020202020204" pitchFamily="34" charset="0"/>
          </a:endParaRPr>
        </a:p>
      </dgm:t>
    </dgm:pt>
    <dgm:pt modelId="{08CEF4E9-8C6E-45E0-BD65-DABDCA4397E6}" type="sibTrans" cxnId="{9F8ADD75-9CF4-4C02-9FCE-3002BEE2DE10}">
      <dgm:prSet/>
      <dgm:spPr/>
      <dgm:t>
        <a:bodyPr/>
        <a:lstStyle/>
        <a:p>
          <a:endParaRPr lang="en-US">
            <a:latin typeface="Century Gothic" panose="020B0502020202020204" pitchFamily="34" charset="0"/>
          </a:endParaRPr>
        </a:p>
      </dgm:t>
    </dgm:pt>
    <dgm:pt modelId="{A9090E59-A532-4C0C-965C-ABCC30DB3444}">
      <dgm:prSet phldrT="[Text]" custT="1"/>
      <dgm:spPr/>
      <dgm:t>
        <a:bodyPr/>
        <a:lstStyle/>
        <a:p>
          <a:r>
            <a:rPr lang="en-US" sz="1100" baseline="0">
              <a:latin typeface="Century Gothic" panose="020B0502020202020204" pitchFamily="34" charset="0"/>
            </a:rPr>
            <a:t>Participate in visits, with CalSAWS Innovation Team members, to County offices and CBO locations that have implemented innovative business practices or who have identified pain points that are roadblocks to productivity</a:t>
          </a:r>
        </a:p>
      </dgm:t>
    </dgm:pt>
    <dgm:pt modelId="{273B36F7-FECA-4EB2-84D3-F9DCB52E911A}" type="parTrans" cxnId="{FE9A6DAB-1CAA-4595-92C0-9CE5906C871C}">
      <dgm:prSet/>
      <dgm:spPr/>
      <dgm:t>
        <a:bodyPr/>
        <a:lstStyle/>
        <a:p>
          <a:endParaRPr lang="en-US">
            <a:latin typeface="Century Gothic" panose="020B0502020202020204" pitchFamily="34" charset="0"/>
          </a:endParaRPr>
        </a:p>
      </dgm:t>
    </dgm:pt>
    <dgm:pt modelId="{C0A4BA37-267B-4481-B72B-BC8419E38555}" type="sibTrans" cxnId="{FE9A6DAB-1CAA-4595-92C0-9CE5906C871C}">
      <dgm:prSet/>
      <dgm:spPr/>
      <dgm:t>
        <a:bodyPr/>
        <a:lstStyle/>
        <a:p>
          <a:endParaRPr lang="en-US">
            <a:latin typeface="Century Gothic" panose="020B0502020202020204" pitchFamily="34" charset="0"/>
          </a:endParaRPr>
        </a:p>
      </dgm:t>
    </dgm:pt>
    <dgm:pt modelId="{AE49D701-0C65-44FB-A5DC-45F879AC491A}" type="pres">
      <dgm:prSet presAssocID="{9B243C6B-F17C-462E-8BB2-057E96224E55}" presName="linear" presStyleCnt="0">
        <dgm:presLayoutVars>
          <dgm:animLvl val="lvl"/>
          <dgm:resizeHandles val="exact"/>
        </dgm:presLayoutVars>
      </dgm:prSet>
      <dgm:spPr/>
    </dgm:pt>
    <dgm:pt modelId="{6B65080A-8329-4198-9BD4-E721B720D139}" type="pres">
      <dgm:prSet presAssocID="{19A07AE9-A51A-4977-A5CD-62E2645C24A5}" presName="parentText" presStyleLbl="node1" presStyleIdx="0" presStyleCnt="8">
        <dgm:presLayoutVars>
          <dgm:chMax val="0"/>
          <dgm:bulletEnabled val="1"/>
        </dgm:presLayoutVars>
      </dgm:prSet>
      <dgm:spPr/>
    </dgm:pt>
    <dgm:pt modelId="{E2464F61-606F-4DC2-8E0C-875358761202}" type="pres">
      <dgm:prSet presAssocID="{43C94E3E-ED65-4327-BE88-D2307DAB700A}" presName="spacer" presStyleCnt="0"/>
      <dgm:spPr/>
    </dgm:pt>
    <dgm:pt modelId="{4BC747B5-4214-4276-98ED-B4FA2B0A2B0F}" type="pres">
      <dgm:prSet presAssocID="{A72FD1B1-D2CC-4B92-8568-1E25593C88C6}" presName="parentText" presStyleLbl="node1" presStyleIdx="1" presStyleCnt="8">
        <dgm:presLayoutVars>
          <dgm:chMax val="0"/>
          <dgm:bulletEnabled val="1"/>
        </dgm:presLayoutVars>
      </dgm:prSet>
      <dgm:spPr/>
    </dgm:pt>
    <dgm:pt modelId="{7DF6DA5D-08DA-441F-A06B-B0E2098D392A}" type="pres">
      <dgm:prSet presAssocID="{73DD9357-F8AC-4B1A-A946-E6BF7BE264A8}" presName="spacer" presStyleCnt="0"/>
      <dgm:spPr/>
    </dgm:pt>
    <dgm:pt modelId="{42782B2F-AD00-48FE-AE01-9872BE1EDAB0}" type="pres">
      <dgm:prSet presAssocID="{651F965F-F4AC-437C-82CB-8212593D1F87}" presName="parentText" presStyleLbl="node1" presStyleIdx="2" presStyleCnt="8">
        <dgm:presLayoutVars>
          <dgm:chMax val="0"/>
          <dgm:bulletEnabled val="1"/>
        </dgm:presLayoutVars>
      </dgm:prSet>
      <dgm:spPr/>
    </dgm:pt>
    <dgm:pt modelId="{F1517AB8-093D-4290-B2D5-F1D4193E9302}" type="pres">
      <dgm:prSet presAssocID="{2AF52200-C508-45F7-8E17-47753027131E}" presName="spacer" presStyleCnt="0"/>
      <dgm:spPr/>
    </dgm:pt>
    <dgm:pt modelId="{163C1ECA-4F34-49EA-8CCA-EE1432985E10}" type="pres">
      <dgm:prSet presAssocID="{A9090E59-A532-4C0C-965C-ABCC30DB3444}" presName="parentText" presStyleLbl="node1" presStyleIdx="3" presStyleCnt="8">
        <dgm:presLayoutVars>
          <dgm:chMax val="0"/>
          <dgm:bulletEnabled val="1"/>
        </dgm:presLayoutVars>
      </dgm:prSet>
      <dgm:spPr/>
    </dgm:pt>
    <dgm:pt modelId="{7427D602-FD80-45E6-AC5D-AA551ABB8B47}" type="pres">
      <dgm:prSet presAssocID="{C0A4BA37-267B-4481-B72B-BC8419E38555}" presName="spacer" presStyleCnt="0"/>
      <dgm:spPr/>
    </dgm:pt>
    <dgm:pt modelId="{341B9F56-014B-473B-B5D6-2FA1CC122677}" type="pres">
      <dgm:prSet presAssocID="{4A661C7A-5B52-4DC5-A05C-FACA351A063A}" presName="parentText" presStyleLbl="node1" presStyleIdx="4" presStyleCnt="8">
        <dgm:presLayoutVars>
          <dgm:chMax val="0"/>
          <dgm:bulletEnabled val="1"/>
        </dgm:presLayoutVars>
      </dgm:prSet>
      <dgm:spPr/>
    </dgm:pt>
    <dgm:pt modelId="{F4CA06EB-AF9A-4768-83A8-6F4849F2D4DB}" type="pres">
      <dgm:prSet presAssocID="{67F59953-44A7-4935-938F-F7A646A2225D}" presName="spacer" presStyleCnt="0"/>
      <dgm:spPr/>
    </dgm:pt>
    <dgm:pt modelId="{2636379C-9FD7-49AF-9497-0A7B920C1927}" type="pres">
      <dgm:prSet presAssocID="{002AE15E-9D5B-4359-A69F-DA4BF2E71B1E}" presName="parentText" presStyleLbl="node1" presStyleIdx="5" presStyleCnt="8">
        <dgm:presLayoutVars>
          <dgm:chMax val="0"/>
          <dgm:bulletEnabled val="1"/>
        </dgm:presLayoutVars>
      </dgm:prSet>
      <dgm:spPr/>
    </dgm:pt>
    <dgm:pt modelId="{7323BA50-38C5-454A-9FD5-6C10D7402E02}" type="pres">
      <dgm:prSet presAssocID="{F6D15895-452F-4DBE-863D-07F59E399AC6}" presName="spacer" presStyleCnt="0"/>
      <dgm:spPr/>
    </dgm:pt>
    <dgm:pt modelId="{003AAEF5-40D4-40BA-B6CC-7E3EB2FAD2C9}" type="pres">
      <dgm:prSet presAssocID="{9FE620A4-4C13-4146-B587-2E177D93031D}" presName="parentText" presStyleLbl="node1" presStyleIdx="6" presStyleCnt="8">
        <dgm:presLayoutVars>
          <dgm:chMax val="0"/>
          <dgm:bulletEnabled val="1"/>
        </dgm:presLayoutVars>
      </dgm:prSet>
      <dgm:spPr/>
    </dgm:pt>
    <dgm:pt modelId="{E1EBBB0E-FE40-4849-BDE8-767C2CF7C99D}" type="pres">
      <dgm:prSet presAssocID="{3BD6D099-6559-462D-A65C-914502E7838C}" presName="spacer" presStyleCnt="0"/>
      <dgm:spPr/>
    </dgm:pt>
    <dgm:pt modelId="{DC0DB686-E031-4281-ADFC-96DB14AE782B}" type="pres">
      <dgm:prSet presAssocID="{3570BBF2-2A5C-4D10-B23A-526BCD5ED56A}" presName="parentText" presStyleLbl="node1" presStyleIdx="7" presStyleCnt="8">
        <dgm:presLayoutVars>
          <dgm:chMax val="0"/>
          <dgm:bulletEnabled val="1"/>
        </dgm:presLayoutVars>
      </dgm:prSet>
      <dgm:spPr/>
    </dgm:pt>
  </dgm:ptLst>
  <dgm:cxnLst>
    <dgm:cxn modelId="{14D4D40D-BF37-4A3E-8FA1-5620D4D986E9}" srcId="{9B243C6B-F17C-462E-8BB2-057E96224E55}" destId="{9FE620A4-4C13-4146-B587-2E177D93031D}" srcOrd="6" destOrd="0" parTransId="{E34887A5-B8E8-464F-9CB2-9E8E7B95128D}" sibTransId="{3BD6D099-6559-462D-A65C-914502E7838C}"/>
    <dgm:cxn modelId="{392BD318-0F91-4DDD-B045-B4A1B75E7635}" type="presOf" srcId="{A72FD1B1-D2CC-4B92-8568-1E25593C88C6}" destId="{4BC747B5-4214-4276-98ED-B4FA2B0A2B0F}" srcOrd="0" destOrd="0" presId="urn:microsoft.com/office/officeart/2005/8/layout/vList2"/>
    <dgm:cxn modelId="{27083019-C20C-43C3-AEEB-31DECDD08684}" type="presOf" srcId="{3570BBF2-2A5C-4D10-B23A-526BCD5ED56A}" destId="{DC0DB686-E031-4281-ADFC-96DB14AE782B}" srcOrd="0" destOrd="0" presId="urn:microsoft.com/office/officeart/2005/8/layout/vList2"/>
    <dgm:cxn modelId="{61A3B225-692C-4B8F-9A89-6E5C214B111E}" type="presOf" srcId="{651F965F-F4AC-437C-82CB-8212593D1F87}" destId="{42782B2F-AD00-48FE-AE01-9872BE1EDAB0}" srcOrd="0" destOrd="0" presId="urn:microsoft.com/office/officeart/2005/8/layout/vList2"/>
    <dgm:cxn modelId="{47FEB63E-CEC4-4EA2-BC05-718914905F4E}" type="presOf" srcId="{9B243C6B-F17C-462E-8BB2-057E96224E55}" destId="{AE49D701-0C65-44FB-A5DC-45F879AC491A}" srcOrd="0" destOrd="0" presId="urn:microsoft.com/office/officeart/2005/8/layout/vList2"/>
    <dgm:cxn modelId="{46E59A3F-6CE1-4363-B81B-AA2E435ACBBE}" srcId="{9B243C6B-F17C-462E-8BB2-057E96224E55}" destId="{002AE15E-9D5B-4359-A69F-DA4BF2E71B1E}" srcOrd="5" destOrd="0" parTransId="{ECDF60C5-E712-4E2F-9217-933AE3A24EE9}" sibTransId="{F6D15895-452F-4DBE-863D-07F59E399AC6}"/>
    <dgm:cxn modelId="{905D7F51-099C-4E58-8ECF-CC55F0671B66}" type="presOf" srcId="{4A661C7A-5B52-4DC5-A05C-FACA351A063A}" destId="{341B9F56-014B-473B-B5D6-2FA1CC122677}" srcOrd="0" destOrd="0" presId="urn:microsoft.com/office/officeart/2005/8/layout/vList2"/>
    <dgm:cxn modelId="{9F8ADD75-9CF4-4C02-9FCE-3002BEE2DE10}" srcId="{9B243C6B-F17C-462E-8BB2-057E96224E55}" destId="{3570BBF2-2A5C-4D10-B23A-526BCD5ED56A}" srcOrd="7" destOrd="0" parTransId="{9FD68837-7254-48A6-BD2E-77F4033D63A0}" sibTransId="{08CEF4E9-8C6E-45E0-BD65-DABDCA4397E6}"/>
    <dgm:cxn modelId="{81CE0490-E32A-480E-8AC4-4B2BD2975AAF}" srcId="{9B243C6B-F17C-462E-8BB2-057E96224E55}" destId="{A72FD1B1-D2CC-4B92-8568-1E25593C88C6}" srcOrd="1" destOrd="0" parTransId="{3B37EAAF-1207-4F74-B3FE-9C0FBDE61366}" sibTransId="{73DD9357-F8AC-4B1A-A946-E6BF7BE264A8}"/>
    <dgm:cxn modelId="{9E59DBA2-ECD7-4286-947B-C3FB2992EE4B}" type="presOf" srcId="{002AE15E-9D5B-4359-A69F-DA4BF2E71B1E}" destId="{2636379C-9FD7-49AF-9497-0A7B920C1927}" srcOrd="0" destOrd="0" presId="urn:microsoft.com/office/officeart/2005/8/layout/vList2"/>
    <dgm:cxn modelId="{FE9A6DAB-1CAA-4595-92C0-9CE5906C871C}" srcId="{9B243C6B-F17C-462E-8BB2-057E96224E55}" destId="{A9090E59-A532-4C0C-965C-ABCC30DB3444}" srcOrd="3" destOrd="0" parTransId="{273B36F7-FECA-4EB2-84D3-F9DCB52E911A}" sibTransId="{C0A4BA37-267B-4481-B72B-BC8419E38555}"/>
    <dgm:cxn modelId="{6F0D21B2-8C15-4861-A29F-666B792D8FA6}" srcId="{9B243C6B-F17C-462E-8BB2-057E96224E55}" destId="{4A661C7A-5B52-4DC5-A05C-FACA351A063A}" srcOrd="4" destOrd="0" parTransId="{B0582BA7-33FE-4E2F-801A-CB4750EAA902}" sibTransId="{67F59953-44A7-4935-938F-F7A646A2225D}"/>
    <dgm:cxn modelId="{C0DD74C9-CB69-4724-AA7E-F544C9C820B8}" type="presOf" srcId="{A9090E59-A532-4C0C-965C-ABCC30DB3444}" destId="{163C1ECA-4F34-49EA-8CCA-EE1432985E10}" srcOrd="0" destOrd="0" presId="urn:microsoft.com/office/officeart/2005/8/layout/vList2"/>
    <dgm:cxn modelId="{FFB39AE3-218C-441D-A7D5-4F364741FE87}" type="presOf" srcId="{9FE620A4-4C13-4146-B587-2E177D93031D}" destId="{003AAEF5-40D4-40BA-B6CC-7E3EB2FAD2C9}" srcOrd="0" destOrd="0" presId="urn:microsoft.com/office/officeart/2005/8/layout/vList2"/>
    <dgm:cxn modelId="{C88658F5-1A11-4F46-942F-7CC442B5F9E4}" type="presOf" srcId="{19A07AE9-A51A-4977-A5CD-62E2645C24A5}" destId="{6B65080A-8329-4198-9BD4-E721B720D139}" srcOrd="0" destOrd="0" presId="urn:microsoft.com/office/officeart/2005/8/layout/vList2"/>
    <dgm:cxn modelId="{9B368CF9-54FD-4565-BAB9-5CB1AC78599D}" srcId="{9B243C6B-F17C-462E-8BB2-057E96224E55}" destId="{19A07AE9-A51A-4977-A5CD-62E2645C24A5}" srcOrd="0" destOrd="0" parTransId="{65485EC3-C5C1-4D34-8528-32959CB31265}" sibTransId="{43C94E3E-ED65-4327-BE88-D2307DAB700A}"/>
    <dgm:cxn modelId="{512757FE-574B-4FC3-A268-0657220EC05C}" srcId="{9B243C6B-F17C-462E-8BB2-057E96224E55}" destId="{651F965F-F4AC-437C-82CB-8212593D1F87}" srcOrd="2" destOrd="0" parTransId="{5E9C3B52-4E49-4BFF-8C9D-AFFF8A745CB6}" sibTransId="{2AF52200-C508-45F7-8E17-47753027131E}"/>
    <dgm:cxn modelId="{F131DFCA-FBCE-4515-9335-48B6B5DEA11F}" type="presParOf" srcId="{AE49D701-0C65-44FB-A5DC-45F879AC491A}" destId="{6B65080A-8329-4198-9BD4-E721B720D139}" srcOrd="0" destOrd="0" presId="urn:microsoft.com/office/officeart/2005/8/layout/vList2"/>
    <dgm:cxn modelId="{5F5D7053-EAD1-4EA7-A2A2-283B47A2CFF9}" type="presParOf" srcId="{AE49D701-0C65-44FB-A5DC-45F879AC491A}" destId="{E2464F61-606F-4DC2-8E0C-875358761202}" srcOrd="1" destOrd="0" presId="urn:microsoft.com/office/officeart/2005/8/layout/vList2"/>
    <dgm:cxn modelId="{DBDB9193-DBF8-45DD-B21B-D68352E972DB}" type="presParOf" srcId="{AE49D701-0C65-44FB-A5DC-45F879AC491A}" destId="{4BC747B5-4214-4276-98ED-B4FA2B0A2B0F}" srcOrd="2" destOrd="0" presId="urn:microsoft.com/office/officeart/2005/8/layout/vList2"/>
    <dgm:cxn modelId="{98D62271-C691-41C8-B7A3-B6C99870C406}" type="presParOf" srcId="{AE49D701-0C65-44FB-A5DC-45F879AC491A}" destId="{7DF6DA5D-08DA-441F-A06B-B0E2098D392A}" srcOrd="3" destOrd="0" presId="urn:microsoft.com/office/officeart/2005/8/layout/vList2"/>
    <dgm:cxn modelId="{66C1CD67-72D4-4D9D-8F23-3C62433ED6F6}" type="presParOf" srcId="{AE49D701-0C65-44FB-A5DC-45F879AC491A}" destId="{42782B2F-AD00-48FE-AE01-9872BE1EDAB0}" srcOrd="4" destOrd="0" presId="urn:microsoft.com/office/officeart/2005/8/layout/vList2"/>
    <dgm:cxn modelId="{BEFF9C6C-1F47-439B-A558-AB59D3F8C9B2}" type="presParOf" srcId="{AE49D701-0C65-44FB-A5DC-45F879AC491A}" destId="{F1517AB8-093D-4290-B2D5-F1D4193E9302}" srcOrd="5" destOrd="0" presId="urn:microsoft.com/office/officeart/2005/8/layout/vList2"/>
    <dgm:cxn modelId="{89CBF25B-8696-4690-A269-B83E9C057C02}" type="presParOf" srcId="{AE49D701-0C65-44FB-A5DC-45F879AC491A}" destId="{163C1ECA-4F34-49EA-8CCA-EE1432985E10}" srcOrd="6" destOrd="0" presId="urn:microsoft.com/office/officeart/2005/8/layout/vList2"/>
    <dgm:cxn modelId="{96ADC7D5-6305-44B0-8EF0-0B92CC08AD95}" type="presParOf" srcId="{AE49D701-0C65-44FB-A5DC-45F879AC491A}" destId="{7427D602-FD80-45E6-AC5D-AA551ABB8B47}" srcOrd="7" destOrd="0" presId="urn:microsoft.com/office/officeart/2005/8/layout/vList2"/>
    <dgm:cxn modelId="{188BA35F-4C19-448F-8EA0-7FEC9AA5300C}" type="presParOf" srcId="{AE49D701-0C65-44FB-A5DC-45F879AC491A}" destId="{341B9F56-014B-473B-B5D6-2FA1CC122677}" srcOrd="8" destOrd="0" presId="urn:microsoft.com/office/officeart/2005/8/layout/vList2"/>
    <dgm:cxn modelId="{9D0817E5-5F91-42FD-9EF3-046A75E0F5A5}" type="presParOf" srcId="{AE49D701-0C65-44FB-A5DC-45F879AC491A}" destId="{F4CA06EB-AF9A-4768-83A8-6F4849F2D4DB}" srcOrd="9" destOrd="0" presId="urn:microsoft.com/office/officeart/2005/8/layout/vList2"/>
    <dgm:cxn modelId="{B1163D06-8DF0-4820-BEE3-C508657B9826}" type="presParOf" srcId="{AE49D701-0C65-44FB-A5DC-45F879AC491A}" destId="{2636379C-9FD7-49AF-9497-0A7B920C1927}" srcOrd="10" destOrd="0" presId="urn:microsoft.com/office/officeart/2005/8/layout/vList2"/>
    <dgm:cxn modelId="{9B1C72BA-BA79-4E03-9D7F-570F617BE47A}" type="presParOf" srcId="{AE49D701-0C65-44FB-A5DC-45F879AC491A}" destId="{7323BA50-38C5-454A-9FD5-6C10D7402E02}" srcOrd="11" destOrd="0" presId="urn:microsoft.com/office/officeart/2005/8/layout/vList2"/>
    <dgm:cxn modelId="{FD10C2D9-63C2-40E9-AD1C-D9A5C193BFEF}" type="presParOf" srcId="{AE49D701-0C65-44FB-A5DC-45F879AC491A}" destId="{003AAEF5-40D4-40BA-B6CC-7E3EB2FAD2C9}" srcOrd="12" destOrd="0" presId="urn:microsoft.com/office/officeart/2005/8/layout/vList2"/>
    <dgm:cxn modelId="{47BAC4AA-B942-4C82-99D9-05E5FE6BF935}" type="presParOf" srcId="{AE49D701-0C65-44FB-A5DC-45F879AC491A}" destId="{E1EBBB0E-FE40-4849-BDE8-767C2CF7C99D}" srcOrd="13" destOrd="0" presId="urn:microsoft.com/office/officeart/2005/8/layout/vList2"/>
    <dgm:cxn modelId="{2A60A2C2-BEAC-49F0-9E60-9F7C1626647C}" type="presParOf" srcId="{AE49D701-0C65-44FB-A5DC-45F879AC491A}" destId="{DC0DB686-E031-4281-ADFC-96DB14AE782B}" srcOrd="14" destOrd="0" presId="urn:microsoft.com/office/officeart/2005/8/layout/vList2"/>
  </dgm:cxnLst>
  <dgm:bg/>
  <dgm:whole/>
  <dgm:extLst>
    <a:ext uri="http://schemas.microsoft.com/office/drawing/2008/diagram">
      <dsp:dataModelExt xmlns:dsp="http://schemas.microsoft.com/office/drawing/2008/diagram" relId="rId120"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AB76B669-AD61-4E69-A42A-D581BB088006}" type="doc">
      <dgm:prSet loTypeId="urn:microsoft.com/office/officeart/2005/8/layout/lProcess2" loCatId="list" qsTypeId="urn:microsoft.com/office/officeart/2005/8/quickstyle/simple2" qsCatId="simple" csTypeId="urn:microsoft.com/office/officeart/2005/8/colors/colorful4" csCatId="colorful" phldr="1"/>
      <dgm:spPr/>
      <dgm:t>
        <a:bodyPr/>
        <a:lstStyle/>
        <a:p>
          <a:endParaRPr lang="en-US"/>
        </a:p>
      </dgm:t>
    </dgm:pt>
    <dgm:pt modelId="{20FDBAB2-0A1C-4D60-82F4-11FF32434A20}">
      <dgm:prSet phldrT="[Text]" custT="1"/>
      <dgm:spPr/>
      <dgm:t>
        <a:bodyPr/>
        <a:lstStyle/>
        <a:p>
          <a:r>
            <a:rPr lang="en-US" sz="1050" b="1">
              <a:latin typeface="Century Gothic" panose="020B0502020202020204" pitchFamily="34" charset="0"/>
            </a:rPr>
            <a:t>Creative and Brand</a:t>
          </a:r>
        </a:p>
      </dgm:t>
    </dgm:pt>
    <dgm:pt modelId="{094C95C9-6384-4BA3-895E-BACCDD3C0174}" type="parTrans" cxnId="{8C388C4A-EDC6-46F4-9D75-64726D9EC0E6}">
      <dgm:prSet/>
      <dgm:spPr/>
      <dgm:t>
        <a:bodyPr/>
        <a:lstStyle/>
        <a:p>
          <a:endParaRPr lang="en-US"/>
        </a:p>
      </dgm:t>
    </dgm:pt>
    <dgm:pt modelId="{BBA26C67-7681-4A31-BDC7-42B190343463}" type="sibTrans" cxnId="{8C388C4A-EDC6-46F4-9D75-64726D9EC0E6}">
      <dgm:prSet/>
      <dgm:spPr/>
      <dgm:t>
        <a:bodyPr/>
        <a:lstStyle/>
        <a:p>
          <a:endParaRPr lang="en-US"/>
        </a:p>
      </dgm:t>
    </dgm:pt>
    <dgm:pt modelId="{9EF22407-7384-4E32-AD33-E811CBC8F133}">
      <dgm:prSet phldrT="[Text]" custT="1"/>
      <dgm:spPr/>
      <dgm:t>
        <a:bodyPr/>
        <a:lstStyle/>
        <a:p>
          <a:r>
            <a:rPr lang="en-US" sz="900">
              <a:latin typeface="Century Gothic" panose="020B0502020202020204" pitchFamily="34" charset="0"/>
            </a:rPr>
            <a:t>Brand development</a:t>
          </a:r>
        </a:p>
      </dgm:t>
    </dgm:pt>
    <dgm:pt modelId="{8C61B974-B4B6-4A03-BCA5-0CA0A5F74FEF}" type="parTrans" cxnId="{666951CC-6E11-43E8-AE7B-3CF02ED9169F}">
      <dgm:prSet/>
      <dgm:spPr/>
      <dgm:t>
        <a:bodyPr/>
        <a:lstStyle/>
        <a:p>
          <a:endParaRPr lang="en-US"/>
        </a:p>
      </dgm:t>
    </dgm:pt>
    <dgm:pt modelId="{50F6BF6C-422F-417B-B331-4F24C24ED8D3}" type="sibTrans" cxnId="{666951CC-6E11-43E8-AE7B-3CF02ED9169F}">
      <dgm:prSet/>
      <dgm:spPr/>
      <dgm:t>
        <a:bodyPr/>
        <a:lstStyle/>
        <a:p>
          <a:endParaRPr lang="en-US"/>
        </a:p>
      </dgm:t>
    </dgm:pt>
    <dgm:pt modelId="{9A867BC7-254A-4B3D-9036-2FD258432B89}">
      <dgm:prSet phldrT="[Text]" custT="1"/>
      <dgm:spPr/>
      <dgm:t>
        <a:bodyPr/>
        <a:lstStyle/>
        <a:p>
          <a:r>
            <a:rPr lang="en-US" sz="900">
              <a:latin typeface="Century Gothic" panose="020B0502020202020204" pitchFamily="34" charset="0"/>
            </a:rPr>
            <a:t>Graphic design</a:t>
          </a:r>
        </a:p>
      </dgm:t>
    </dgm:pt>
    <dgm:pt modelId="{7DB30BFD-5CF7-4428-BCF3-2A07F0A60A3D}" type="parTrans" cxnId="{BC5CE06C-56F7-442C-A9E7-71D7EF4F7FDF}">
      <dgm:prSet/>
      <dgm:spPr/>
      <dgm:t>
        <a:bodyPr/>
        <a:lstStyle/>
        <a:p>
          <a:endParaRPr lang="en-US"/>
        </a:p>
      </dgm:t>
    </dgm:pt>
    <dgm:pt modelId="{EEC2DA07-1F24-40DB-8A27-5621F6E371F0}" type="sibTrans" cxnId="{BC5CE06C-56F7-442C-A9E7-71D7EF4F7FDF}">
      <dgm:prSet/>
      <dgm:spPr/>
      <dgm:t>
        <a:bodyPr/>
        <a:lstStyle/>
        <a:p>
          <a:endParaRPr lang="en-US"/>
        </a:p>
      </dgm:t>
    </dgm:pt>
    <dgm:pt modelId="{50B3C0BD-64B2-42ED-AABA-A31FE6B1BE68}">
      <dgm:prSet phldrT="[Text]" custT="1"/>
      <dgm:spPr/>
      <dgm:t>
        <a:bodyPr/>
        <a:lstStyle/>
        <a:p>
          <a:r>
            <a:rPr lang="en-US" sz="900">
              <a:latin typeface="Century Gothic" panose="020B0502020202020204" pitchFamily="34" charset="0"/>
            </a:rPr>
            <a:t>Multimedia</a:t>
          </a:r>
        </a:p>
      </dgm:t>
    </dgm:pt>
    <dgm:pt modelId="{2D8D9E35-7040-40D7-993B-77FD91729E04}" type="parTrans" cxnId="{D6573E37-DF04-4AEB-97D6-3523A9BF9724}">
      <dgm:prSet/>
      <dgm:spPr/>
      <dgm:t>
        <a:bodyPr/>
        <a:lstStyle/>
        <a:p>
          <a:endParaRPr lang="en-US"/>
        </a:p>
      </dgm:t>
    </dgm:pt>
    <dgm:pt modelId="{BB0F0C8E-2D6E-42CD-AAAD-5B9C04F25B42}" type="sibTrans" cxnId="{D6573E37-DF04-4AEB-97D6-3523A9BF9724}">
      <dgm:prSet/>
      <dgm:spPr/>
      <dgm:t>
        <a:bodyPr/>
        <a:lstStyle/>
        <a:p>
          <a:endParaRPr lang="en-US"/>
        </a:p>
      </dgm:t>
    </dgm:pt>
    <dgm:pt modelId="{53DE95AD-E5B9-45C9-9220-0A9B3449E9E2}">
      <dgm:prSet phldrT="[Text]" custT="1"/>
      <dgm:spPr/>
      <dgm:t>
        <a:bodyPr/>
        <a:lstStyle/>
        <a:p>
          <a:r>
            <a:rPr lang="en-US" sz="1050" b="1">
              <a:latin typeface="Century Gothic" panose="020B0502020202020204" pitchFamily="34" charset="0"/>
            </a:rPr>
            <a:t>Campaign Marketing</a:t>
          </a:r>
        </a:p>
      </dgm:t>
    </dgm:pt>
    <dgm:pt modelId="{D457CB89-4C64-4C9E-9AC9-12D10524434D}" type="parTrans" cxnId="{806E6963-7BF8-44C1-9862-5F1A9ECC5432}">
      <dgm:prSet/>
      <dgm:spPr/>
      <dgm:t>
        <a:bodyPr/>
        <a:lstStyle/>
        <a:p>
          <a:endParaRPr lang="en-US"/>
        </a:p>
      </dgm:t>
    </dgm:pt>
    <dgm:pt modelId="{9E324E2D-A809-4E54-A598-8DAAA98EA151}" type="sibTrans" cxnId="{806E6963-7BF8-44C1-9862-5F1A9ECC5432}">
      <dgm:prSet/>
      <dgm:spPr/>
      <dgm:t>
        <a:bodyPr/>
        <a:lstStyle/>
        <a:p>
          <a:endParaRPr lang="en-US"/>
        </a:p>
      </dgm:t>
    </dgm:pt>
    <dgm:pt modelId="{D25FB59F-C304-4145-BE32-9DC4DBDD92D9}">
      <dgm:prSet phldrT="[Text]" custT="1"/>
      <dgm:spPr/>
      <dgm:t>
        <a:bodyPr/>
        <a:lstStyle/>
        <a:p>
          <a:r>
            <a:rPr lang="en-US" sz="900">
              <a:latin typeface="Century Gothic" panose="020B0502020202020204" pitchFamily="34" charset="0"/>
            </a:rPr>
            <a:t>Project Based Marketing</a:t>
          </a:r>
        </a:p>
      </dgm:t>
    </dgm:pt>
    <dgm:pt modelId="{F86392BF-2D32-40B3-8783-FDBE82A6DE67}" type="parTrans" cxnId="{861125AE-F910-4825-9049-40E0518E0997}">
      <dgm:prSet/>
      <dgm:spPr/>
      <dgm:t>
        <a:bodyPr/>
        <a:lstStyle/>
        <a:p>
          <a:endParaRPr lang="en-US"/>
        </a:p>
      </dgm:t>
    </dgm:pt>
    <dgm:pt modelId="{AF88AE22-DEC5-4281-88C0-5D024FB743F7}" type="sibTrans" cxnId="{861125AE-F910-4825-9049-40E0518E0997}">
      <dgm:prSet/>
      <dgm:spPr/>
      <dgm:t>
        <a:bodyPr/>
        <a:lstStyle/>
        <a:p>
          <a:endParaRPr lang="en-US"/>
        </a:p>
      </dgm:t>
    </dgm:pt>
    <dgm:pt modelId="{71D9CF53-7253-4407-8FD4-B222A0084DED}">
      <dgm:prSet phldrT="[Text]" custT="1"/>
      <dgm:spPr/>
      <dgm:t>
        <a:bodyPr/>
        <a:lstStyle/>
        <a:p>
          <a:r>
            <a:rPr lang="en-US" sz="900">
              <a:latin typeface="Century Gothic" panose="020B0502020202020204" pitchFamily="34" charset="0"/>
            </a:rPr>
            <a:t>Digital advertising</a:t>
          </a:r>
        </a:p>
      </dgm:t>
    </dgm:pt>
    <dgm:pt modelId="{661C295F-6961-467A-8579-B66E9CF1980D}" type="parTrans" cxnId="{38946ABE-90D3-4A18-88A7-B7E4A8F0874F}">
      <dgm:prSet/>
      <dgm:spPr/>
      <dgm:t>
        <a:bodyPr/>
        <a:lstStyle/>
        <a:p>
          <a:endParaRPr lang="en-US"/>
        </a:p>
      </dgm:t>
    </dgm:pt>
    <dgm:pt modelId="{BB7EF3B8-DAE6-4E94-ABCB-8E740BF9FEAF}" type="sibTrans" cxnId="{38946ABE-90D3-4A18-88A7-B7E4A8F0874F}">
      <dgm:prSet/>
      <dgm:spPr/>
      <dgm:t>
        <a:bodyPr/>
        <a:lstStyle/>
        <a:p>
          <a:endParaRPr lang="en-US"/>
        </a:p>
      </dgm:t>
    </dgm:pt>
    <dgm:pt modelId="{7492B327-9BEE-4F7A-B176-FFD29B24AAEB}">
      <dgm:prSet phldrT="[Text]" custT="1"/>
      <dgm:spPr/>
      <dgm:t>
        <a:bodyPr/>
        <a:lstStyle/>
        <a:p>
          <a:r>
            <a:rPr lang="en-US" sz="900">
              <a:latin typeface="Century Gothic" panose="020B0502020202020204" pitchFamily="34" charset="0"/>
            </a:rPr>
            <a:t>Marketing analytics</a:t>
          </a:r>
        </a:p>
      </dgm:t>
    </dgm:pt>
    <dgm:pt modelId="{EE6DF78F-4BFE-4FFA-9C53-A37043A7DECE}" type="parTrans" cxnId="{CD92E7C7-4036-441E-A6C9-A17E05B16312}">
      <dgm:prSet/>
      <dgm:spPr/>
      <dgm:t>
        <a:bodyPr/>
        <a:lstStyle/>
        <a:p>
          <a:endParaRPr lang="en-US"/>
        </a:p>
      </dgm:t>
    </dgm:pt>
    <dgm:pt modelId="{957BD390-AE58-4AC9-B661-46359EFD2BE3}" type="sibTrans" cxnId="{CD92E7C7-4036-441E-A6C9-A17E05B16312}">
      <dgm:prSet/>
      <dgm:spPr/>
      <dgm:t>
        <a:bodyPr/>
        <a:lstStyle/>
        <a:p>
          <a:endParaRPr lang="en-US"/>
        </a:p>
      </dgm:t>
    </dgm:pt>
    <dgm:pt modelId="{8C5A624C-EA0A-421C-A5B0-D2D9222B0F3A}">
      <dgm:prSet phldrT="[Text]" custT="1"/>
      <dgm:spPr/>
      <dgm:t>
        <a:bodyPr/>
        <a:lstStyle/>
        <a:p>
          <a:r>
            <a:rPr lang="en-US" sz="900">
              <a:latin typeface="Century Gothic" panose="020B0502020202020204" pitchFamily="34" charset="0"/>
            </a:rPr>
            <a:t>Presentation support</a:t>
          </a:r>
        </a:p>
      </dgm:t>
    </dgm:pt>
    <dgm:pt modelId="{EA799AEF-B7A0-4916-B64B-C9F30784CF44}" type="parTrans" cxnId="{6A880349-1267-48FE-9548-1EFFDAFF47B3}">
      <dgm:prSet/>
      <dgm:spPr/>
      <dgm:t>
        <a:bodyPr/>
        <a:lstStyle/>
        <a:p>
          <a:endParaRPr lang="en-US"/>
        </a:p>
      </dgm:t>
    </dgm:pt>
    <dgm:pt modelId="{9E95B532-A9EA-4823-880A-911595EFA1C2}" type="sibTrans" cxnId="{6A880349-1267-48FE-9548-1EFFDAFF47B3}">
      <dgm:prSet/>
      <dgm:spPr/>
      <dgm:t>
        <a:bodyPr/>
        <a:lstStyle/>
        <a:p>
          <a:endParaRPr lang="en-US"/>
        </a:p>
      </dgm:t>
    </dgm:pt>
    <dgm:pt modelId="{74D389AC-6350-416F-A864-535EE961108E}">
      <dgm:prSet phldrT="[Text]" custT="1"/>
      <dgm:spPr/>
      <dgm:t>
        <a:bodyPr/>
        <a:lstStyle/>
        <a:p>
          <a:r>
            <a:rPr lang="en-US" sz="900">
              <a:latin typeface="Century Gothic" panose="020B0502020202020204" pitchFamily="34" charset="0"/>
            </a:rPr>
            <a:t>Website support</a:t>
          </a:r>
        </a:p>
      </dgm:t>
    </dgm:pt>
    <dgm:pt modelId="{C26827CC-EAD5-42B8-AAAB-8EE670FC0397}" type="parTrans" cxnId="{3C46B2BD-C2C4-4F1D-9FE1-6BCE57400564}">
      <dgm:prSet/>
      <dgm:spPr/>
      <dgm:t>
        <a:bodyPr/>
        <a:lstStyle/>
        <a:p>
          <a:endParaRPr lang="en-US"/>
        </a:p>
      </dgm:t>
    </dgm:pt>
    <dgm:pt modelId="{D159884A-8DBF-425A-A052-9DEBB20DDCB0}" type="sibTrans" cxnId="{3C46B2BD-C2C4-4F1D-9FE1-6BCE57400564}">
      <dgm:prSet/>
      <dgm:spPr/>
      <dgm:t>
        <a:bodyPr/>
        <a:lstStyle/>
        <a:p>
          <a:endParaRPr lang="en-US"/>
        </a:p>
      </dgm:t>
    </dgm:pt>
    <dgm:pt modelId="{30F11934-B4AC-48CA-A177-02374AD04DA3}">
      <dgm:prSet phldrT="[Text]" custT="1"/>
      <dgm:spPr/>
      <dgm:t>
        <a:bodyPr/>
        <a:lstStyle/>
        <a:p>
          <a:r>
            <a:rPr lang="en-US" sz="900">
              <a:latin typeface="Century Gothic" panose="020B0502020202020204" pitchFamily="34" charset="0"/>
            </a:rPr>
            <a:t>Social media</a:t>
          </a:r>
        </a:p>
      </dgm:t>
    </dgm:pt>
    <dgm:pt modelId="{B62D1A87-EAFD-41A8-B248-4317188D0C2F}" type="parTrans" cxnId="{D5C263A9-70A0-4A9D-ADB8-4849B276968A}">
      <dgm:prSet/>
      <dgm:spPr/>
      <dgm:t>
        <a:bodyPr/>
        <a:lstStyle/>
        <a:p>
          <a:endParaRPr lang="en-US"/>
        </a:p>
      </dgm:t>
    </dgm:pt>
    <dgm:pt modelId="{F7E4F419-1825-4653-BFF5-CEA4921DFE08}" type="sibTrans" cxnId="{D5C263A9-70A0-4A9D-ADB8-4849B276968A}">
      <dgm:prSet/>
      <dgm:spPr/>
      <dgm:t>
        <a:bodyPr/>
        <a:lstStyle/>
        <a:p>
          <a:endParaRPr lang="en-US"/>
        </a:p>
      </dgm:t>
    </dgm:pt>
    <dgm:pt modelId="{C926C611-EF40-4CDD-AA6D-ECC5AE7D5938}">
      <dgm:prSet phldrT="[Text]" custT="1"/>
      <dgm:spPr/>
      <dgm:t>
        <a:bodyPr/>
        <a:lstStyle/>
        <a:p>
          <a:r>
            <a:rPr lang="en-US" sz="1050" b="1">
              <a:latin typeface="Century Gothic" panose="020B0502020202020204" pitchFamily="34" charset="0"/>
            </a:rPr>
            <a:t>Client Experience Marketing</a:t>
          </a:r>
        </a:p>
      </dgm:t>
    </dgm:pt>
    <dgm:pt modelId="{08F1B950-9301-4349-88F4-1F21B3840288}" type="parTrans" cxnId="{ECEDE21B-DE3E-4153-ACED-5BE71617D1AF}">
      <dgm:prSet/>
      <dgm:spPr/>
      <dgm:t>
        <a:bodyPr/>
        <a:lstStyle/>
        <a:p>
          <a:endParaRPr lang="en-US"/>
        </a:p>
      </dgm:t>
    </dgm:pt>
    <dgm:pt modelId="{A22C5810-F6A3-495A-835E-BA193C80DD7B}" type="sibTrans" cxnId="{ECEDE21B-DE3E-4153-ACED-5BE71617D1AF}">
      <dgm:prSet/>
      <dgm:spPr/>
      <dgm:t>
        <a:bodyPr/>
        <a:lstStyle/>
        <a:p>
          <a:endParaRPr lang="en-US"/>
        </a:p>
      </dgm:t>
    </dgm:pt>
    <dgm:pt modelId="{4FE238AE-1A6B-4BC3-B2A9-97758B8BCACC}">
      <dgm:prSet phldrT="[Text]" custT="1"/>
      <dgm:spPr/>
      <dgm:t>
        <a:bodyPr/>
        <a:lstStyle/>
        <a:p>
          <a:r>
            <a:rPr lang="en-US" sz="1050" b="1">
              <a:latin typeface="Century Gothic" panose="020B0502020202020204" pitchFamily="34" charset="0"/>
            </a:rPr>
            <a:t>Integrated Marketing</a:t>
          </a:r>
        </a:p>
      </dgm:t>
    </dgm:pt>
    <dgm:pt modelId="{78C8DF8E-7730-40EB-9817-D710F802E003}" type="parTrans" cxnId="{998A8654-85DE-400B-9B21-671E018D982F}">
      <dgm:prSet/>
      <dgm:spPr/>
      <dgm:t>
        <a:bodyPr/>
        <a:lstStyle/>
        <a:p>
          <a:endParaRPr lang="en-US"/>
        </a:p>
      </dgm:t>
    </dgm:pt>
    <dgm:pt modelId="{7260F730-EAB0-4A3C-88CA-75E19F7B3DD8}" type="sibTrans" cxnId="{998A8654-85DE-400B-9B21-671E018D982F}">
      <dgm:prSet/>
      <dgm:spPr/>
      <dgm:t>
        <a:bodyPr/>
        <a:lstStyle/>
        <a:p>
          <a:endParaRPr lang="en-US"/>
        </a:p>
      </dgm:t>
    </dgm:pt>
    <dgm:pt modelId="{C69003CB-8AE3-400A-A6B3-C27A68CCB3B7}">
      <dgm:prSet phldrT="[Text]" custT="1"/>
      <dgm:spPr/>
      <dgm:t>
        <a:bodyPr/>
        <a:lstStyle/>
        <a:p>
          <a:r>
            <a:rPr lang="en-US" sz="900">
              <a:latin typeface="Century Gothic" panose="020B0502020202020204" pitchFamily="34" charset="0"/>
            </a:rPr>
            <a:t>Client-centric campaigns</a:t>
          </a:r>
        </a:p>
      </dgm:t>
    </dgm:pt>
    <dgm:pt modelId="{FFB5B1CE-D1A2-4697-B54A-FEF9864793B6}" type="parTrans" cxnId="{65846B3D-A84D-4C39-A2A5-E8FCE6816C75}">
      <dgm:prSet/>
      <dgm:spPr/>
      <dgm:t>
        <a:bodyPr/>
        <a:lstStyle/>
        <a:p>
          <a:endParaRPr lang="en-US"/>
        </a:p>
      </dgm:t>
    </dgm:pt>
    <dgm:pt modelId="{A2A25701-A369-44C1-8304-5FAB13468E35}" type="sibTrans" cxnId="{65846B3D-A84D-4C39-A2A5-E8FCE6816C75}">
      <dgm:prSet/>
      <dgm:spPr/>
      <dgm:t>
        <a:bodyPr/>
        <a:lstStyle/>
        <a:p>
          <a:endParaRPr lang="en-US"/>
        </a:p>
      </dgm:t>
    </dgm:pt>
    <dgm:pt modelId="{DB1708FE-D424-44BB-A118-49A8BC780D38}">
      <dgm:prSet phldrT="[Text]" custT="1"/>
      <dgm:spPr/>
      <dgm:t>
        <a:bodyPr/>
        <a:lstStyle/>
        <a:p>
          <a:r>
            <a:rPr lang="en-US" sz="900">
              <a:latin typeface="Century Gothic" panose="020B0502020202020204" pitchFamily="34" charset="0"/>
            </a:rPr>
            <a:t>Data-driven insights</a:t>
          </a:r>
        </a:p>
      </dgm:t>
    </dgm:pt>
    <dgm:pt modelId="{D4A62AFD-24C7-4AA1-8353-35DD63392AE4}" type="parTrans" cxnId="{D7604F47-289B-4753-A61B-1C7B0EDAC1AF}">
      <dgm:prSet/>
      <dgm:spPr/>
      <dgm:t>
        <a:bodyPr/>
        <a:lstStyle/>
        <a:p>
          <a:endParaRPr lang="en-US"/>
        </a:p>
      </dgm:t>
    </dgm:pt>
    <dgm:pt modelId="{F78BCFA0-E55B-4D9D-8345-0D27DB5BD86A}" type="sibTrans" cxnId="{D7604F47-289B-4753-A61B-1C7B0EDAC1AF}">
      <dgm:prSet/>
      <dgm:spPr/>
      <dgm:t>
        <a:bodyPr/>
        <a:lstStyle/>
        <a:p>
          <a:endParaRPr lang="en-US"/>
        </a:p>
      </dgm:t>
    </dgm:pt>
    <dgm:pt modelId="{976255C7-99CB-4664-8316-52ECE948C873}">
      <dgm:prSet phldrT="[Text]" custT="1"/>
      <dgm:spPr/>
      <dgm:t>
        <a:bodyPr/>
        <a:lstStyle/>
        <a:p>
          <a:r>
            <a:rPr lang="en-US" sz="900">
              <a:latin typeface="Century Gothic" panose="020B0502020202020204" pitchFamily="34" charset="0"/>
            </a:rPr>
            <a:t>Multi-channel strategy development</a:t>
          </a:r>
        </a:p>
      </dgm:t>
    </dgm:pt>
    <dgm:pt modelId="{8CBFE623-2226-4F51-82DD-C32C1C03B7FD}" type="parTrans" cxnId="{8706F7CA-8002-4A9B-9055-CA02C3430F9E}">
      <dgm:prSet/>
      <dgm:spPr/>
      <dgm:t>
        <a:bodyPr/>
        <a:lstStyle/>
        <a:p>
          <a:endParaRPr lang="en-US"/>
        </a:p>
      </dgm:t>
    </dgm:pt>
    <dgm:pt modelId="{EEF53F42-F5BB-4EA5-85C6-8ADF70DEAF62}" type="sibTrans" cxnId="{8706F7CA-8002-4A9B-9055-CA02C3430F9E}">
      <dgm:prSet/>
      <dgm:spPr/>
      <dgm:t>
        <a:bodyPr/>
        <a:lstStyle/>
        <a:p>
          <a:endParaRPr lang="en-US"/>
        </a:p>
      </dgm:t>
    </dgm:pt>
    <dgm:pt modelId="{C83029D2-F204-4C36-ADB7-4D1D42127A77}">
      <dgm:prSet phldrT="[Text]" custT="1"/>
      <dgm:spPr/>
      <dgm:t>
        <a:bodyPr/>
        <a:lstStyle/>
        <a:p>
          <a:r>
            <a:rPr lang="en-US" sz="900">
              <a:latin typeface="Century Gothic" panose="020B0502020202020204" pitchFamily="34" charset="0"/>
            </a:rPr>
            <a:t>State and/or national level marketing</a:t>
          </a:r>
        </a:p>
      </dgm:t>
    </dgm:pt>
    <dgm:pt modelId="{D1C1FA2A-1132-40BD-8CE6-13B6252CD9AC}" type="parTrans" cxnId="{25BC417F-A3FF-449E-92E7-BA3FFCC4CB40}">
      <dgm:prSet/>
      <dgm:spPr/>
      <dgm:t>
        <a:bodyPr/>
        <a:lstStyle/>
        <a:p>
          <a:endParaRPr lang="en-US"/>
        </a:p>
      </dgm:t>
    </dgm:pt>
    <dgm:pt modelId="{1A79CC49-5CAB-402D-AC7B-774081B3806E}" type="sibTrans" cxnId="{25BC417F-A3FF-449E-92E7-BA3FFCC4CB40}">
      <dgm:prSet/>
      <dgm:spPr/>
      <dgm:t>
        <a:bodyPr/>
        <a:lstStyle/>
        <a:p>
          <a:endParaRPr lang="en-US"/>
        </a:p>
      </dgm:t>
    </dgm:pt>
    <dgm:pt modelId="{1078A58A-3653-4F7F-8FBC-620BF0D9881D}">
      <dgm:prSet phldrT="[Text]" custT="1"/>
      <dgm:spPr/>
      <dgm:t>
        <a:bodyPr/>
        <a:lstStyle/>
        <a:p>
          <a:r>
            <a:rPr lang="en-US" sz="900">
              <a:latin typeface="Century Gothic" panose="020B0502020202020204" pitchFamily="34" charset="0"/>
            </a:rPr>
            <a:t>Public relations</a:t>
          </a:r>
        </a:p>
      </dgm:t>
    </dgm:pt>
    <dgm:pt modelId="{1B9A386B-8001-4CB1-A8B9-0FAE8E906028}" type="parTrans" cxnId="{40B701B0-0649-40A8-AB9C-AD14EC56D5F2}">
      <dgm:prSet/>
      <dgm:spPr/>
      <dgm:t>
        <a:bodyPr/>
        <a:lstStyle/>
        <a:p>
          <a:endParaRPr lang="en-US"/>
        </a:p>
      </dgm:t>
    </dgm:pt>
    <dgm:pt modelId="{7BDACA68-D21F-4BFE-8639-CA98151FBE32}" type="sibTrans" cxnId="{40B701B0-0649-40A8-AB9C-AD14EC56D5F2}">
      <dgm:prSet/>
      <dgm:spPr/>
      <dgm:t>
        <a:bodyPr/>
        <a:lstStyle/>
        <a:p>
          <a:endParaRPr lang="en-US"/>
        </a:p>
      </dgm:t>
    </dgm:pt>
    <dgm:pt modelId="{FE3D6CE3-99F0-424B-AC6B-32EE408C4FCD}">
      <dgm:prSet phldrT="[Text]" custT="1"/>
      <dgm:spPr/>
      <dgm:t>
        <a:bodyPr/>
        <a:lstStyle/>
        <a:p>
          <a:r>
            <a:rPr lang="en-US" sz="900">
              <a:latin typeface="Century Gothic" panose="020B0502020202020204" pitchFamily="34" charset="0"/>
            </a:rPr>
            <a:t>Thought leadership and content</a:t>
          </a:r>
        </a:p>
      </dgm:t>
    </dgm:pt>
    <dgm:pt modelId="{6668AEAA-031C-42E2-92EA-21A8E7F09FCF}" type="parTrans" cxnId="{7F6937AF-4D4A-45EC-9D91-99F02266A135}">
      <dgm:prSet/>
      <dgm:spPr/>
      <dgm:t>
        <a:bodyPr/>
        <a:lstStyle/>
        <a:p>
          <a:endParaRPr lang="en-US"/>
        </a:p>
      </dgm:t>
    </dgm:pt>
    <dgm:pt modelId="{7DAE3699-A14A-4B79-BFDA-007E29FFBFDD}" type="sibTrans" cxnId="{7F6937AF-4D4A-45EC-9D91-99F02266A135}">
      <dgm:prSet/>
      <dgm:spPr/>
      <dgm:t>
        <a:bodyPr/>
        <a:lstStyle/>
        <a:p>
          <a:endParaRPr lang="en-US"/>
        </a:p>
      </dgm:t>
    </dgm:pt>
    <dgm:pt modelId="{F38C6318-24EF-422A-855E-5551C821638F}">
      <dgm:prSet phldrT="[Text]" custT="1"/>
      <dgm:spPr/>
      <dgm:t>
        <a:bodyPr/>
        <a:lstStyle/>
        <a:p>
          <a:r>
            <a:rPr lang="en-US" sz="900">
              <a:latin typeface="Century Gothic" panose="020B0502020202020204" pitchFamily="34" charset="0"/>
            </a:rPr>
            <a:t>Communication planning</a:t>
          </a:r>
        </a:p>
      </dgm:t>
    </dgm:pt>
    <dgm:pt modelId="{41295BB8-3DB2-4CF9-9CCE-9F6D674B7217}" type="parTrans" cxnId="{AD1D157A-FD63-473D-92D4-C199E4551491}">
      <dgm:prSet/>
      <dgm:spPr/>
      <dgm:t>
        <a:bodyPr/>
        <a:lstStyle/>
        <a:p>
          <a:endParaRPr lang="en-US"/>
        </a:p>
      </dgm:t>
    </dgm:pt>
    <dgm:pt modelId="{8CE9B968-8341-44FB-9790-7840B565CBD7}" type="sibTrans" cxnId="{AD1D157A-FD63-473D-92D4-C199E4551491}">
      <dgm:prSet/>
      <dgm:spPr/>
      <dgm:t>
        <a:bodyPr/>
        <a:lstStyle/>
        <a:p>
          <a:endParaRPr lang="en-US"/>
        </a:p>
      </dgm:t>
    </dgm:pt>
    <dgm:pt modelId="{C068A02C-2756-4F94-B1E5-7E9631C7FCB2}">
      <dgm:prSet phldrT="[Text]" custT="1"/>
      <dgm:spPr/>
      <dgm:t>
        <a:bodyPr/>
        <a:lstStyle/>
        <a:p>
          <a:r>
            <a:rPr lang="en-US" sz="900">
              <a:latin typeface="Century Gothic" panose="020B0502020202020204" pitchFamily="34" charset="0"/>
            </a:rPr>
            <a:t>Conference and trade show events</a:t>
          </a:r>
        </a:p>
      </dgm:t>
    </dgm:pt>
    <dgm:pt modelId="{4BBEF11A-1888-4177-B232-6EA07433DBCD}" type="parTrans" cxnId="{DCBE7FC0-AD4E-4C53-A4A5-F4184C5F8021}">
      <dgm:prSet/>
      <dgm:spPr/>
    </dgm:pt>
    <dgm:pt modelId="{30DE66BF-5966-4071-AAB4-446A7858DBA0}" type="sibTrans" cxnId="{DCBE7FC0-AD4E-4C53-A4A5-F4184C5F8021}">
      <dgm:prSet/>
      <dgm:spPr/>
    </dgm:pt>
    <dgm:pt modelId="{BE6E95A2-3A6C-46C0-8D9C-6CB96BBF8176}" type="pres">
      <dgm:prSet presAssocID="{AB76B669-AD61-4E69-A42A-D581BB088006}" presName="theList" presStyleCnt="0">
        <dgm:presLayoutVars>
          <dgm:dir/>
          <dgm:animLvl val="lvl"/>
          <dgm:resizeHandles val="exact"/>
        </dgm:presLayoutVars>
      </dgm:prSet>
      <dgm:spPr/>
    </dgm:pt>
    <dgm:pt modelId="{D5CF56B6-3657-4E24-996B-B2F9227989D5}" type="pres">
      <dgm:prSet presAssocID="{20FDBAB2-0A1C-4D60-82F4-11FF32434A20}" presName="compNode" presStyleCnt="0"/>
      <dgm:spPr/>
    </dgm:pt>
    <dgm:pt modelId="{347D9F5C-5029-4CC7-A563-829F745D3C72}" type="pres">
      <dgm:prSet presAssocID="{20FDBAB2-0A1C-4D60-82F4-11FF32434A20}" presName="aNode" presStyleLbl="bgShp" presStyleIdx="0" presStyleCnt="4"/>
      <dgm:spPr/>
    </dgm:pt>
    <dgm:pt modelId="{2FD72D10-17AC-414D-A8D3-F47E5A15F814}" type="pres">
      <dgm:prSet presAssocID="{20FDBAB2-0A1C-4D60-82F4-11FF32434A20}" presName="textNode" presStyleLbl="bgShp" presStyleIdx="0" presStyleCnt="4"/>
      <dgm:spPr/>
    </dgm:pt>
    <dgm:pt modelId="{C8E57DBD-A9EA-4F63-A18B-F626A815812D}" type="pres">
      <dgm:prSet presAssocID="{20FDBAB2-0A1C-4D60-82F4-11FF32434A20}" presName="compChildNode" presStyleCnt="0"/>
      <dgm:spPr/>
    </dgm:pt>
    <dgm:pt modelId="{73091004-FFDF-47D0-A927-D04697426C54}" type="pres">
      <dgm:prSet presAssocID="{20FDBAB2-0A1C-4D60-82F4-11FF32434A20}" presName="theInnerList" presStyleCnt="0"/>
      <dgm:spPr/>
    </dgm:pt>
    <dgm:pt modelId="{E6CA5C5E-F4E8-41EA-B702-4EB3CAC94B2C}" type="pres">
      <dgm:prSet presAssocID="{9EF22407-7384-4E32-AD33-E811CBC8F133}" presName="childNode" presStyleLbl="node1" presStyleIdx="0" presStyleCnt="17">
        <dgm:presLayoutVars>
          <dgm:bulletEnabled val="1"/>
        </dgm:presLayoutVars>
      </dgm:prSet>
      <dgm:spPr/>
    </dgm:pt>
    <dgm:pt modelId="{325ACF57-507B-401C-99F2-4F07EA90582C}" type="pres">
      <dgm:prSet presAssocID="{9EF22407-7384-4E32-AD33-E811CBC8F133}" presName="aSpace2" presStyleCnt="0"/>
      <dgm:spPr/>
    </dgm:pt>
    <dgm:pt modelId="{D22F1634-E09E-48C1-A2CF-F8B5DF26FAC9}" type="pres">
      <dgm:prSet presAssocID="{9A867BC7-254A-4B3D-9036-2FD258432B89}" presName="childNode" presStyleLbl="node1" presStyleIdx="1" presStyleCnt="17">
        <dgm:presLayoutVars>
          <dgm:bulletEnabled val="1"/>
        </dgm:presLayoutVars>
      </dgm:prSet>
      <dgm:spPr/>
    </dgm:pt>
    <dgm:pt modelId="{98FF7847-DDA5-4EFD-AC6A-C4673ADDCE7F}" type="pres">
      <dgm:prSet presAssocID="{9A867BC7-254A-4B3D-9036-2FD258432B89}" presName="aSpace2" presStyleCnt="0"/>
      <dgm:spPr/>
    </dgm:pt>
    <dgm:pt modelId="{B4333C0D-B7ED-4F30-98F7-8317D09D2B0C}" type="pres">
      <dgm:prSet presAssocID="{50B3C0BD-64B2-42ED-AABA-A31FE6B1BE68}" presName="childNode" presStyleLbl="node1" presStyleIdx="2" presStyleCnt="17">
        <dgm:presLayoutVars>
          <dgm:bulletEnabled val="1"/>
        </dgm:presLayoutVars>
      </dgm:prSet>
      <dgm:spPr/>
    </dgm:pt>
    <dgm:pt modelId="{E497ADDB-4154-4E2F-AD49-2AD0C7B70DED}" type="pres">
      <dgm:prSet presAssocID="{50B3C0BD-64B2-42ED-AABA-A31FE6B1BE68}" presName="aSpace2" presStyleCnt="0"/>
      <dgm:spPr/>
    </dgm:pt>
    <dgm:pt modelId="{7FE74D1E-098F-4F50-83E3-CE58CBAFA249}" type="pres">
      <dgm:prSet presAssocID="{8C5A624C-EA0A-421C-A5B0-D2D9222B0F3A}" presName="childNode" presStyleLbl="node1" presStyleIdx="3" presStyleCnt="17">
        <dgm:presLayoutVars>
          <dgm:bulletEnabled val="1"/>
        </dgm:presLayoutVars>
      </dgm:prSet>
      <dgm:spPr/>
    </dgm:pt>
    <dgm:pt modelId="{D839E754-5C68-4C32-B142-8127D0CDD597}" type="pres">
      <dgm:prSet presAssocID="{8C5A624C-EA0A-421C-A5B0-D2D9222B0F3A}" presName="aSpace2" presStyleCnt="0"/>
      <dgm:spPr/>
    </dgm:pt>
    <dgm:pt modelId="{666BCAD1-64C9-4C27-B996-4B123D9038B3}" type="pres">
      <dgm:prSet presAssocID="{74D389AC-6350-416F-A864-535EE961108E}" presName="childNode" presStyleLbl="node1" presStyleIdx="4" presStyleCnt="17">
        <dgm:presLayoutVars>
          <dgm:bulletEnabled val="1"/>
        </dgm:presLayoutVars>
      </dgm:prSet>
      <dgm:spPr/>
    </dgm:pt>
    <dgm:pt modelId="{6B2BAB3B-6137-465A-B380-F85484CCAF3D}" type="pres">
      <dgm:prSet presAssocID="{20FDBAB2-0A1C-4D60-82F4-11FF32434A20}" presName="aSpace" presStyleCnt="0"/>
      <dgm:spPr/>
    </dgm:pt>
    <dgm:pt modelId="{43865317-5E80-488C-9841-6AE237536D0D}" type="pres">
      <dgm:prSet presAssocID="{53DE95AD-E5B9-45C9-9220-0A9B3449E9E2}" presName="compNode" presStyleCnt="0"/>
      <dgm:spPr/>
    </dgm:pt>
    <dgm:pt modelId="{F0D6777C-CA91-4549-BFBF-41B1E50E1CB2}" type="pres">
      <dgm:prSet presAssocID="{53DE95AD-E5B9-45C9-9220-0A9B3449E9E2}" presName="aNode" presStyleLbl="bgShp" presStyleIdx="1" presStyleCnt="4"/>
      <dgm:spPr/>
    </dgm:pt>
    <dgm:pt modelId="{395AF5D7-0E2F-49EE-82BB-2549EFB20398}" type="pres">
      <dgm:prSet presAssocID="{53DE95AD-E5B9-45C9-9220-0A9B3449E9E2}" presName="textNode" presStyleLbl="bgShp" presStyleIdx="1" presStyleCnt="4"/>
      <dgm:spPr/>
    </dgm:pt>
    <dgm:pt modelId="{5DBCC33E-605F-447C-8E55-A281F31AC469}" type="pres">
      <dgm:prSet presAssocID="{53DE95AD-E5B9-45C9-9220-0A9B3449E9E2}" presName="compChildNode" presStyleCnt="0"/>
      <dgm:spPr/>
    </dgm:pt>
    <dgm:pt modelId="{A94B70BE-DC03-4D8D-9FB0-B653EA66BA66}" type="pres">
      <dgm:prSet presAssocID="{53DE95AD-E5B9-45C9-9220-0A9B3449E9E2}" presName="theInnerList" presStyleCnt="0"/>
      <dgm:spPr/>
    </dgm:pt>
    <dgm:pt modelId="{A7BA232F-6D9D-483E-A3DA-E1060350AA37}" type="pres">
      <dgm:prSet presAssocID="{D25FB59F-C304-4145-BE32-9DC4DBDD92D9}" presName="childNode" presStyleLbl="node1" presStyleIdx="5" presStyleCnt="17">
        <dgm:presLayoutVars>
          <dgm:bulletEnabled val="1"/>
        </dgm:presLayoutVars>
      </dgm:prSet>
      <dgm:spPr/>
    </dgm:pt>
    <dgm:pt modelId="{6AB375CF-D7B2-44DA-ABFC-0CD8AFF39C8E}" type="pres">
      <dgm:prSet presAssocID="{D25FB59F-C304-4145-BE32-9DC4DBDD92D9}" presName="aSpace2" presStyleCnt="0"/>
      <dgm:spPr/>
    </dgm:pt>
    <dgm:pt modelId="{4089002C-22E3-4C32-8A20-8A8F28756BD7}" type="pres">
      <dgm:prSet presAssocID="{71D9CF53-7253-4407-8FD4-B222A0084DED}" presName="childNode" presStyleLbl="node1" presStyleIdx="6" presStyleCnt="17">
        <dgm:presLayoutVars>
          <dgm:bulletEnabled val="1"/>
        </dgm:presLayoutVars>
      </dgm:prSet>
      <dgm:spPr/>
    </dgm:pt>
    <dgm:pt modelId="{5F010AEE-C7A9-41C9-968C-821317D7324F}" type="pres">
      <dgm:prSet presAssocID="{71D9CF53-7253-4407-8FD4-B222A0084DED}" presName="aSpace2" presStyleCnt="0"/>
      <dgm:spPr/>
    </dgm:pt>
    <dgm:pt modelId="{DF2FD6B2-B375-4342-9351-0165E39163FB}" type="pres">
      <dgm:prSet presAssocID="{7492B327-9BEE-4F7A-B176-FFD29B24AAEB}" presName="childNode" presStyleLbl="node1" presStyleIdx="7" presStyleCnt="17">
        <dgm:presLayoutVars>
          <dgm:bulletEnabled val="1"/>
        </dgm:presLayoutVars>
      </dgm:prSet>
      <dgm:spPr/>
    </dgm:pt>
    <dgm:pt modelId="{6BC0C6DC-1466-49BD-9485-486A658EC09D}" type="pres">
      <dgm:prSet presAssocID="{7492B327-9BEE-4F7A-B176-FFD29B24AAEB}" presName="aSpace2" presStyleCnt="0"/>
      <dgm:spPr/>
    </dgm:pt>
    <dgm:pt modelId="{BD5A3D94-AE50-4813-B7E3-DC1B40BF5E86}" type="pres">
      <dgm:prSet presAssocID="{30F11934-B4AC-48CA-A177-02374AD04DA3}" presName="childNode" presStyleLbl="node1" presStyleIdx="8" presStyleCnt="17">
        <dgm:presLayoutVars>
          <dgm:bulletEnabled val="1"/>
        </dgm:presLayoutVars>
      </dgm:prSet>
      <dgm:spPr/>
    </dgm:pt>
    <dgm:pt modelId="{AF5EF67F-DCFD-465F-924A-03B41E1D8E87}" type="pres">
      <dgm:prSet presAssocID="{53DE95AD-E5B9-45C9-9220-0A9B3449E9E2}" presName="aSpace" presStyleCnt="0"/>
      <dgm:spPr/>
    </dgm:pt>
    <dgm:pt modelId="{2F3208AA-5D9F-41E1-827F-B3A3FF42E4C0}" type="pres">
      <dgm:prSet presAssocID="{C926C611-EF40-4CDD-AA6D-ECC5AE7D5938}" presName="compNode" presStyleCnt="0"/>
      <dgm:spPr/>
    </dgm:pt>
    <dgm:pt modelId="{54D1B6DF-C431-4949-9002-AC4A4A1F1F46}" type="pres">
      <dgm:prSet presAssocID="{C926C611-EF40-4CDD-AA6D-ECC5AE7D5938}" presName="aNode" presStyleLbl="bgShp" presStyleIdx="2" presStyleCnt="4"/>
      <dgm:spPr/>
    </dgm:pt>
    <dgm:pt modelId="{6B516BA1-81FB-48F0-BEAE-4A7F4E9C5BBB}" type="pres">
      <dgm:prSet presAssocID="{C926C611-EF40-4CDD-AA6D-ECC5AE7D5938}" presName="textNode" presStyleLbl="bgShp" presStyleIdx="2" presStyleCnt="4"/>
      <dgm:spPr/>
    </dgm:pt>
    <dgm:pt modelId="{42287AFB-397F-45BC-8488-47E9122B08FA}" type="pres">
      <dgm:prSet presAssocID="{C926C611-EF40-4CDD-AA6D-ECC5AE7D5938}" presName="compChildNode" presStyleCnt="0"/>
      <dgm:spPr/>
    </dgm:pt>
    <dgm:pt modelId="{1D82B73B-12DB-4A80-A580-8E595BBEA165}" type="pres">
      <dgm:prSet presAssocID="{C926C611-EF40-4CDD-AA6D-ECC5AE7D5938}" presName="theInnerList" presStyleCnt="0"/>
      <dgm:spPr/>
    </dgm:pt>
    <dgm:pt modelId="{AB15F36A-3405-4F63-A92B-E76F2B110C6B}" type="pres">
      <dgm:prSet presAssocID="{C69003CB-8AE3-400A-A6B3-C27A68CCB3B7}" presName="childNode" presStyleLbl="node1" presStyleIdx="9" presStyleCnt="17">
        <dgm:presLayoutVars>
          <dgm:bulletEnabled val="1"/>
        </dgm:presLayoutVars>
      </dgm:prSet>
      <dgm:spPr/>
    </dgm:pt>
    <dgm:pt modelId="{9A324CD2-D59D-4037-B0C0-9B0BD0066FD2}" type="pres">
      <dgm:prSet presAssocID="{C69003CB-8AE3-400A-A6B3-C27A68CCB3B7}" presName="aSpace2" presStyleCnt="0"/>
      <dgm:spPr/>
    </dgm:pt>
    <dgm:pt modelId="{0F83D25B-9B74-48EC-9175-3603AB1DB6F4}" type="pres">
      <dgm:prSet presAssocID="{DB1708FE-D424-44BB-A118-49A8BC780D38}" presName="childNode" presStyleLbl="node1" presStyleIdx="10" presStyleCnt="17">
        <dgm:presLayoutVars>
          <dgm:bulletEnabled val="1"/>
        </dgm:presLayoutVars>
      </dgm:prSet>
      <dgm:spPr/>
    </dgm:pt>
    <dgm:pt modelId="{26327531-CE8B-4D67-A0FC-AAA86C54663A}" type="pres">
      <dgm:prSet presAssocID="{DB1708FE-D424-44BB-A118-49A8BC780D38}" presName="aSpace2" presStyleCnt="0"/>
      <dgm:spPr/>
    </dgm:pt>
    <dgm:pt modelId="{1137E06E-B61F-41DF-A243-1E27C761942C}" type="pres">
      <dgm:prSet presAssocID="{976255C7-99CB-4664-8316-52ECE948C873}" presName="childNode" presStyleLbl="node1" presStyleIdx="11" presStyleCnt="17">
        <dgm:presLayoutVars>
          <dgm:bulletEnabled val="1"/>
        </dgm:presLayoutVars>
      </dgm:prSet>
      <dgm:spPr/>
    </dgm:pt>
    <dgm:pt modelId="{039078F0-54BE-483B-9830-109001CE9032}" type="pres">
      <dgm:prSet presAssocID="{976255C7-99CB-4664-8316-52ECE948C873}" presName="aSpace2" presStyleCnt="0"/>
      <dgm:spPr/>
    </dgm:pt>
    <dgm:pt modelId="{09431CD9-D4C0-4960-8860-DF64CAC2CABA}" type="pres">
      <dgm:prSet presAssocID="{C83029D2-F204-4C36-ADB7-4D1D42127A77}" presName="childNode" presStyleLbl="node1" presStyleIdx="12" presStyleCnt="17">
        <dgm:presLayoutVars>
          <dgm:bulletEnabled val="1"/>
        </dgm:presLayoutVars>
      </dgm:prSet>
      <dgm:spPr/>
    </dgm:pt>
    <dgm:pt modelId="{898C2B9D-1EA2-4AFB-8CFC-8A04E698BCFB}" type="pres">
      <dgm:prSet presAssocID="{C926C611-EF40-4CDD-AA6D-ECC5AE7D5938}" presName="aSpace" presStyleCnt="0"/>
      <dgm:spPr/>
    </dgm:pt>
    <dgm:pt modelId="{79E27598-96E5-4B19-9567-CA95537C2CCE}" type="pres">
      <dgm:prSet presAssocID="{4FE238AE-1A6B-4BC3-B2A9-97758B8BCACC}" presName="compNode" presStyleCnt="0"/>
      <dgm:spPr/>
    </dgm:pt>
    <dgm:pt modelId="{9BE7D5A2-2627-4B4F-88D0-48DD367EB9ED}" type="pres">
      <dgm:prSet presAssocID="{4FE238AE-1A6B-4BC3-B2A9-97758B8BCACC}" presName="aNode" presStyleLbl="bgShp" presStyleIdx="3" presStyleCnt="4"/>
      <dgm:spPr/>
    </dgm:pt>
    <dgm:pt modelId="{BAC51D70-16B9-4216-87C2-B9361C65CE1E}" type="pres">
      <dgm:prSet presAssocID="{4FE238AE-1A6B-4BC3-B2A9-97758B8BCACC}" presName="textNode" presStyleLbl="bgShp" presStyleIdx="3" presStyleCnt="4"/>
      <dgm:spPr/>
    </dgm:pt>
    <dgm:pt modelId="{A233CDA1-7CA0-4513-A1B8-69E7F098F00D}" type="pres">
      <dgm:prSet presAssocID="{4FE238AE-1A6B-4BC3-B2A9-97758B8BCACC}" presName="compChildNode" presStyleCnt="0"/>
      <dgm:spPr/>
    </dgm:pt>
    <dgm:pt modelId="{994DD498-D61C-483D-902F-34E65D95FC32}" type="pres">
      <dgm:prSet presAssocID="{4FE238AE-1A6B-4BC3-B2A9-97758B8BCACC}" presName="theInnerList" presStyleCnt="0"/>
      <dgm:spPr/>
    </dgm:pt>
    <dgm:pt modelId="{8DBA2FC9-D99D-4E68-A925-C4945B5D78C6}" type="pres">
      <dgm:prSet presAssocID="{1078A58A-3653-4F7F-8FBC-620BF0D9881D}" presName="childNode" presStyleLbl="node1" presStyleIdx="13" presStyleCnt="17">
        <dgm:presLayoutVars>
          <dgm:bulletEnabled val="1"/>
        </dgm:presLayoutVars>
      </dgm:prSet>
      <dgm:spPr/>
    </dgm:pt>
    <dgm:pt modelId="{BE103995-9837-40F7-81D5-BE9EE6F78976}" type="pres">
      <dgm:prSet presAssocID="{1078A58A-3653-4F7F-8FBC-620BF0D9881D}" presName="aSpace2" presStyleCnt="0"/>
      <dgm:spPr/>
    </dgm:pt>
    <dgm:pt modelId="{5555190F-2B8C-42E9-A9BC-B5D896867924}" type="pres">
      <dgm:prSet presAssocID="{F38C6318-24EF-422A-855E-5551C821638F}" presName="childNode" presStyleLbl="node1" presStyleIdx="14" presStyleCnt="17">
        <dgm:presLayoutVars>
          <dgm:bulletEnabled val="1"/>
        </dgm:presLayoutVars>
      </dgm:prSet>
      <dgm:spPr/>
    </dgm:pt>
    <dgm:pt modelId="{9CB846E4-5F6A-4FCA-AE8B-DC58C79FAC2A}" type="pres">
      <dgm:prSet presAssocID="{F38C6318-24EF-422A-855E-5551C821638F}" presName="aSpace2" presStyleCnt="0"/>
      <dgm:spPr/>
    </dgm:pt>
    <dgm:pt modelId="{AB327AFA-82D9-4669-9345-BE1B246C8967}" type="pres">
      <dgm:prSet presAssocID="{FE3D6CE3-99F0-424B-AC6B-32EE408C4FCD}" presName="childNode" presStyleLbl="node1" presStyleIdx="15" presStyleCnt="17">
        <dgm:presLayoutVars>
          <dgm:bulletEnabled val="1"/>
        </dgm:presLayoutVars>
      </dgm:prSet>
      <dgm:spPr/>
    </dgm:pt>
    <dgm:pt modelId="{16F65691-8E85-4298-BA59-A86708EA4B4E}" type="pres">
      <dgm:prSet presAssocID="{FE3D6CE3-99F0-424B-AC6B-32EE408C4FCD}" presName="aSpace2" presStyleCnt="0"/>
      <dgm:spPr/>
    </dgm:pt>
    <dgm:pt modelId="{FA77B1E9-06E3-4D4C-B3BD-0BFCECF0ED4D}" type="pres">
      <dgm:prSet presAssocID="{C068A02C-2756-4F94-B1E5-7E9631C7FCB2}" presName="childNode" presStyleLbl="node1" presStyleIdx="16" presStyleCnt="17">
        <dgm:presLayoutVars>
          <dgm:bulletEnabled val="1"/>
        </dgm:presLayoutVars>
      </dgm:prSet>
      <dgm:spPr/>
    </dgm:pt>
  </dgm:ptLst>
  <dgm:cxnLst>
    <dgm:cxn modelId="{F6E65D0A-D63A-42A1-B0FF-EC65501230A7}" type="presOf" srcId="{C068A02C-2756-4F94-B1E5-7E9631C7FCB2}" destId="{FA77B1E9-06E3-4D4C-B3BD-0BFCECF0ED4D}" srcOrd="0" destOrd="0" presId="urn:microsoft.com/office/officeart/2005/8/layout/lProcess2"/>
    <dgm:cxn modelId="{D72AE110-4603-4838-BD7A-B33853B3ADCC}" type="presOf" srcId="{DB1708FE-D424-44BB-A118-49A8BC780D38}" destId="{0F83D25B-9B74-48EC-9175-3603AB1DB6F4}" srcOrd="0" destOrd="0" presId="urn:microsoft.com/office/officeart/2005/8/layout/lProcess2"/>
    <dgm:cxn modelId="{1D17AD1B-9864-4842-A522-3EDD9AF6648C}" type="presOf" srcId="{50B3C0BD-64B2-42ED-AABA-A31FE6B1BE68}" destId="{B4333C0D-B7ED-4F30-98F7-8317D09D2B0C}" srcOrd="0" destOrd="0" presId="urn:microsoft.com/office/officeart/2005/8/layout/lProcess2"/>
    <dgm:cxn modelId="{ECEDE21B-DE3E-4153-ACED-5BE71617D1AF}" srcId="{AB76B669-AD61-4E69-A42A-D581BB088006}" destId="{C926C611-EF40-4CDD-AA6D-ECC5AE7D5938}" srcOrd="2" destOrd="0" parTransId="{08F1B950-9301-4349-88F4-1F21B3840288}" sibTransId="{A22C5810-F6A3-495A-835E-BA193C80DD7B}"/>
    <dgm:cxn modelId="{45420F1C-3AE5-4B99-9DB4-10160C944A61}" type="presOf" srcId="{1078A58A-3653-4F7F-8FBC-620BF0D9881D}" destId="{8DBA2FC9-D99D-4E68-A925-C4945B5D78C6}" srcOrd="0" destOrd="0" presId="urn:microsoft.com/office/officeart/2005/8/layout/lProcess2"/>
    <dgm:cxn modelId="{FAC8011D-BF53-4448-BC05-E9A92B1D5A44}" type="presOf" srcId="{4FE238AE-1A6B-4BC3-B2A9-97758B8BCACC}" destId="{BAC51D70-16B9-4216-87C2-B9361C65CE1E}" srcOrd="1" destOrd="0" presId="urn:microsoft.com/office/officeart/2005/8/layout/lProcess2"/>
    <dgm:cxn modelId="{8320801D-BE01-4288-8A4B-1972FAEE9D04}" type="presOf" srcId="{C926C611-EF40-4CDD-AA6D-ECC5AE7D5938}" destId="{54D1B6DF-C431-4949-9002-AC4A4A1F1F46}" srcOrd="0" destOrd="0" presId="urn:microsoft.com/office/officeart/2005/8/layout/lProcess2"/>
    <dgm:cxn modelId="{C98AE629-6DE5-465B-837F-3B98AAE24EC8}" type="presOf" srcId="{20FDBAB2-0A1C-4D60-82F4-11FF32434A20}" destId="{347D9F5C-5029-4CC7-A563-829F745D3C72}" srcOrd="0" destOrd="0" presId="urn:microsoft.com/office/officeart/2005/8/layout/lProcess2"/>
    <dgm:cxn modelId="{E743CD2C-1C66-4EB4-8EC6-DEEC6BC29BDB}" type="presOf" srcId="{4FE238AE-1A6B-4BC3-B2A9-97758B8BCACC}" destId="{9BE7D5A2-2627-4B4F-88D0-48DD367EB9ED}" srcOrd="0" destOrd="0" presId="urn:microsoft.com/office/officeart/2005/8/layout/lProcess2"/>
    <dgm:cxn modelId="{D6573E37-DF04-4AEB-97D6-3523A9BF9724}" srcId="{20FDBAB2-0A1C-4D60-82F4-11FF32434A20}" destId="{50B3C0BD-64B2-42ED-AABA-A31FE6B1BE68}" srcOrd="2" destOrd="0" parTransId="{2D8D9E35-7040-40D7-993B-77FD91729E04}" sibTransId="{BB0F0C8E-2D6E-42CD-AAAD-5B9C04F25B42}"/>
    <dgm:cxn modelId="{65846B3D-A84D-4C39-A2A5-E8FCE6816C75}" srcId="{C926C611-EF40-4CDD-AA6D-ECC5AE7D5938}" destId="{C69003CB-8AE3-400A-A6B3-C27A68CCB3B7}" srcOrd="0" destOrd="0" parTransId="{FFB5B1CE-D1A2-4697-B54A-FEF9864793B6}" sibTransId="{A2A25701-A369-44C1-8304-5FAB13468E35}"/>
    <dgm:cxn modelId="{4297FA3E-4DBE-428C-95BB-406E85B865EC}" type="presOf" srcId="{C926C611-EF40-4CDD-AA6D-ECC5AE7D5938}" destId="{6B516BA1-81FB-48F0-BEAE-4A7F4E9C5BBB}" srcOrd="1" destOrd="0" presId="urn:microsoft.com/office/officeart/2005/8/layout/lProcess2"/>
    <dgm:cxn modelId="{77470943-B2C1-45D1-A695-44D651D27552}" type="presOf" srcId="{53DE95AD-E5B9-45C9-9220-0A9B3449E9E2}" destId="{F0D6777C-CA91-4549-BFBF-41B1E50E1CB2}" srcOrd="0" destOrd="0" presId="urn:microsoft.com/office/officeart/2005/8/layout/lProcess2"/>
    <dgm:cxn modelId="{806E6963-7BF8-44C1-9862-5F1A9ECC5432}" srcId="{AB76B669-AD61-4E69-A42A-D581BB088006}" destId="{53DE95AD-E5B9-45C9-9220-0A9B3449E9E2}" srcOrd="1" destOrd="0" parTransId="{D457CB89-4C64-4C9E-9AC9-12D10524434D}" sibTransId="{9E324E2D-A809-4E54-A598-8DAAA98EA151}"/>
    <dgm:cxn modelId="{D7604F47-289B-4753-A61B-1C7B0EDAC1AF}" srcId="{C926C611-EF40-4CDD-AA6D-ECC5AE7D5938}" destId="{DB1708FE-D424-44BB-A118-49A8BC780D38}" srcOrd="1" destOrd="0" parTransId="{D4A62AFD-24C7-4AA1-8353-35DD63392AE4}" sibTransId="{F78BCFA0-E55B-4D9D-8345-0D27DB5BD86A}"/>
    <dgm:cxn modelId="{5EE17A47-DA8C-49E6-B2B1-18B5C03B59F6}" type="presOf" srcId="{20FDBAB2-0A1C-4D60-82F4-11FF32434A20}" destId="{2FD72D10-17AC-414D-A8D3-F47E5A15F814}" srcOrd="1" destOrd="0" presId="urn:microsoft.com/office/officeart/2005/8/layout/lProcess2"/>
    <dgm:cxn modelId="{6A880349-1267-48FE-9548-1EFFDAFF47B3}" srcId="{20FDBAB2-0A1C-4D60-82F4-11FF32434A20}" destId="{8C5A624C-EA0A-421C-A5B0-D2D9222B0F3A}" srcOrd="3" destOrd="0" parTransId="{EA799AEF-B7A0-4916-B64B-C9F30784CF44}" sibTransId="{9E95B532-A9EA-4823-880A-911595EFA1C2}"/>
    <dgm:cxn modelId="{8C388C4A-EDC6-46F4-9D75-64726D9EC0E6}" srcId="{AB76B669-AD61-4E69-A42A-D581BB088006}" destId="{20FDBAB2-0A1C-4D60-82F4-11FF32434A20}" srcOrd="0" destOrd="0" parTransId="{094C95C9-6384-4BA3-895E-BACCDD3C0174}" sibTransId="{BBA26C67-7681-4A31-BDC7-42B190343463}"/>
    <dgm:cxn modelId="{24F4D16A-E914-420B-B91C-88C31448D407}" type="presOf" srcId="{9A867BC7-254A-4B3D-9036-2FD258432B89}" destId="{D22F1634-E09E-48C1-A2CF-F8B5DF26FAC9}" srcOrd="0" destOrd="0" presId="urn:microsoft.com/office/officeart/2005/8/layout/lProcess2"/>
    <dgm:cxn modelId="{8B0A6B4C-FC7B-412A-9074-616921147045}" type="presOf" srcId="{AB76B669-AD61-4E69-A42A-D581BB088006}" destId="{BE6E95A2-3A6C-46C0-8D9C-6CB96BBF8176}" srcOrd="0" destOrd="0" presId="urn:microsoft.com/office/officeart/2005/8/layout/lProcess2"/>
    <dgm:cxn modelId="{BC5CE06C-56F7-442C-A9E7-71D7EF4F7FDF}" srcId="{20FDBAB2-0A1C-4D60-82F4-11FF32434A20}" destId="{9A867BC7-254A-4B3D-9036-2FD258432B89}" srcOrd="1" destOrd="0" parTransId="{7DB30BFD-5CF7-4428-BCF3-2A07F0A60A3D}" sibTransId="{EEC2DA07-1F24-40DB-8A27-5621F6E371F0}"/>
    <dgm:cxn modelId="{998A8654-85DE-400B-9B21-671E018D982F}" srcId="{AB76B669-AD61-4E69-A42A-D581BB088006}" destId="{4FE238AE-1A6B-4BC3-B2A9-97758B8BCACC}" srcOrd="3" destOrd="0" parTransId="{78C8DF8E-7730-40EB-9817-D710F802E003}" sibTransId="{7260F730-EAB0-4A3C-88CA-75E19F7B3DD8}"/>
    <dgm:cxn modelId="{AD1D157A-FD63-473D-92D4-C199E4551491}" srcId="{4FE238AE-1A6B-4BC3-B2A9-97758B8BCACC}" destId="{F38C6318-24EF-422A-855E-5551C821638F}" srcOrd="1" destOrd="0" parTransId="{41295BB8-3DB2-4CF9-9CCE-9F6D674B7217}" sibTransId="{8CE9B968-8341-44FB-9790-7840B565CBD7}"/>
    <dgm:cxn modelId="{25BC417F-A3FF-449E-92E7-BA3FFCC4CB40}" srcId="{C926C611-EF40-4CDD-AA6D-ECC5AE7D5938}" destId="{C83029D2-F204-4C36-ADB7-4D1D42127A77}" srcOrd="3" destOrd="0" parTransId="{D1C1FA2A-1132-40BD-8CE6-13B6252CD9AC}" sibTransId="{1A79CC49-5CAB-402D-AC7B-774081B3806E}"/>
    <dgm:cxn modelId="{781CBF89-1158-4C64-B644-E965732A921C}" type="presOf" srcId="{976255C7-99CB-4664-8316-52ECE948C873}" destId="{1137E06E-B61F-41DF-A243-1E27C761942C}" srcOrd="0" destOrd="0" presId="urn:microsoft.com/office/officeart/2005/8/layout/lProcess2"/>
    <dgm:cxn modelId="{A9591E92-F0FC-4C1F-A386-3FFDCE9CDB14}" type="presOf" srcId="{D25FB59F-C304-4145-BE32-9DC4DBDD92D9}" destId="{A7BA232F-6D9D-483E-A3DA-E1060350AA37}" srcOrd="0" destOrd="0" presId="urn:microsoft.com/office/officeart/2005/8/layout/lProcess2"/>
    <dgm:cxn modelId="{517E2396-047B-42BD-8C66-3D055569D037}" type="presOf" srcId="{C83029D2-F204-4C36-ADB7-4D1D42127A77}" destId="{09431CD9-D4C0-4960-8860-DF64CAC2CABA}" srcOrd="0" destOrd="0" presId="urn:microsoft.com/office/officeart/2005/8/layout/lProcess2"/>
    <dgm:cxn modelId="{3BAB2BA0-BFD1-45A4-BC6D-A822CBA182A3}" type="presOf" srcId="{9EF22407-7384-4E32-AD33-E811CBC8F133}" destId="{E6CA5C5E-F4E8-41EA-B702-4EB3CAC94B2C}" srcOrd="0" destOrd="0" presId="urn:microsoft.com/office/officeart/2005/8/layout/lProcess2"/>
    <dgm:cxn modelId="{B31616A2-23D9-4A23-AC82-8A0D9D9FB8B2}" type="presOf" srcId="{7492B327-9BEE-4F7A-B176-FFD29B24AAEB}" destId="{DF2FD6B2-B375-4342-9351-0165E39163FB}" srcOrd="0" destOrd="0" presId="urn:microsoft.com/office/officeart/2005/8/layout/lProcess2"/>
    <dgm:cxn modelId="{7CD24BA3-76F4-4E77-A646-B6BD75A81FE3}" type="presOf" srcId="{F38C6318-24EF-422A-855E-5551C821638F}" destId="{5555190F-2B8C-42E9-A9BC-B5D896867924}" srcOrd="0" destOrd="0" presId="urn:microsoft.com/office/officeart/2005/8/layout/lProcess2"/>
    <dgm:cxn modelId="{019B79A6-ED6E-44BA-9396-057B555FE74D}" type="presOf" srcId="{30F11934-B4AC-48CA-A177-02374AD04DA3}" destId="{BD5A3D94-AE50-4813-B7E3-DC1B40BF5E86}" srcOrd="0" destOrd="0" presId="urn:microsoft.com/office/officeart/2005/8/layout/lProcess2"/>
    <dgm:cxn modelId="{D5C263A9-70A0-4A9D-ADB8-4849B276968A}" srcId="{53DE95AD-E5B9-45C9-9220-0A9B3449E9E2}" destId="{30F11934-B4AC-48CA-A177-02374AD04DA3}" srcOrd="3" destOrd="0" parTransId="{B62D1A87-EAFD-41A8-B248-4317188D0C2F}" sibTransId="{F7E4F419-1825-4653-BFF5-CEA4921DFE08}"/>
    <dgm:cxn modelId="{861125AE-F910-4825-9049-40E0518E0997}" srcId="{53DE95AD-E5B9-45C9-9220-0A9B3449E9E2}" destId="{D25FB59F-C304-4145-BE32-9DC4DBDD92D9}" srcOrd="0" destOrd="0" parTransId="{F86392BF-2D32-40B3-8783-FDBE82A6DE67}" sibTransId="{AF88AE22-DEC5-4281-88C0-5D024FB743F7}"/>
    <dgm:cxn modelId="{7F6937AF-4D4A-45EC-9D91-99F02266A135}" srcId="{4FE238AE-1A6B-4BC3-B2A9-97758B8BCACC}" destId="{FE3D6CE3-99F0-424B-AC6B-32EE408C4FCD}" srcOrd="2" destOrd="0" parTransId="{6668AEAA-031C-42E2-92EA-21A8E7F09FCF}" sibTransId="{7DAE3699-A14A-4B79-BFDA-007E29FFBFDD}"/>
    <dgm:cxn modelId="{40B701B0-0649-40A8-AB9C-AD14EC56D5F2}" srcId="{4FE238AE-1A6B-4BC3-B2A9-97758B8BCACC}" destId="{1078A58A-3653-4F7F-8FBC-620BF0D9881D}" srcOrd="0" destOrd="0" parTransId="{1B9A386B-8001-4CB1-A8B9-0FAE8E906028}" sibTransId="{7BDACA68-D21F-4BFE-8639-CA98151FBE32}"/>
    <dgm:cxn modelId="{3088B1B9-AC7B-4538-BBAD-41F259D8E574}" type="presOf" srcId="{74D389AC-6350-416F-A864-535EE961108E}" destId="{666BCAD1-64C9-4C27-B996-4B123D9038B3}" srcOrd="0" destOrd="0" presId="urn:microsoft.com/office/officeart/2005/8/layout/lProcess2"/>
    <dgm:cxn modelId="{48CD36BC-D1B9-4393-A7B0-3DFC5CC1B61B}" type="presOf" srcId="{FE3D6CE3-99F0-424B-AC6B-32EE408C4FCD}" destId="{AB327AFA-82D9-4669-9345-BE1B246C8967}" srcOrd="0" destOrd="0" presId="urn:microsoft.com/office/officeart/2005/8/layout/lProcess2"/>
    <dgm:cxn modelId="{8EE8EBBC-E283-4197-81B7-40006E734D71}" type="presOf" srcId="{71D9CF53-7253-4407-8FD4-B222A0084DED}" destId="{4089002C-22E3-4C32-8A20-8A8F28756BD7}" srcOrd="0" destOrd="0" presId="urn:microsoft.com/office/officeart/2005/8/layout/lProcess2"/>
    <dgm:cxn modelId="{3C46B2BD-C2C4-4F1D-9FE1-6BCE57400564}" srcId="{20FDBAB2-0A1C-4D60-82F4-11FF32434A20}" destId="{74D389AC-6350-416F-A864-535EE961108E}" srcOrd="4" destOrd="0" parTransId="{C26827CC-EAD5-42B8-AAAB-8EE670FC0397}" sibTransId="{D159884A-8DBF-425A-A052-9DEBB20DDCB0}"/>
    <dgm:cxn modelId="{38946ABE-90D3-4A18-88A7-B7E4A8F0874F}" srcId="{53DE95AD-E5B9-45C9-9220-0A9B3449E9E2}" destId="{71D9CF53-7253-4407-8FD4-B222A0084DED}" srcOrd="1" destOrd="0" parTransId="{661C295F-6961-467A-8579-B66E9CF1980D}" sibTransId="{BB7EF3B8-DAE6-4E94-ABCB-8E740BF9FEAF}"/>
    <dgm:cxn modelId="{DCBE7FC0-AD4E-4C53-A4A5-F4184C5F8021}" srcId="{4FE238AE-1A6B-4BC3-B2A9-97758B8BCACC}" destId="{C068A02C-2756-4F94-B1E5-7E9631C7FCB2}" srcOrd="3" destOrd="0" parTransId="{4BBEF11A-1888-4177-B232-6EA07433DBCD}" sibTransId="{30DE66BF-5966-4071-AAB4-446A7858DBA0}"/>
    <dgm:cxn modelId="{7EF762C4-CA76-402B-8B40-915EBA3D2770}" type="presOf" srcId="{53DE95AD-E5B9-45C9-9220-0A9B3449E9E2}" destId="{395AF5D7-0E2F-49EE-82BB-2549EFB20398}" srcOrd="1" destOrd="0" presId="urn:microsoft.com/office/officeart/2005/8/layout/lProcess2"/>
    <dgm:cxn modelId="{CD92E7C7-4036-441E-A6C9-A17E05B16312}" srcId="{53DE95AD-E5B9-45C9-9220-0A9B3449E9E2}" destId="{7492B327-9BEE-4F7A-B176-FFD29B24AAEB}" srcOrd="2" destOrd="0" parTransId="{EE6DF78F-4BFE-4FFA-9C53-A37043A7DECE}" sibTransId="{957BD390-AE58-4AC9-B661-46359EFD2BE3}"/>
    <dgm:cxn modelId="{872152C8-2FCD-4E59-84DB-D794E5725903}" type="presOf" srcId="{C69003CB-8AE3-400A-A6B3-C27A68CCB3B7}" destId="{AB15F36A-3405-4F63-A92B-E76F2B110C6B}" srcOrd="0" destOrd="0" presId="urn:microsoft.com/office/officeart/2005/8/layout/lProcess2"/>
    <dgm:cxn modelId="{8706F7CA-8002-4A9B-9055-CA02C3430F9E}" srcId="{C926C611-EF40-4CDD-AA6D-ECC5AE7D5938}" destId="{976255C7-99CB-4664-8316-52ECE948C873}" srcOrd="2" destOrd="0" parTransId="{8CBFE623-2226-4F51-82DD-C32C1C03B7FD}" sibTransId="{EEF53F42-F5BB-4EA5-85C6-8ADF70DEAF62}"/>
    <dgm:cxn modelId="{666951CC-6E11-43E8-AE7B-3CF02ED9169F}" srcId="{20FDBAB2-0A1C-4D60-82F4-11FF32434A20}" destId="{9EF22407-7384-4E32-AD33-E811CBC8F133}" srcOrd="0" destOrd="0" parTransId="{8C61B974-B4B6-4A03-BCA5-0CA0A5F74FEF}" sibTransId="{50F6BF6C-422F-417B-B331-4F24C24ED8D3}"/>
    <dgm:cxn modelId="{AA9A92CE-BAEE-42F0-98FF-757C12130151}" type="presOf" srcId="{8C5A624C-EA0A-421C-A5B0-D2D9222B0F3A}" destId="{7FE74D1E-098F-4F50-83E3-CE58CBAFA249}" srcOrd="0" destOrd="0" presId="urn:microsoft.com/office/officeart/2005/8/layout/lProcess2"/>
    <dgm:cxn modelId="{B9461C62-DA79-4FC8-ABC4-0AF820DE5E8A}" type="presParOf" srcId="{BE6E95A2-3A6C-46C0-8D9C-6CB96BBF8176}" destId="{D5CF56B6-3657-4E24-996B-B2F9227989D5}" srcOrd="0" destOrd="0" presId="urn:microsoft.com/office/officeart/2005/8/layout/lProcess2"/>
    <dgm:cxn modelId="{EB93A84F-2A60-4F16-AE1C-6905CA221673}" type="presParOf" srcId="{D5CF56B6-3657-4E24-996B-B2F9227989D5}" destId="{347D9F5C-5029-4CC7-A563-829F745D3C72}" srcOrd="0" destOrd="0" presId="urn:microsoft.com/office/officeart/2005/8/layout/lProcess2"/>
    <dgm:cxn modelId="{0A60C08E-1D51-4EA0-A1F9-8466538F448E}" type="presParOf" srcId="{D5CF56B6-3657-4E24-996B-B2F9227989D5}" destId="{2FD72D10-17AC-414D-A8D3-F47E5A15F814}" srcOrd="1" destOrd="0" presId="urn:microsoft.com/office/officeart/2005/8/layout/lProcess2"/>
    <dgm:cxn modelId="{8B031F8D-C66D-4539-9E06-A4D1EBB83C9C}" type="presParOf" srcId="{D5CF56B6-3657-4E24-996B-B2F9227989D5}" destId="{C8E57DBD-A9EA-4F63-A18B-F626A815812D}" srcOrd="2" destOrd="0" presId="urn:microsoft.com/office/officeart/2005/8/layout/lProcess2"/>
    <dgm:cxn modelId="{36EBD2A7-19AD-446C-AC42-13B303E28553}" type="presParOf" srcId="{C8E57DBD-A9EA-4F63-A18B-F626A815812D}" destId="{73091004-FFDF-47D0-A927-D04697426C54}" srcOrd="0" destOrd="0" presId="urn:microsoft.com/office/officeart/2005/8/layout/lProcess2"/>
    <dgm:cxn modelId="{059E8598-EB36-42AC-A960-BC17698AA695}" type="presParOf" srcId="{73091004-FFDF-47D0-A927-D04697426C54}" destId="{E6CA5C5E-F4E8-41EA-B702-4EB3CAC94B2C}" srcOrd="0" destOrd="0" presId="urn:microsoft.com/office/officeart/2005/8/layout/lProcess2"/>
    <dgm:cxn modelId="{FDDC1DE8-8B99-4DD9-A47C-E8A6BBAF34EC}" type="presParOf" srcId="{73091004-FFDF-47D0-A927-D04697426C54}" destId="{325ACF57-507B-401C-99F2-4F07EA90582C}" srcOrd="1" destOrd="0" presId="urn:microsoft.com/office/officeart/2005/8/layout/lProcess2"/>
    <dgm:cxn modelId="{E6F57044-ACCF-4D60-81BE-8E2EF4D19FBE}" type="presParOf" srcId="{73091004-FFDF-47D0-A927-D04697426C54}" destId="{D22F1634-E09E-48C1-A2CF-F8B5DF26FAC9}" srcOrd="2" destOrd="0" presId="urn:microsoft.com/office/officeart/2005/8/layout/lProcess2"/>
    <dgm:cxn modelId="{00782A47-34DC-4801-818C-224DC8CB39D6}" type="presParOf" srcId="{73091004-FFDF-47D0-A927-D04697426C54}" destId="{98FF7847-DDA5-4EFD-AC6A-C4673ADDCE7F}" srcOrd="3" destOrd="0" presId="urn:microsoft.com/office/officeart/2005/8/layout/lProcess2"/>
    <dgm:cxn modelId="{A284705D-326C-456F-AE6E-026A52BB9031}" type="presParOf" srcId="{73091004-FFDF-47D0-A927-D04697426C54}" destId="{B4333C0D-B7ED-4F30-98F7-8317D09D2B0C}" srcOrd="4" destOrd="0" presId="urn:microsoft.com/office/officeart/2005/8/layout/lProcess2"/>
    <dgm:cxn modelId="{F736D405-B9D1-4443-B13E-F98C9B626CA9}" type="presParOf" srcId="{73091004-FFDF-47D0-A927-D04697426C54}" destId="{E497ADDB-4154-4E2F-AD49-2AD0C7B70DED}" srcOrd="5" destOrd="0" presId="urn:microsoft.com/office/officeart/2005/8/layout/lProcess2"/>
    <dgm:cxn modelId="{96D2D04C-16C4-40B0-BC2C-7D4D0C38F898}" type="presParOf" srcId="{73091004-FFDF-47D0-A927-D04697426C54}" destId="{7FE74D1E-098F-4F50-83E3-CE58CBAFA249}" srcOrd="6" destOrd="0" presId="urn:microsoft.com/office/officeart/2005/8/layout/lProcess2"/>
    <dgm:cxn modelId="{9AA0A36C-4413-407D-A9EF-E33800D3BA37}" type="presParOf" srcId="{73091004-FFDF-47D0-A927-D04697426C54}" destId="{D839E754-5C68-4C32-B142-8127D0CDD597}" srcOrd="7" destOrd="0" presId="urn:microsoft.com/office/officeart/2005/8/layout/lProcess2"/>
    <dgm:cxn modelId="{5D98C345-359A-4979-A2F1-D038AD8198CC}" type="presParOf" srcId="{73091004-FFDF-47D0-A927-D04697426C54}" destId="{666BCAD1-64C9-4C27-B996-4B123D9038B3}" srcOrd="8" destOrd="0" presId="urn:microsoft.com/office/officeart/2005/8/layout/lProcess2"/>
    <dgm:cxn modelId="{6D95C8C2-D8CF-444E-ADF1-F784F0C2B502}" type="presParOf" srcId="{BE6E95A2-3A6C-46C0-8D9C-6CB96BBF8176}" destId="{6B2BAB3B-6137-465A-B380-F85484CCAF3D}" srcOrd="1" destOrd="0" presId="urn:microsoft.com/office/officeart/2005/8/layout/lProcess2"/>
    <dgm:cxn modelId="{8B7B0D6C-C8AF-425E-AB27-A04385DAA676}" type="presParOf" srcId="{BE6E95A2-3A6C-46C0-8D9C-6CB96BBF8176}" destId="{43865317-5E80-488C-9841-6AE237536D0D}" srcOrd="2" destOrd="0" presId="urn:microsoft.com/office/officeart/2005/8/layout/lProcess2"/>
    <dgm:cxn modelId="{1C161351-F098-47AA-959F-67F06E6E16EA}" type="presParOf" srcId="{43865317-5E80-488C-9841-6AE237536D0D}" destId="{F0D6777C-CA91-4549-BFBF-41B1E50E1CB2}" srcOrd="0" destOrd="0" presId="urn:microsoft.com/office/officeart/2005/8/layout/lProcess2"/>
    <dgm:cxn modelId="{E8A0936B-6B06-437F-96FB-656EE5894828}" type="presParOf" srcId="{43865317-5E80-488C-9841-6AE237536D0D}" destId="{395AF5D7-0E2F-49EE-82BB-2549EFB20398}" srcOrd="1" destOrd="0" presId="urn:microsoft.com/office/officeart/2005/8/layout/lProcess2"/>
    <dgm:cxn modelId="{3BE8F81F-5E08-407F-B8E0-DC0A1E2BC7D8}" type="presParOf" srcId="{43865317-5E80-488C-9841-6AE237536D0D}" destId="{5DBCC33E-605F-447C-8E55-A281F31AC469}" srcOrd="2" destOrd="0" presId="urn:microsoft.com/office/officeart/2005/8/layout/lProcess2"/>
    <dgm:cxn modelId="{EE32EEF2-5F1A-492C-B9E2-2BB5FC863FD9}" type="presParOf" srcId="{5DBCC33E-605F-447C-8E55-A281F31AC469}" destId="{A94B70BE-DC03-4D8D-9FB0-B653EA66BA66}" srcOrd="0" destOrd="0" presId="urn:microsoft.com/office/officeart/2005/8/layout/lProcess2"/>
    <dgm:cxn modelId="{F9CE5861-50B5-48D7-80F5-B68881B995B2}" type="presParOf" srcId="{A94B70BE-DC03-4D8D-9FB0-B653EA66BA66}" destId="{A7BA232F-6D9D-483E-A3DA-E1060350AA37}" srcOrd="0" destOrd="0" presId="urn:microsoft.com/office/officeart/2005/8/layout/lProcess2"/>
    <dgm:cxn modelId="{A8A5005E-8531-4957-AF48-6E9055CF0446}" type="presParOf" srcId="{A94B70BE-DC03-4D8D-9FB0-B653EA66BA66}" destId="{6AB375CF-D7B2-44DA-ABFC-0CD8AFF39C8E}" srcOrd="1" destOrd="0" presId="urn:microsoft.com/office/officeart/2005/8/layout/lProcess2"/>
    <dgm:cxn modelId="{BF08088E-7440-4598-99F1-D3B59A42CE47}" type="presParOf" srcId="{A94B70BE-DC03-4D8D-9FB0-B653EA66BA66}" destId="{4089002C-22E3-4C32-8A20-8A8F28756BD7}" srcOrd="2" destOrd="0" presId="urn:microsoft.com/office/officeart/2005/8/layout/lProcess2"/>
    <dgm:cxn modelId="{900108E9-31A1-4D36-A9C1-7D699F53EB06}" type="presParOf" srcId="{A94B70BE-DC03-4D8D-9FB0-B653EA66BA66}" destId="{5F010AEE-C7A9-41C9-968C-821317D7324F}" srcOrd="3" destOrd="0" presId="urn:microsoft.com/office/officeart/2005/8/layout/lProcess2"/>
    <dgm:cxn modelId="{AB53F351-8CA6-4563-992E-1ACB43D24B07}" type="presParOf" srcId="{A94B70BE-DC03-4D8D-9FB0-B653EA66BA66}" destId="{DF2FD6B2-B375-4342-9351-0165E39163FB}" srcOrd="4" destOrd="0" presId="urn:microsoft.com/office/officeart/2005/8/layout/lProcess2"/>
    <dgm:cxn modelId="{F4156DE7-D4F8-4C48-B587-D28FC169970B}" type="presParOf" srcId="{A94B70BE-DC03-4D8D-9FB0-B653EA66BA66}" destId="{6BC0C6DC-1466-49BD-9485-486A658EC09D}" srcOrd="5" destOrd="0" presId="urn:microsoft.com/office/officeart/2005/8/layout/lProcess2"/>
    <dgm:cxn modelId="{8F0B2171-6B04-48BE-B125-732697EF21C1}" type="presParOf" srcId="{A94B70BE-DC03-4D8D-9FB0-B653EA66BA66}" destId="{BD5A3D94-AE50-4813-B7E3-DC1B40BF5E86}" srcOrd="6" destOrd="0" presId="urn:microsoft.com/office/officeart/2005/8/layout/lProcess2"/>
    <dgm:cxn modelId="{DDF6464B-7B56-4912-8BB4-3167F0FBB1A1}" type="presParOf" srcId="{BE6E95A2-3A6C-46C0-8D9C-6CB96BBF8176}" destId="{AF5EF67F-DCFD-465F-924A-03B41E1D8E87}" srcOrd="3" destOrd="0" presId="urn:microsoft.com/office/officeart/2005/8/layout/lProcess2"/>
    <dgm:cxn modelId="{FE60C0A7-D844-4E71-947B-391E67CCAB30}" type="presParOf" srcId="{BE6E95A2-3A6C-46C0-8D9C-6CB96BBF8176}" destId="{2F3208AA-5D9F-41E1-827F-B3A3FF42E4C0}" srcOrd="4" destOrd="0" presId="urn:microsoft.com/office/officeart/2005/8/layout/lProcess2"/>
    <dgm:cxn modelId="{B50238B5-8B2F-43A9-99C3-D88B39976871}" type="presParOf" srcId="{2F3208AA-5D9F-41E1-827F-B3A3FF42E4C0}" destId="{54D1B6DF-C431-4949-9002-AC4A4A1F1F46}" srcOrd="0" destOrd="0" presId="urn:microsoft.com/office/officeart/2005/8/layout/lProcess2"/>
    <dgm:cxn modelId="{FBDABA64-90FD-422F-A09C-497AB3847800}" type="presParOf" srcId="{2F3208AA-5D9F-41E1-827F-B3A3FF42E4C0}" destId="{6B516BA1-81FB-48F0-BEAE-4A7F4E9C5BBB}" srcOrd="1" destOrd="0" presId="urn:microsoft.com/office/officeart/2005/8/layout/lProcess2"/>
    <dgm:cxn modelId="{51299E70-242A-4115-8CFC-E983B13495E1}" type="presParOf" srcId="{2F3208AA-5D9F-41E1-827F-B3A3FF42E4C0}" destId="{42287AFB-397F-45BC-8488-47E9122B08FA}" srcOrd="2" destOrd="0" presId="urn:microsoft.com/office/officeart/2005/8/layout/lProcess2"/>
    <dgm:cxn modelId="{8A36E1D9-339A-464F-87A9-3592D26D6436}" type="presParOf" srcId="{42287AFB-397F-45BC-8488-47E9122B08FA}" destId="{1D82B73B-12DB-4A80-A580-8E595BBEA165}" srcOrd="0" destOrd="0" presId="urn:microsoft.com/office/officeart/2005/8/layout/lProcess2"/>
    <dgm:cxn modelId="{69283C27-9D72-4FAA-B0F8-B11D50C5CAA0}" type="presParOf" srcId="{1D82B73B-12DB-4A80-A580-8E595BBEA165}" destId="{AB15F36A-3405-4F63-A92B-E76F2B110C6B}" srcOrd="0" destOrd="0" presId="urn:microsoft.com/office/officeart/2005/8/layout/lProcess2"/>
    <dgm:cxn modelId="{80747DB6-922C-45FC-94D1-0F7877138B16}" type="presParOf" srcId="{1D82B73B-12DB-4A80-A580-8E595BBEA165}" destId="{9A324CD2-D59D-4037-B0C0-9B0BD0066FD2}" srcOrd="1" destOrd="0" presId="urn:microsoft.com/office/officeart/2005/8/layout/lProcess2"/>
    <dgm:cxn modelId="{E58284A4-A61A-44C0-97C2-B7F8F750DA44}" type="presParOf" srcId="{1D82B73B-12DB-4A80-A580-8E595BBEA165}" destId="{0F83D25B-9B74-48EC-9175-3603AB1DB6F4}" srcOrd="2" destOrd="0" presId="urn:microsoft.com/office/officeart/2005/8/layout/lProcess2"/>
    <dgm:cxn modelId="{F7B6C835-6362-4563-ACD3-B93D8BCDB863}" type="presParOf" srcId="{1D82B73B-12DB-4A80-A580-8E595BBEA165}" destId="{26327531-CE8B-4D67-A0FC-AAA86C54663A}" srcOrd="3" destOrd="0" presId="urn:microsoft.com/office/officeart/2005/8/layout/lProcess2"/>
    <dgm:cxn modelId="{CE565BAD-D044-43F3-BC4C-DE4AF9C5A52A}" type="presParOf" srcId="{1D82B73B-12DB-4A80-A580-8E595BBEA165}" destId="{1137E06E-B61F-41DF-A243-1E27C761942C}" srcOrd="4" destOrd="0" presId="urn:microsoft.com/office/officeart/2005/8/layout/lProcess2"/>
    <dgm:cxn modelId="{C966F66F-61F7-4BA9-BD1B-E47F39FF1790}" type="presParOf" srcId="{1D82B73B-12DB-4A80-A580-8E595BBEA165}" destId="{039078F0-54BE-483B-9830-109001CE9032}" srcOrd="5" destOrd="0" presId="urn:microsoft.com/office/officeart/2005/8/layout/lProcess2"/>
    <dgm:cxn modelId="{A3E78ECD-D14E-41CE-9C30-A725C5E2A9CD}" type="presParOf" srcId="{1D82B73B-12DB-4A80-A580-8E595BBEA165}" destId="{09431CD9-D4C0-4960-8860-DF64CAC2CABA}" srcOrd="6" destOrd="0" presId="urn:microsoft.com/office/officeart/2005/8/layout/lProcess2"/>
    <dgm:cxn modelId="{46202DFE-5155-497A-A150-6DE2BC4B3DE9}" type="presParOf" srcId="{BE6E95A2-3A6C-46C0-8D9C-6CB96BBF8176}" destId="{898C2B9D-1EA2-4AFB-8CFC-8A04E698BCFB}" srcOrd="5" destOrd="0" presId="urn:microsoft.com/office/officeart/2005/8/layout/lProcess2"/>
    <dgm:cxn modelId="{FBA212FE-0ECB-4075-98A2-5A5A101ABCC3}" type="presParOf" srcId="{BE6E95A2-3A6C-46C0-8D9C-6CB96BBF8176}" destId="{79E27598-96E5-4B19-9567-CA95537C2CCE}" srcOrd="6" destOrd="0" presId="urn:microsoft.com/office/officeart/2005/8/layout/lProcess2"/>
    <dgm:cxn modelId="{7F7F718E-B28E-44BF-B559-783F8C710CD7}" type="presParOf" srcId="{79E27598-96E5-4B19-9567-CA95537C2CCE}" destId="{9BE7D5A2-2627-4B4F-88D0-48DD367EB9ED}" srcOrd="0" destOrd="0" presId="urn:microsoft.com/office/officeart/2005/8/layout/lProcess2"/>
    <dgm:cxn modelId="{DE39138E-BA09-4114-B11A-6B7C0B457754}" type="presParOf" srcId="{79E27598-96E5-4B19-9567-CA95537C2CCE}" destId="{BAC51D70-16B9-4216-87C2-B9361C65CE1E}" srcOrd="1" destOrd="0" presId="urn:microsoft.com/office/officeart/2005/8/layout/lProcess2"/>
    <dgm:cxn modelId="{F9171721-2F54-43B8-81CA-BDB9D77C71E7}" type="presParOf" srcId="{79E27598-96E5-4B19-9567-CA95537C2CCE}" destId="{A233CDA1-7CA0-4513-A1B8-69E7F098F00D}" srcOrd="2" destOrd="0" presId="urn:microsoft.com/office/officeart/2005/8/layout/lProcess2"/>
    <dgm:cxn modelId="{AD467CF6-7651-4DE1-BAC0-CC43134D95B6}" type="presParOf" srcId="{A233CDA1-7CA0-4513-A1B8-69E7F098F00D}" destId="{994DD498-D61C-483D-902F-34E65D95FC32}" srcOrd="0" destOrd="0" presId="urn:microsoft.com/office/officeart/2005/8/layout/lProcess2"/>
    <dgm:cxn modelId="{A367B4F2-7043-4760-B3F8-DA1C012BBA78}" type="presParOf" srcId="{994DD498-D61C-483D-902F-34E65D95FC32}" destId="{8DBA2FC9-D99D-4E68-A925-C4945B5D78C6}" srcOrd="0" destOrd="0" presId="urn:microsoft.com/office/officeart/2005/8/layout/lProcess2"/>
    <dgm:cxn modelId="{F1DB9B25-D260-48BF-93A3-2BC81D932FAF}" type="presParOf" srcId="{994DD498-D61C-483D-902F-34E65D95FC32}" destId="{BE103995-9837-40F7-81D5-BE9EE6F78976}" srcOrd="1" destOrd="0" presId="urn:microsoft.com/office/officeart/2005/8/layout/lProcess2"/>
    <dgm:cxn modelId="{9D863708-4E4A-4F84-9461-179DE2F91821}" type="presParOf" srcId="{994DD498-D61C-483D-902F-34E65D95FC32}" destId="{5555190F-2B8C-42E9-A9BC-B5D896867924}" srcOrd="2" destOrd="0" presId="urn:microsoft.com/office/officeart/2005/8/layout/lProcess2"/>
    <dgm:cxn modelId="{1BC9E900-01CE-40F1-B334-32DA37709BF5}" type="presParOf" srcId="{994DD498-D61C-483D-902F-34E65D95FC32}" destId="{9CB846E4-5F6A-4FCA-AE8B-DC58C79FAC2A}" srcOrd="3" destOrd="0" presId="urn:microsoft.com/office/officeart/2005/8/layout/lProcess2"/>
    <dgm:cxn modelId="{CEB29E7B-F4AC-47E6-AFC5-00D77161EB8C}" type="presParOf" srcId="{994DD498-D61C-483D-902F-34E65D95FC32}" destId="{AB327AFA-82D9-4669-9345-BE1B246C8967}" srcOrd="4" destOrd="0" presId="urn:microsoft.com/office/officeart/2005/8/layout/lProcess2"/>
    <dgm:cxn modelId="{E6554435-2A0E-4581-BADB-43F662F52D54}" type="presParOf" srcId="{994DD498-D61C-483D-902F-34E65D95FC32}" destId="{16F65691-8E85-4298-BA59-A86708EA4B4E}" srcOrd="5" destOrd="0" presId="urn:microsoft.com/office/officeart/2005/8/layout/lProcess2"/>
    <dgm:cxn modelId="{50CD48AF-B0C1-45E3-B2D1-FA671A0FEA9D}" type="presParOf" srcId="{994DD498-D61C-483D-902F-34E65D95FC32}" destId="{FA77B1E9-06E3-4D4C-B3BD-0BFCECF0ED4D}" srcOrd="6" destOrd="0" presId="urn:microsoft.com/office/officeart/2005/8/layout/lProcess2"/>
  </dgm:cxnLst>
  <dgm:bg/>
  <dgm:whole/>
  <dgm:extLst>
    <a:ext uri="http://schemas.microsoft.com/office/drawing/2008/diagram">
      <dsp:dataModelExt xmlns:dsp="http://schemas.microsoft.com/office/drawing/2008/diagram" relId="rId127"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56B9EE1B-69EB-4238-A571-F245958DABC5}" type="doc">
      <dgm:prSet loTypeId="urn:microsoft.com/office/officeart/2005/8/layout/default" loCatId="list" qsTypeId="urn:microsoft.com/office/officeart/2005/8/quickstyle/simple1" qsCatId="simple" csTypeId="urn:microsoft.com/office/officeart/2005/8/colors/colorful4" csCatId="colorful" phldr="1"/>
      <dgm:spPr/>
      <dgm:t>
        <a:bodyPr/>
        <a:lstStyle/>
        <a:p>
          <a:endParaRPr lang="en-US"/>
        </a:p>
      </dgm:t>
    </dgm:pt>
    <dgm:pt modelId="{18DBB86D-500C-490D-819A-D0D7F1789465}">
      <dgm:prSet phldrT="[Text]" custT="1"/>
      <dgm:spPr/>
      <dgm:t>
        <a:bodyPr/>
        <a:lstStyle/>
        <a:p>
          <a:r>
            <a:rPr lang="en-US" sz="1050">
              <a:latin typeface="Century Gothic" panose="020B0502020202020204" pitchFamily="34" charset="0"/>
            </a:rPr>
            <a:t>What type of verifications should go in each category? Proof of Identity and Proof of Other?</a:t>
          </a:r>
        </a:p>
      </dgm:t>
    </dgm:pt>
    <dgm:pt modelId="{6EDE1A33-E6CA-4578-A3A3-121D765F90F2}" type="parTrans" cxnId="{0C57B5CA-B412-4E81-AA42-198EE2B0DEE6}">
      <dgm:prSet/>
      <dgm:spPr/>
      <dgm:t>
        <a:bodyPr/>
        <a:lstStyle/>
        <a:p>
          <a:endParaRPr lang="en-US" sz="1050">
            <a:latin typeface="Century Gothic" panose="020B0502020202020204" pitchFamily="34" charset="0"/>
          </a:endParaRPr>
        </a:p>
      </dgm:t>
    </dgm:pt>
    <dgm:pt modelId="{9F06B3EA-8A4B-42E7-8136-D5FCA052A2A2}" type="sibTrans" cxnId="{0C57B5CA-B412-4E81-AA42-198EE2B0DEE6}">
      <dgm:prSet/>
      <dgm:spPr/>
      <dgm:t>
        <a:bodyPr/>
        <a:lstStyle/>
        <a:p>
          <a:endParaRPr lang="en-US" sz="1050">
            <a:latin typeface="Century Gothic" panose="020B0502020202020204" pitchFamily="34" charset="0"/>
          </a:endParaRPr>
        </a:p>
      </dgm:t>
    </dgm:pt>
    <dgm:pt modelId="{7B8525F5-4E05-4150-B77D-4969C5B205C9}">
      <dgm:prSet phldrT="[Text]" custT="1"/>
      <dgm:spPr/>
      <dgm:t>
        <a:bodyPr/>
        <a:lstStyle/>
        <a:p>
          <a:r>
            <a:rPr lang="en-US" sz="1050">
              <a:latin typeface="Century Gothic" panose="020B0502020202020204" pitchFamily="34" charset="0"/>
            </a:rPr>
            <a:t>Where should the SSN be uploaded, under Proof of Identity or Proof of Other?</a:t>
          </a:r>
        </a:p>
      </dgm:t>
    </dgm:pt>
    <dgm:pt modelId="{D1AD64A6-F1BA-4784-816F-2DE0E8B8B26A}" type="parTrans" cxnId="{03F76BF9-FFAF-4072-9E27-9832787C6F62}">
      <dgm:prSet/>
      <dgm:spPr/>
      <dgm:t>
        <a:bodyPr/>
        <a:lstStyle/>
        <a:p>
          <a:endParaRPr lang="en-US" sz="1050">
            <a:latin typeface="Century Gothic" panose="020B0502020202020204" pitchFamily="34" charset="0"/>
          </a:endParaRPr>
        </a:p>
      </dgm:t>
    </dgm:pt>
    <dgm:pt modelId="{BAAFA6FB-3E3A-4CCB-869F-3E25BDD09705}" type="sibTrans" cxnId="{03F76BF9-FFAF-4072-9E27-9832787C6F62}">
      <dgm:prSet/>
      <dgm:spPr/>
      <dgm:t>
        <a:bodyPr/>
        <a:lstStyle/>
        <a:p>
          <a:endParaRPr lang="en-US" sz="1050">
            <a:latin typeface="Century Gothic" panose="020B0502020202020204" pitchFamily="34" charset="0"/>
          </a:endParaRPr>
        </a:p>
      </dgm:t>
    </dgm:pt>
    <dgm:pt modelId="{525BBC57-2EFC-4F19-9987-82F99ADA8EEF}">
      <dgm:prSet phldrT="[Text]" custT="1"/>
      <dgm:spPr/>
      <dgm:t>
        <a:bodyPr/>
        <a:lstStyle/>
        <a:p>
          <a:r>
            <a:rPr lang="en-US" sz="1050">
              <a:latin typeface="Century Gothic" panose="020B0502020202020204" pitchFamily="34" charset="0"/>
            </a:rPr>
            <a:t>Rent Receipt for the CalFresh program, where should that be uploaded? under Proof of Other?</a:t>
          </a:r>
        </a:p>
      </dgm:t>
    </dgm:pt>
    <dgm:pt modelId="{87B0CD07-3898-4ABA-81EC-A5480BF5B2E9}" type="parTrans" cxnId="{53FF3A06-585D-4378-B179-045998DBB731}">
      <dgm:prSet/>
      <dgm:spPr/>
      <dgm:t>
        <a:bodyPr/>
        <a:lstStyle/>
        <a:p>
          <a:endParaRPr lang="en-US" sz="1050">
            <a:latin typeface="Century Gothic" panose="020B0502020202020204" pitchFamily="34" charset="0"/>
          </a:endParaRPr>
        </a:p>
      </dgm:t>
    </dgm:pt>
    <dgm:pt modelId="{8299493D-02DC-4E4A-9BCF-F5FA0C619230}" type="sibTrans" cxnId="{53FF3A06-585D-4378-B179-045998DBB731}">
      <dgm:prSet/>
      <dgm:spPr/>
      <dgm:t>
        <a:bodyPr/>
        <a:lstStyle/>
        <a:p>
          <a:endParaRPr lang="en-US" sz="1050">
            <a:latin typeface="Century Gothic" panose="020B0502020202020204" pitchFamily="34" charset="0"/>
          </a:endParaRPr>
        </a:p>
      </dgm:t>
    </dgm:pt>
    <dgm:pt modelId="{FC03D8D7-E612-47AE-8B67-07EE2BF92223}">
      <dgm:prSet phldrT="[Text]" custT="1"/>
      <dgm:spPr/>
      <dgm:t>
        <a:bodyPr/>
        <a:lstStyle/>
        <a:p>
          <a:r>
            <a:rPr lang="en-US" sz="1050">
              <a:latin typeface="Century Gothic" panose="020B0502020202020204" pitchFamily="34" charset="0"/>
            </a:rPr>
            <a:t>To add a family member to an existing medical does the MC 371, proof of idenity etc get uploaded as "other"?</a:t>
          </a:r>
        </a:p>
      </dgm:t>
    </dgm:pt>
    <dgm:pt modelId="{4EBDD9BB-79F8-405D-936D-2BD5C3837778}" type="parTrans" cxnId="{4E2A0BEC-8172-47D7-87CA-FE7D7CBAC8B7}">
      <dgm:prSet/>
      <dgm:spPr/>
      <dgm:t>
        <a:bodyPr/>
        <a:lstStyle/>
        <a:p>
          <a:endParaRPr lang="en-US" sz="1050">
            <a:latin typeface="Century Gothic" panose="020B0502020202020204" pitchFamily="34" charset="0"/>
          </a:endParaRPr>
        </a:p>
      </dgm:t>
    </dgm:pt>
    <dgm:pt modelId="{03E4EBD8-C0D1-4202-BFA3-B62EF89322A8}" type="sibTrans" cxnId="{4E2A0BEC-8172-47D7-87CA-FE7D7CBAC8B7}">
      <dgm:prSet/>
      <dgm:spPr/>
      <dgm:t>
        <a:bodyPr/>
        <a:lstStyle/>
        <a:p>
          <a:endParaRPr lang="en-US" sz="1050">
            <a:latin typeface="Century Gothic" panose="020B0502020202020204" pitchFamily="34" charset="0"/>
          </a:endParaRPr>
        </a:p>
      </dgm:t>
    </dgm:pt>
    <dgm:pt modelId="{3E5FA02B-A5EE-4982-B43F-47578BBF0D03}">
      <dgm:prSet phldrT="[Text]" custT="1"/>
      <dgm:spPr/>
      <dgm:t>
        <a:bodyPr/>
        <a:lstStyle/>
        <a:p>
          <a:r>
            <a:rPr lang="en-US" sz="1050">
              <a:latin typeface="Century Gothic" panose="020B0502020202020204" pitchFamily="34" charset="0"/>
            </a:rPr>
            <a:t>Is Calworks child support?</a:t>
          </a:r>
        </a:p>
      </dgm:t>
    </dgm:pt>
    <dgm:pt modelId="{333A1F25-A6F1-43BA-85C4-CEA0B9A0E070}" type="parTrans" cxnId="{D9D43486-9569-4CDB-99D0-2396835006B8}">
      <dgm:prSet/>
      <dgm:spPr/>
      <dgm:t>
        <a:bodyPr/>
        <a:lstStyle/>
        <a:p>
          <a:endParaRPr lang="en-US" sz="1050">
            <a:latin typeface="Century Gothic" panose="020B0502020202020204" pitchFamily="34" charset="0"/>
          </a:endParaRPr>
        </a:p>
      </dgm:t>
    </dgm:pt>
    <dgm:pt modelId="{0D3F7D9E-38C5-4AD7-81B9-1BDFE75B650F}" type="sibTrans" cxnId="{D9D43486-9569-4CDB-99D0-2396835006B8}">
      <dgm:prSet/>
      <dgm:spPr/>
      <dgm:t>
        <a:bodyPr/>
        <a:lstStyle/>
        <a:p>
          <a:endParaRPr lang="en-US" sz="1050">
            <a:latin typeface="Century Gothic" panose="020B0502020202020204" pitchFamily="34" charset="0"/>
          </a:endParaRPr>
        </a:p>
      </dgm:t>
    </dgm:pt>
    <dgm:pt modelId="{4045D643-23D9-4B6D-9F30-7EC0EB187BB0}">
      <dgm:prSet phldrT="[Text]" custT="1"/>
      <dgm:spPr/>
      <dgm:t>
        <a:bodyPr/>
        <a:lstStyle/>
        <a:p>
          <a:r>
            <a:rPr lang="en-US" sz="1050">
              <a:latin typeface="Century Gothic" panose="020B0502020202020204" pitchFamily="34" charset="0"/>
            </a:rPr>
            <a:t>Can we get a copy of the recording of this training?</a:t>
          </a:r>
        </a:p>
      </dgm:t>
    </dgm:pt>
    <dgm:pt modelId="{58834E14-C16D-4C30-9C72-F7CE4D30D3B2}" type="parTrans" cxnId="{5C90B2CD-660B-4244-8256-984BAA60EB11}">
      <dgm:prSet/>
      <dgm:spPr/>
      <dgm:t>
        <a:bodyPr/>
        <a:lstStyle/>
        <a:p>
          <a:endParaRPr lang="en-US" sz="1050">
            <a:latin typeface="Century Gothic" panose="020B0502020202020204" pitchFamily="34" charset="0"/>
          </a:endParaRPr>
        </a:p>
      </dgm:t>
    </dgm:pt>
    <dgm:pt modelId="{F0EFDCBA-560B-4DC6-806B-BE29B2CADF3B}" type="sibTrans" cxnId="{5C90B2CD-660B-4244-8256-984BAA60EB11}">
      <dgm:prSet/>
      <dgm:spPr/>
      <dgm:t>
        <a:bodyPr/>
        <a:lstStyle/>
        <a:p>
          <a:endParaRPr lang="en-US" sz="1050">
            <a:latin typeface="Century Gothic" panose="020B0502020202020204" pitchFamily="34" charset="0"/>
          </a:endParaRPr>
        </a:p>
      </dgm:t>
    </dgm:pt>
    <dgm:pt modelId="{920E63AF-1FDF-4617-A3FC-1D513BB92443}" type="pres">
      <dgm:prSet presAssocID="{56B9EE1B-69EB-4238-A571-F245958DABC5}" presName="diagram" presStyleCnt="0">
        <dgm:presLayoutVars>
          <dgm:dir/>
          <dgm:resizeHandles val="exact"/>
        </dgm:presLayoutVars>
      </dgm:prSet>
      <dgm:spPr/>
    </dgm:pt>
    <dgm:pt modelId="{8CFC8A3A-075C-4FE2-BDF5-E5E650EFE6A5}" type="pres">
      <dgm:prSet presAssocID="{18DBB86D-500C-490D-819A-D0D7F1789465}" presName="node" presStyleLbl="node1" presStyleIdx="0" presStyleCnt="6">
        <dgm:presLayoutVars>
          <dgm:bulletEnabled val="1"/>
        </dgm:presLayoutVars>
      </dgm:prSet>
      <dgm:spPr/>
    </dgm:pt>
    <dgm:pt modelId="{BFF81743-2CAE-46D6-BCE5-042588BE3176}" type="pres">
      <dgm:prSet presAssocID="{9F06B3EA-8A4B-42E7-8136-D5FCA052A2A2}" presName="sibTrans" presStyleCnt="0"/>
      <dgm:spPr/>
    </dgm:pt>
    <dgm:pt modelId="{9E79E3D4-E145-4ABD-9F81-20E91F1AD962}" type="pres">
      <dgm:prSet presAssocID="{7B8525F5-4E05-4150-B77D-4969C5B205C9}" presName="node" presStyleLbl="node1" presStyleIdx="1" presStyleCnt="6">
        <dgm:presLayoutVars>
          <dgm:bulletEnabled val="1"/>
        </dgm:presLayoutVars>
      </dgm:prSet>
      <dgm:spPr/>
    </dgm:pt>
    <dgm:pt modelId="{4E981AE7-676D-4CE8-ABFC-CEE83E13F82E}" type="pres">
      <dgm:prSet presAssocID="{BAAFA6FB-3E3A-4CCB-869F-3E25BDD09705}" presName="sibTrans" presStyleCnt="0"/>
      <dgm:spPr/>
    </dgm:pt>
    <dgm:pt modelId="{72ADE3F4-73BC-4944-93DC-07063B9707B5}" type="pres">
      <dgm:prSet presAssocID="{525BBC57-2EFC-4F19-9987-82F99ADA8EEF}" presName="node" presStyleLbl="node1" presStyleIdx="2" presStyleCnt="6">
        <dgm:presLayoutVars>
          <dgm:bulletEnabled val="1"/>
        </dgm:presLayoutVars>
      </dgm:prSet>
      <dgm:spPr/>
    </dgm:pt>
    <dgm:pt modelId="{A71E024C-B85C-4CFF-9B25-642D5AC45786}" type="pres">
      <dgm:prSet presAssocID="{8299493D-02DC-4E4A-9BCF-F5FA0C619230}" presName="sibTrans" presStyleCnt="0"/>
      <dgm:spPr/>
    </dgm:pt>
    <dgm:pt modelId="{3D69ADB3-FC71-498D-9A4D-CDDC2CD41CAE}" type="pres">
      <dgm:prSet presAssocID="{FC03D8D7-E612-47AE-8B67-07EE2BF92223}" presName="node" presStyleLbl="node1" presStyleIdx="3" presStyleCnt="6">
        <dgm:presLayoutVars>
          <dgm:bulletEnabled val="1"/>
        </dgm:presLayoutVars>
      </dgm:prSet>
      <dgm:spPr/>
    </dgm:pt>
    <dgm:pt modelId="{5A3EE27A-8E61-4B0D-90A5-5A8655B2CBFE}" type="pres">
      <dgm:prSet presAssocID="{03E4EBD8-C0D1-4202-BFA3-B62EF89322A8}" presName="sibTrans" presStyleCnt="0"/>
      <dgm:spPr/>
    </dgm:pt>
    <dgm:pt modelId="{E6F4EDB2-6031-4B3D-829F-1ABC85CE9F4A}" type="pres">
      <dgm:prSet presAssocID="{3E5FA02B-A5EE-4982-B43F-47578BBF0D03}" presName="node" presStyleLbl="node1" presStyleIdx="4" presStyleCnt="6">
        <dgm:presLayoutVars>
          <dgm:bulletEnabled val="1"/>
        </dgm:presLayoutVars>
      </dgm:prSet>
      <dgm:spPr/>
    </dgm:pt>
    <dgm:pt modelId="{F826C2BB-DF31-4434-86BC-C4FF628A8101}" type="pres">
      <dgm:prSet presAssocID="{0D3F7D9E-38C5-4AD7-81B9-1BDFE75B650F}" presName="sibTrans" presStyleCnt="0"/>
      <dgm:spPr/>
    </dgm:pt>
    <dgm:pt modelId="{07CA66AE-698A-4D9D-8E92-DD28D6993D30}" type="pres">
      <dgm:prSet presAssocID="{4045D643-23D9-4B6D-9F30-7EC0EB187BB0}" presName="node" presStyleLbl="node1" presStyleIdx="5" presStyleCnt="6">
        <dgm:presLayoutVars>
          <dgm:bulletEnabled val="1"/>
        </dgm:presLayoutVars>
      </dgm:prSet>
      <dgm:spPr/>
    </dgm:pt>
  </dgm:ptLst>
  <dgm:cxnLst>
    <dgm:cxn modelId="{53FF3A06-585D-4378-B179-045998DBB731}" srcId="{56B9EE1B-69EB-4238-A571-F245958DABC5}" destId="{525BBC57-2EFC-4F19-9987-82F99ADA8EEF}" srcOrd="2" destOrd="0" parTransId="{87B0CD07-3898-4ABA-81EC-A5480BF5B2E9}" sibTransId="{8299493D-02DC-4E4A-9BCF-F5FA0C619230}"/>
    <dgm:cxn modelId="{010DCB30-8468-41D1-A360-9184E16D8EBD}" type="presOf" srcId="{18DBB86D-500C-490D-819A-D0D7F1789465}" destId="{8CFC8A3A-075C-4FE2-BDF5-E5E650EFE6A5}" srcOrd="0" destOrd="0" presId="urn:microsoft.com/office/officeart/2005/8/layout/default"/>
    <dgm:cxn modelId="{FF427831-25A2-4087-8B76-4EEEEFE51A62}" type="presOf" srcId="{56B9EE1B-69EB-4238-A571-F245958DABC5}" destId="{920E63AF-1FDF-4617-A3FC-1D513BB92443}" srcOrd="0" destOrd="0" presId="urn:microsoft.com/office/officeart/2005/8/layout/default"/>
    <dgm:cxn modelId="{545A044D-401D-453D-8443-57784712043D}" type="presOf" srcId="{525BBC57-2EFC-4F19-9987-82F99ADA8EEF}" destId="{72ADE3F4-73BC-4944-93DC-07063B9707B5}" srcOrd="0" destOrd="0" presId="urn:microsoft.com/office/officeart/2005/8/layout/default"/>
    <dgm:cxn modelId="{D9D43486-9569-4CDB-99D0-2396835006B8}" srcId="{56B9EE1B-69EB-4238-A571-F245958DABC5}" destId="{3E5FA02B-A5EE-4982-B43F-47578BBF0D03}" srcOrd="4" destOrd="0" parTransId="{333A1F25-A6F1-43BA-85C4-CEA0B9A0E070}" sibTransId="{0D3F7D9E-38C5-4AD7-81B9-1BDFE75B650F}"/>
    <dgm:cxn modelId="{11C6C690-0A6D-4379-A841-17773AF4EAA4}" type="presOf" srcId="{7B8525F5-4E05-4150-B77D-4969C5B205C9}" destId="{9E79E3D4-E145-4ABD-9F81-20E91F1AD962}" srcOrd="0" destOrd="0" presId="urn:microsoft.com/office/officeart/2005/8/layout/default"/>
    <dgm:cxn modelId="{1D29ECA3-4023-44A9-8122-C7479714EDA5}" type="presOf" srcId="{4045D643-23D9-4B6D-9F30-7EC0EB187BB0}" destId="{07CA66AE-698A-4D9D-8E92-DD28D6993D30}" srcOrd="0" destOrd="0" presId="urn:microsoft.com/office/officeart/2005/8/layout/default"/>
    <dgm:cxn modelId="{0C57B5CA-B412-4E81-AA42-198EE2B0DEE6}" srcId="{56B9EE1B-69EB-4238-A571-F245958DABC5}" destId="{18DBB86D-500C-490D-819A-D0D7F1789465}" srcOrd="0" destOrd="0" parTransId="{6EDE1A33-E6CA-4578-A3A3-121D765F90F2}" sibTransId="{9F06B3EA-8A4B-42E7-8136-D5FCA052A2A2}"/>
    <dgm:cxn modelId="{5C90B2CD-660B-4244-8256-984BAA60EB11}" srcId="{56B9EE1B-69EB-4238-A571-F245958DABC5}" destId="{4045D643-23D9-4B6D-9F30-7EC0EB187BB0}" srcOrd="5" destOrd="0" parTransId="{58834E14-C16D-4C30-9C72-F7CE4D30D3B2}" sibTransId="{F0EFDCBA-560B-4DC6-806B-BE29B2CADF3B}"/>
    <dgm:cxn modelId="{428776DB-C5DD-457B-8F18-89A6ED1AD88E}" type="presOf" srcId="{FC03D8D7-E612-47AE-8B67-07EE2BF92223}" destId="{3D69ADB3-FC71-498D-9A4D-CDDC2CD41CAE}" srcOrd="0" destOrd="0" presId="urn:microsoft.com/office/officeart/2005/8/layout/default"/>
    <dgm:cxn modelId="{AB427EEA-CB6C-409A-8FF9-4C88290EBD4E}" type="presOf" srcId="{3E5FA02B-A5EE-4982-B43F-47578BBF0D03}" destId="{E6F4EDB2-6031-4B3D-829F-1ABC85CE9F4A}" srcOrd="0" destOrd="0" presId="urn:microsoft.com/office/officeart/2005/8/layout/default"/>
    <dgm:cxn modelId="{4E2A0BEC-8172-47D7-87CA-FE7D7CBAC8B7}" srcId="{56B9EE1B-69EB-4238-A571-F245958DABC5}" destId="{FC03D8D7-E612-47AE-8B67-07EE2BF92223}" srcOrd="3" destOrd="0" parTransId="{4EBDD9BB-79F8-405D-936D-2BD5C3837778}" sibTransId="{03E4EBD8-C0D1-4202-BFA3-B62EF89322A8}"/>
    <dgm:cxn modelId="{03F76BF9-FFAF-4072-9E27-9832787C6F62}" srcId="{56B9EE1B-69EB-4238-A571-F245958DABC5}" destId="{7B8525F5-4E05-4150-B77D-4969C5B205C9}" srcOrd="1" destOrd="0" parTransId="{D1AD64A6-F1BA-4784-816F-2DE0E8B8B26A}" sibTransId="{BAAFA6FB-3E3A-4CCB-869F-3E25BDD09705}"/>
    <dgm:cxn modelId="{D2C60EBC-ED64-4388-93FD-1CAA8556FEF6}" type="presParOf" srcId="{920E63AF-1FDF-4617-A3FC-1D513BB92443}" destId="{8CFC8A3A-075C-4FE2-BDF5-E5E650EFE6A5}" srcOrd="0" destOrd="0" presId="urn:microsoft.com/office/officeart/2005/8/layout/default"/>
    <dgm:cxn modelId="{37E35CF3-232B-4EC4-8C79-039DE346F36C}" type="presParOf" srcId="{920E63AF-1FDF-4617-A3FC-1D513BB92443}" destId="{BFF81743-2CAE-46D6-BCE5-042588BE3176}" srcOrd="1" destOrd="0" presId="urn:microsoft.com/office/officeart/2005/8/layout/default"/>
    <dgm:cxn modelId="{965BBAB7-9F14-4BB8-AF3B-9CA5B8294224}" type="presParOf" srcId="{920E63AF-1FDF-4617-A3FC-1D513BB92443}" destId="{9E79E3D4-E145-4ABD-9F81-20E91F1AD962}" srcOrd="2" destOrd="0" presId="urn:microsoft.com/office/officeart/2005/8/layout/default"/>
    <dgm:cxn modelId="{5C661000-10B5-428B-89FB-AB0CDC6FC32E}" type="presParOf" srcId="{920E63AF-1FDF-4617-A3FC-1D513BB92443}" destId="{4E981AE7-676D-4CE8-ABFC-CEE83E13F82E}" srcOrd="3" destOrd="0" presId="urn:microsoft.com/office/officeart/2005/8/layout/default"/>
    <dgm:cxn modelId="{786EFD57-A1A8-408B-8A63-5D5C7F61A7CB}" type="presParOf" srcId="{920E63AF-1FDF-4617-A3FC-1D513BB92443}" destId="{72ADE3F4-73BC-4944-93DC-07063B9707B5}" srcOrd="4" destOrd="0" presId="urn:microsoft.com/office/officeart/2005/8/layout/default"/>
    <dgm:cxn modelId="{E6E34A27-4B30-4282-B746-DBD5EF414FE4}" type="presParOf" srcId="{920E63AF-1FDF-4617-A3FC-1D513BB92443}" destId="{A71E024C-B85C-4CFF-9B25-642D5AC45786}" srcOrd="5" destOrd="0" presId="urn:microsoft.com/office/officeart/2005/8/layout/default"/>
    <dgm:cxn modelId="{CAA84813-C5DE-4E66-A182-1433D2B6A158}" type="presParOf" srcId="{920E63AF-1FDF-4617-A3FC-1D513BB92443}" destId="{3D69ADB3-FC71-498D-9A4D-CDDC2CD41CAE}" srcOrd="6" destOrd="0" presId="urn:microsoft.com/office/officeart/2005/8/layout/default"/>
    <dgm:cxn modelId="{A404D7E3-ED93-4659-B7A0-A9DFED29A635}" type="presParOf" srcId="{920E63AF-1FDF-4617-A3FC-1D513BB92443}" destId="{5A3EE27A-8E61-4B0D-90A5-5A8655B2CBFE}" srcOrd="7" destOrd="0" presId="urn:microsoft.com/office/officeart/2005/8/layout/default"/>
    <dgm:cxn modelId="{B5B56760-1CF4-43B2-9C47-C5B7ECA6C874}" type="presParOf" srcId="{920E63AF-1FDF-4617-A3FC-1D513BB92443}" destId="{E6F4EDB2-6031-4B3D-829F-1ABC85CE9F4A}" srcOrd="8" destOrd="0" presId="urn:microsoft.com/office/officeart/2005/8/layout/default"/>
    <dgm:cxn modelId="{8B741C3A-5B69-4117-9F08-4F30C975507B}" type="presParOf" srcId="{920E63AF-1FDF-4617-A3FC-1D513BB92443}" destId="{F826C2BB-DF31-4434-86BC-C4FF628A8101}" srcOrd="9" destOrd="0" presId="urn:microsoft.com/office/officeart/2005/8/layout/default"/>
    <dgm:cxn modelId="{58D410BC-60D5-4B2A-A76C-0C67B8794AB8}" type="presParOf" srcId="{920E63AF-1FDF-4617-A3FC-1D513BB92443}" destId="{07CA66AE-698A-4D9D-8E92-DD28D6993D30}" srcOrd="10" destOrd="0" presId="urn:microsoft.com/office/officeart/2005/8/layout/default"/>
  </dgm:cxnLst>
  <dgm:bg/>
  <dgm:whole/>
  <dgm:extLst>
    <a:ext uri="http://schemas.microsoft.com/office/drawing/2008/diagram">
      <dsp:dataModelExt xmlns:dsp="http://schemas.microsoft.com/office/drawing/2008/diagram" relId="rId1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FF53C1-E81F-47AC-AFB1-28B94CC62511}">
      <dsp:nvSpPr>
        <dsp:cNvPr id="0" name=""/>
        <dsp:cNvSpPr/>
      </dsp:nvSpPr>
      <dsp:spPr>
        <a:xfrm>
          <a:off x="0" y="3146"/>
          <a:ext cx="1371600" cy="20097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66725">
            <a:lnSpc>
              <a:spcPct val="90000"/>
            </a:lnSpc>
            <a:spcBef>
              <a:spcPct val="0"/>
            </a:spcBef>
            <a:spcAft>
              <a:spcPct val="35000"/>
            </a:spcAft>
            <a:buNone/>
          </a:pPr>
          <a:r>
            <a:rPr lang="en-US" sz="1050" kern="1200" dirty="0">
              <a:latin typeface="Century Gothic" panose="020B0502020202020204" pitchFamily="34" charset="0"/>
            </a:rPr>
            <a:t>Coordinate the timing and entry/exit criteria associated with design, build, test, and delivery across contractors when multiple parties are required to implement a change or add a capability</a:t>
          </a:r>
          <a:endParaRPr lang="en-US" sz="1050" kern="1200" dirty="0"/>
        </a:p>
      </dsp:txBody>
      <dsp:txXfrm>
        <a:off x="0" y="3146"/>
        <a:ext cx="1371600" cy="2009700"/>
      </dsp:txXfrm>
    </dsp:sp>
    <dsp:sp modelId="{FD6E7D23-7B13-4B36-A3D3-D6B9A334604C}">
      <dsp:nvSpPr>
        <dsp:cNvPr id="0" name=""/>
        <dsp:cNvSpPr/>
      </dsp:nvSpPr>
      <dsp:spPr>
        <a:xfrm>
          <a:off x="1371599" y="3146"/>
          <a:ext cx="274320" cy="2009700"/>
        </a:xfrm>
        <a:prstGeom prst="leftBrace">
          <a:avLst>
            <a:gd name="adj1" fmla="val 35000"/>
            <a:gd name="adj2" fmla="val 50000"/>
          </a:avLst>
        </a:pr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1FA7A68-2F0B-4F05-A091-ECDE7F8EE7CB}">
      <dsp:nvSpPr>
        <dsp:cNvPr id="0" name=""/>
        <dsp:cNvSpPr/>
      </dsp:nvSpPr>
      <dsp:spPr>
        <a:xfrm>
          <a:off x="1755647" y="3146"/>
          <a:ext cx="3730752" cy="2009700"/>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ts val="300"/>
            </a:spcAft>
            <a:buClr>
              <a:schemeClr val="bg1"/>
            </a:buClr>
            <a:buChar char="•"/>
          </a:pPr>
          <a:r>
            <a:rPr lang="en-US" sz="1050" kern="1200">
              <a:latin typeface="Century Gothic" panose="020B0502020202020204" pitchFamily="34" charset="0"/>
            </a:rPr>
            <a:t>Participate and engage early on identification of changes and initiatives with cross contractor impact</a:t>
          </a:r>
          <a:endParaRPr lang="en-US" sz="1050" kern="1200" dirty="0">
            <a:latin typeface="Century Gothic" panose="020B0502020202020204" pitchFamily="34" charset="0"/>
          </a:endParaRPr>
        </a:p>
        <a:p>
          <a:pPr marL="57150" lvl="1"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Work with PMO and project managers to create tracking in JIRA and Work Plans</a:t>
          </a:r>
        </a:p>
        <a:p>
          <a:pPr marL="57150" lvl="1"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Provide a holistic view across the project to assist in identification of related services or impacted services early in the process</a:t>
          </a:r>
        </a:p>
        <a:p>
          <a:pPr marL="57150" lvl="1"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Coordinate with testing teams to verify cross contractor functional areas are exercised fully during testing</a:t>
          </a:r>
        </a:p>
      </dsp:txBody>
      <dsp:txXfrm>
        <a:off x="1755647" y="3146"/>
        <a:ext cx="3730752" cy="2009700"/>
      </dsp:txXfrm>
    </dsp:sp>
    <dsp:sp modelId="{88D4CE68-9E53-4837-A9C0-428DF807F6C6}">
      <dsp:nvSpPr>
        <dsp:cNvPr id="0" name=""/>
        <dsp:cNvSpPr/>
      </dsp:nvSpPr>
      <dsp:spPr>
        <a:xfrm>
          <a:off x="0" y="2277692"/>
          <a:ext cx="1371600" cy="11088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66725">
            <a:lnSpc>
              <a:spcPct val="90000"/>
            </a:lnSpc>
            <a:spcBef>
              <a:spcPct val="0"/>
            </a:spcBef>
            <a:spcAft>
              <a:spcPct val="35000"/>
            </a:spcAft>
            <a:buNone/>
          </a:pPr>
          <a:r>
            <a:rPr lang="en-US" sz="1050" kern="1200" dirty="0">
              <a:latin typeface="Century Gothic" panose="020B0502020202020204" pitchFamily="34" charset="0"/>
            </a:rPr>
            <a:t>Provide input to discussions to determine SCR priorities with consideration of committee decisions</a:t>
          </a:r>
        </a:p>
      </dsp:txBody>
      <dsp:txXfrm>
        <a:off x="0" y="2277692"/>
        <a:ext cx="1371600" cy="1108800"/>
      </dsp:txXfrm>
    </dsp:sp>
    <dsp:sp modelId="{942A4F5C-9798-4DCC-866F-FF01730BAF9D}">
      <dsp:nvSpPr>
        <dsp:cNvPr id="0" name=""/>
        <dsp:cNvSpPr/>
      </dsp:nvSpPr>
      <dsp:spPr>
        <a:xfrm>
          <a:off x="1371599" y="2277692"/>
          <a:ext cx="274320" cy="1108800"/>
        </a:xfrm>
        <a:prstGeom prst="leftBrace">
          <a:avLst>
            <a:gd name="adj1" fmla="val 35000"/>
            <a:gd name="adj2" fmla="val 50000"/>
          </a:avLst>
        </a:pr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A3E705E-A0C6-4D70-A4C5-C57A292D6246}">
      <dsp:nvSpPr>
        <dsp:cNvPr id="0" name=""/>
        <dsp:cNvSpPr/>
      </dsp:nvSpPr>
      <dsp:spPr>
        <a:xfrm>
          <a:off x="1755647" y="2214446"/>
          <a:ext cx="3730752" cy="1235291"/>
        </a:xfrm>
        <a:prstGeom prst="rect">
          <a:avLst/>
        </a:prstGeom>
        <a:solidFill>
          <a:schemeClr val="accent4">
            <a:hueOff val="6599937"/>
            <a:satOff val="-29202"/>
            <a:lumOff val="-490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ts val="300"/>
            </a:spcAft>
            <a:buClr>
              <a:schemeClr val="bg1"/>
            </a:buClr>
            <a:buChar char="•"/>
          </a:pPr>
          <a:r>
            <a:rPr lang="en-US" sz="1050" kern="1200" dirty="0">
              <a:latin typeface="Century Gothic" panose="020B0502020202020204" pitchFamily="34" charset="0"/>
            </a:rPr>
            <a:t>Participate in review of all incoming SCR, CER and configuration changes to understand impact and timing</a:t>
          </a:r>
        </a:p>
        <a:p>
          <a:pPr marL="57150" lvl="1" indent="-57150" algn="l" defTabSz="466725">
            <a:lnSpc>
              <a:spcPct val="90000"/>
            </a:lnSpc>
            <a:spcBef>
              <a:spcPct val="0"/>
            </a:spcBef>
            <a:spcAft>
              <a:spcPts val="300"/>
            </a:spcAft>
            <a:buChar char="•"/>
          </a:pPr>
          <a:r>
            <a:rPr lang="en-US" sz="1050" kern="1200" dirty="0">
              <a:latin typeface="Century Gothic" panose="020B0502020202020204" pitchFamily="34" charset="0"/>
            </a:rPr>
            <a:t>Identify the SCR area such as policy, enhanced functionality or other priorities in conjunction with other cross contractor impacts</a:t>
          </a:r>
        </a:p>
      </dsp:txBody>
      <dsp:txXfrm>
        <a:off x="1755647" y="2214446"/>
        <a:ext cx="3730752" cy="1235291"/>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AA326B-02A2-4EE2-A542-9AC2458DD2A3}">
      <dsp:nvSpPr>
        <dsp:cNvPr id="0" name=""/>
        <dsp:cNvSpPr/>
      </dsp:nvSpPr>
      <dsp:spPr>
        <a:xfrm>
          <a:off x="0" y="224212"/>
          <a:ext cx="5486400" cy="161595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5806" tIns="187452" rIns="425806" bIns="78232" numCol="1" spcCol="1270" anchor="t" anchorCtr="0">
          <a:noAutofit/>
        </a:bodyPr>
        <a:lstStyle/>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Hyland Point-of-Capture POC</a:t>
          </a:r>
        </a:p>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Suggest the Document Type for Document Uploads</a:t>
          </a:r>
        </a:p>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Additional CBO Information available to user</a:t>
          </a:r>
        </a:p>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Increased Visibility on Process Status - New functionality intended to provide users with information on the status of items like their SAR7 or EBT card replacement</a:t>
          </a:r>
        </a:p>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Public Facing Live Training Webinars on Selected Topics</a:t>
          </a:r>
        </a:p>
      </dsp:txBody>
      <dsp:txXfrm>
        <a:off x="0" y="224212"/>
        <a:ext cx="5486400" cy="1615950"/>
      </dsp:txXfrm>
    </dsp:sp>
    <dsp:sp modelId="{9AC3D49E-EEC3-4D56-A552-39C018D72D79}">
      <dsp:nvSpPr>
        <dsp:cNvPr id="0" name=""/>
        <dsp:cNvSpPr/>
      </dsp:nvSpPr>
      <dsp:spPr>
        <a:xfrm>
          <a:off x="274320" y="91372"/>
          <a:ext cx="3840480" cy="26568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66725">
            <a:lnSpc>
              <a:spcPct val="90000"/>
            </a:lnSpc>
            <a:spcBef>
              <a:spcPts val="600"/>
            </a:spcBef>
            <a:spcAft>
              <a:spcPts val="600"/>
            </a:spcAft>
            <a:buNone/>
          </a:pPr>
          <a:r>
            <a:rPr lang="en-US" sz="1050" b="1" kern="1200">
              <a:latin typeface="Century Gothic" panose="020B0502020202020204" pitchFamily="34" charset="0"/>
            </a:rPr>
            <a:t>BenefitsCal Functionality for Consumers</a:t>
          </a:r>
          <a:endParaRPr lang="en-US" sz="1050" kern="1200">
            <a:latin typeface="Century Gothic" panose="020B0502020202020204" pitchFamily="34" charset="0"/>
          </a:endParaRPr>
        </a:p>
      </dsp:txBody>
      <dsp:txXfrm>
        <a:off x="287289" y="104341"/>
        <a:ext cx="3814542" cy="239742"/>
      </dsp:txXfrm>
    </dsp:sp>
    <dsp:sp modelId="{90ECC8DF-D3DF-4F57-B98D-2D845C155266}">
      <dsp:nvSpPr>
        <dsp:cNvPr id="0" name=""/>
        <dsp:cNvSpPr/>
      </dsp:nvSpPr>
      <dsp:spPr>
        <a:xfrm>
          <a:off x="0" y="2021602"/>
          <a:ext cx="5486400" cy="93555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5806" tIns="187452" rIns="425806" bIns="78232" numCol="1" spcCol="1270" anchor="t" anchorCtr="0">
          <a:noAutofit/>
        </a:bodyPr>
        <a:lstStyle/>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Automated CBO Enrollment Workflow - New functionality to standardize the process, improve the communication between the CBO and the County, and increase transparency regarding the status</a:t>
          </a:r>
        </a:p>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CBO Live Training Webinars on Selected Topics</a:t>
          </a:r>
        </a:p>
      </dsp:txBody>
      <dsp:txXfrm>
        <a:off x="0" y="2021602"/>
        <a:ext cx="5486400" cy="935550"/>
      </dsp:txXfrm>
    </dsp:sp>
    <dsp:sp modelId="{4542B056-26C1-4CBA-9B5D-3CAFDA104CEE}">
      <dsp:nvSpPr>
        <dsp:cNvPr id="0" name=""/>
        <dsp:cNvSpPr/>
      </dsp:nvSpPr>
      <dsp:spPr>
        <a:xfrm>
          <a:off x="274320" y="1888762"/>
          <a:ext cx="3840480" cy="26568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66725">
            <a:lnSpc>
              <a:spcPct val="90000"/>
            </a:lnSpc>
            <a:spcBef>
              <a:spcPts val="600"/>
            </a:spcBef>
            <a:spcAft>
              <a:spcPts val="600"/>
            </a:spcAft>
            <a:buNone/>
          </a:pPr>
          <a:r>
            <a:rPr lang="en-US" sz="1050" b="1" kern="1200">
              <a:latin typeface="Century Gothic" panose="020B0502020202020204" pitchFamily="34" charset="0"/>
            </a:rPr>
            <a:t>BenefitsCal Functionality for CBOs</a:t>
          </a:r>
          <a:endParaRPr lang="en-US" sz="1050" kern="1200">
            <a:latin typeface="Century Gothic" panose="020B0502020202020204" pitchFamily="34" charset="0"/>
          </a:endParaRPr>
        </a:p>
      </dsp:txBody>
      <dsp:txXfrm>
        <a:off x="287289" y="1901731"/>
        <a:ext cx="3814542" cy="239742"/>
      </dsp:txXfrm>
    </dsp:sp>
    <dsp:sp modelId="{1C5356AA-C021-4514-9E13-0512484C8938}">
      <dsp:nvSpPr>
        <dsp:cNvPr id="0" name=""/>
        <dsp:cNvSpPr/>
      </dsp:nvSpPr>
      <dsp:spPr>
        <a:xfrm>
          <a:off x="0" y="3235576"/>
          <a:ext cx="5486400" cy="5670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5806" tIns="187452" rIns="425806" bIns="78232" numCol="1" spcCol="1270" anchor="t" anchorCtr="0">
          <a:noAutofit/>
        </a:bodyPr>
        <a:lstStyle/>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Provision of the Training Webinar Materials for Sharing within the Advocates Group</a:t>
          </a:r>
        </a:p>
      </dsp:txBody>
      <dsp:txXfrm>
        <a:off x="0" y="3235576"/>
        <a:ext cx="5486400" cy="567000"/>
      </dsp:txXfrm>
    </dsp:sp>
    <dsp:sp modelId="{E5EDE5F8-D2F8-4B84-AF26-56FB6DB859CE}">
      <dsp:nvSpPr>
        <dsp:cNvPr id="0" name=""/>
        <dsp:cNvSpPr/>
      </dsp:nvSpPr>
      <dsp:spPr>
        <a:xfrm>
          <a:off x="274320" y="3005752"/>
          <a:ext cx="3840480" cy="362663"/>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66725">
            <a:lnSpc>
              <a:spcPct val="90000"/>
            </a:lnSpc>
            <a:spcBef>
              <a:spcPts val="600"/>
            </a:spcBef>
            <a:spcAft>
              <a:spcPts val="600"/>
            </a:spcAft>
            <a:buNone/>
          </a:pPr>
          <a:r>
            <a:rPr lang="en-US" sz="1050" b="1" kern="1200">
              <a:latin typeface="Century Gothic" panose="020B0502020202020204" pitchFamily="34" charset="0"/>
            </a:rPr>
            <a:t>Information Sharing and Communication within the Advocates Group</a:t>
          </a:r>
          <a:endParaRPr lang="en-US" sz="1050" kern="1200">
            <a:latin typeface="Century Gothic" panose="020B0502020202020204" pitchFamily="34" charset="0"/>
          </a:endParaRPr>
        </a:p>
      </dsp:txBody>
      <dsp:txXfrm>
        <a:off x="292024" y="3023456"/>
        <a:ext cx="3805072" cy="327255"/>
      </dsp:txXfrm>
    </dsp:sp>
    <dsp:sp modelId="{F6044B4C-6CEB-426F-92E4-656D4D9014DC}">
      <dsp:nvSpPr>
        <dsp:cNvPr id="0" name=""/>
        <dsp:cNvSpPr/>
      </dsp:nvSpPr>
      <dsp:spPr>
        <a:xfrm>
          <a:off x="0" y="3984016"/>
          <a:ext cx="5486400" cy="418162"/>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5806" tIns="187452" rIns="425806" bIns="78232" numCol="1" spcCol="1270" anchor="t" anchorCtr="0">
          <a:noAutofit/>
        </a:bodyPr>
        <a:lstStyle/>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Incorporation of Additional Information into the Public Facing Metrics</a:t>
          </a:r>
        </a:p>
      </dsp:txBody>
      <dsp:txXfrm>
        <a:off x="0" y="3984016"/>
        <a:ext cx="5486400" cy="418162"/>
      </dsp:txXfrm>
    </dsp:sp>
    <dsp:sp modelId="{1F05AC3A-9713-4E87-9A2A-911916144615}">
      <dsp:nvSpPr>
        <dsp:cNvPr id="0" name=""/>
        <dsp:cNvSpPr/>
      </dsp:nvSpPr>
      <dsp:spPr>
        <a:xfrm>
          <a:off x="274320" y="3851176"/>
          <a:ext cx="3840480" cy="26568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66725">
            <a:lnSpc>
              <a:spcPct val="90000"/>
            </a:lnSpc>
            <a:spcBef>
              <a:spcPts val="600"/>
            </a:spcBef>
            <a:spcAft>
              <a:spcPts val="600"/>
            </a:spcAft>
            <a:buNone/>
          </a:pPr>
          <a:r>
            <a:rPr lang="en-US" sz="1050" kern="1200">
              <a:latin typeface="Century Gothic" panose="020B0502020202020204" pitchFamily="34" charset="0"/>
            </a:rPr>
            <a:t> </a:t>
          </a:r>
          <a:r>
            <a:rPr lang="en-US" sz="1050" b="1" kern="1200">
              <a:latin typeface="Century Gothic" panose="020B0502020202020204" pitchFamily="34" charset="0"/>
            </a:rPr>
            <a:t>Data Metrics</a:t>
          </a:r>
          <a:r>
            <a:rPr lang="en-US" sz="1050" kern="1200">
              <a:latin typeface="Century Gothic" panose="020B0502020202020204" pitchFamily="34" charset="0"/>
            </a:rPr>
            <a:t> </a:t>
          </a:r>
        </a:p>
      </dsp:txBody>
      <dsp:txXfrm>
        <a:off x="287289" y="3864145"/>
        <a:ext cx="3814542" cy="239742"/>
      </dsp:txXfrm>
    </dsp:sp>
    <dsp:sp modelId="{48D30773-AF76-4E5A-9705-F37212DC746A}">
      <dsp:nvSpPr>
        <dsp:cNvPr id="0" name=""/>
        <dsp:cNvSpPr/>
      </dsp:nvSpPr>
      <dsp:spPr>
        <a:xfrm>
          <a:off x="0" y="4583618"/>
          <a:ext cx="5486400" cy="864675"/>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5806" tIns="187452" rIns="425806" bIns="78232" numCol="1" spcCol="1270" anchor="t" anchorCtr="0">
          <a:noAutofit/>
        </a:bodyPr>
        <a:lstStyle/>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Enhancements to the Collaboration Model</a:t>
          </a:r>
        </a:p>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Creation of a Joint Success Plan</a:t>
          </a:r>
        </a:p>
        <a:p>
          <a:pPr marL="57150" lvl="1" indent="-57150" algn="l" defTabSz="466725">
            <a:lnSpc>
              <a:spcPct val="90000"/>
            </a:lnSpc>
            <a:spcBef>
              <a:spcPts val="600"/>
            </a:spcBef>
            <a:spcAft>
              <a:spcPts val="600"/>
            </a:spcAft>
            <a:buChar char="•"/>
          </a:pPr>
          <a:r>
            <a:rPr lang="en-US" sz="1050" kern="1200">
              <a:latin typeface="Century Gothic" panose="020B0502020202020204" pitchFamily="34" charset="0"/>
            </a:rPr>
            <a:t>Stakeholder Visioning Session</a:t>
          </a:r>
        </a:p>
      </dsp:txBody>
      <dsp:txXfrm>
        <a:off x="0" y="4583618"/>
        <a:ext cx="5486400" cy="864675"/>
      </dsp:txXfrm>
    </dsp:sp>
    <dsp:sp modelId="{9BBC44B8-8473-4282-98D7-B102069A805D}">
      <dsp:nvSpPr>
        <dsp:cNvPr id="0" name=""/>
        <dsp:cNvSpPr/>
      </dsp:nvSpPr>
      <dsp:spPr>
        <a:xfrm>
          <a:off x="274320" y="4450778"/>
          <a:ext cx="3840480" cy="26568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66725">
            <a:lnSpc>
              <a:spcPct val="90000"/>
            </a:lnSpc>
            <a:spcBef>
              <a:spcPts val="600"/>
            </a:spcBef>
            <a:spcAft>
              <a:spcPts val="600"/>
            </a:spcAft>
            <a:buNone/>
          </a:pPr>
          <a:r>
            <a:rPr lang="en-US" sz="1050" b="1" kern="1200">
              <a:latin typeface="Century Gothic" panose="020B0502020202020204" pitchFamily="34" charset="0"/>
            </a:rPr>
            <a:t>CalSAWS Project Decision Making, and Transparency</a:t>
          </a:r>
          <a:endParaRPr lang="en-US" sz="1050" kern="1200">
            <a:latin typeface="Century Gothic" panose="020B0502020202020204" pitchFamily="34" charset="0"/>
          </a:endParaRPr>
        </a:p>
      </dsp:txBody>
      <dsp:txXfrm>
        <a:off x="287289" y="4463747"/>
        <a:ext cx="3814542" cy="23974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22E5A01-AD9C-4349-953D-4415BBE87B1E}">
      <dsp:nvSpPr>
        <dsp:cNvPr id="0" name=""/>
        <dsp:cNvSpPr/>
      </dsp:nvSpPr>
      <dsp:spPr>
        <a:xfrm>
          <a:off x="0" y="0"/>
          <a:ext cx="5309507" cy="0"/>
        </a:xfrm>
        <a:prstGeom prst="line">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79274CB-C3A7-41F8-A31C-BF639CAAA5CE}">
      <dsp:nvSpPr>
        <dsp:cNvPr id="0" name=""/>
        <dsp:cNvSpPr/>
      </dsp:nvSpPr>
      <dsp:spPr>
        <a:xfrm>
          <a:off x="0" y="0"/>
          <a:ext cx="5309507" cy="8334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ctr" defTabSz="466725">
            <a:lnSpc>
              <a:spcPct val="90000"/>
            </a:lnSpc>
            <a:spcBef>
              <a:spcPct val="0"/>
            </a:spcBef>
            <a:spcAft>
              <a:spcPct val="35000"/>
            </a:spcAft>
            <a:buClr>
              <a:srgbClr val="2B3A44"/>
            </a:buClr>
            <a:buSzPts val="1100"/>
            <a:buFont typeface="Symbol" panose="05050102010706020507" pitchFamily="18" charset="2"/>
            <a:buNone/>
          </a:pPr>
          <a:r>
            <a:rPr lang="en-US" sz="1050" b="1" kern="1200">
              <a:latin typeface="Century Gothic" panose="020B0502020202020204" pitchFamily="34" charset="0"/>
            </a:rPr>
            <a:t>Time to Deliver.</a:t>
          </a:r>
          <a:r>
            <a:rPr lang="en-US" sz="1050" kern="1200">
              <a:latin typeface="Century Gothic" panose="020B0502020202020204" pitchFamily="34" charset="0"/>
            </a:rPr>
            <a:t> </a:t>
          </a:r>
        </a:p>
        <a:p>
          <a:pPr marL="0" lvl="0" indent="0" algn="ctr" defTabSz="466725">
            <a:lnSpc>
              <a:spcPct val="90000"/>
            </a:lnSpc>
            <a:spcBef>
              <a:spcPct val="0"/>
            </a:spcBef>
            <a:spcAft>
              <a:spcPct val="35000"/>
            </a:spcAft>
            <a:buClr>
              <a:srgbClr val="2B3A44"/>
            </a:buClr>
            <a:buSzPts val="1100"/>
            <a:buFont typeface="Symbol" panose="05050102010706020507" pitchFamily="18" charset="2"/>
            <a:buNone/>
          </a:pPr>
          <a:r>
            <a:rPr lang="en-US" sz="1050" kern="1200">
              <a:latin typeface="Century Gothic" panose="020B0502020202020204" pitchFamily="34" charset="0"/>
            </a:rPr>
            <a:t>What is the schedule for each contractor to be able to deliver the redundant scope? Can one or both contractors meet the date needed?</a:t>
          </a:r>
        </a:p>
      </dsp:txBody>
      <dsp:txXfrm>
        <a:off x="0" y="0"/>
        <a:ext cx="5309507" cy="833437"/>
      </dsp:txXfrm>
    </dsp:sp>
    <dsp:sp modelId="{20ECAFCB-79AC-488F-B190-9626CD135845}">
      <dsp:nvSpPr>
        <dsp:cNvPr id="0" name=""/>
        <dsp:cNvSpPr/>
      </dsp:nvSpPr>
      <dsp:spPr>
        <a:xfrm>
          <a:off x="0" y="833437"/>
          <a:ext cx="5309507" cy="0"/>
        </a:xfrm>
        <a:prstGeom prst="line">
          <a:avLst/>
        </a:prstGeom>
        <a:solidFill>
          <a:schemeClr val="accent4">
            <a:hueOff val="2199979"/>
            <a:satOff val="-9734"/>
            <a:lumOff val="-1634"/>
            <a:alphaOff val="0"/>
          </a:schemeClr>
        </a:solidFill>
        <a:ln w="12700" cap="flat" cmpd="sng" algn="ctr">
          <a:solidFill>
            <a:schemeClr val="accent4">
              <a:hueOff val="2199979"/>
              <a:satOff val="-9734"/>
              <a:lumOff val="-163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B1B77EA-2D4E-4025-BF98-CCB65F098DE2}">
      <dsp:nvSpPr>
        <dsp:cNvPr id="0" name=""/>
        <dsp:cNvSpPr/>
      </dsp:nvSpPr>
      <dsp:spPr>
        <a:xfrm>
          <a:off x="0" y="833437"/>
          <a:ext cx="5309507" cy="8334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ctr" defTabSz="466725">
            <a:lnSpc>
              <a:spcPct val="90000"/>
            </a:lnSpc>
            <a:spcBef>
              <a:spcPct val="0"/>
            </a:spcBef>
            <a:spcAft>
              <a:spcPct val="35000"/>
            </a:spcAft>
            <a:buClr>
              <a:srgbClr val="2B3A44"/>
            </a:buClr>
            <a:buSzPts val="1100"/>
            <a:buFont typeface="Symbol" panose="05050102010706020507" pitchFamily="18" charset="2"/>
            <a:buNone/>
          </a:pPr>
          <a:r>
            <a:rPr lang="en-US" sz="1050" b="1" kern="1200">
              <a:latin typeface="Century Gothic" panose="020B0502020202020204" pitchFamily="34" charset="0"/>
            </a:rPr>
            <a:t>Price of the Redundant Work Effort.</a:t>
          </a:r>
          <a:r>
            <a:rPr lang="en-US" sz="1050" kern="1200">
              <a:latin typeface="Century Gothic" panose="020B0502020202020204" pitchFamily="34" charset="0"/>
            </a:rPr>
            <a:t> </a:t>
          </a:r>
        </a:p>
        <a:p>
          <a:pPr marL="0" lvl="0" indent="0" algn="ctr" defTabSz="466725">
            <a:lnSpc>
              <a:spcPct val="90000"/>
            </a:lnSpc>
            <a:spcBef>
              <a:spcPct val="0"/>
            </a:spcBef>
            <a:spcAft>
              <a:spcPct val="35000"/>
            </a:spcAft>
            <a:buClr>
              <a:srgbClr val="2B3A44"/>
            </a:buClr>
            <a:buSzPts val="1100"/>
            <a:buFont typeface="Symbol" panose="05050102010706020507" pitchFamily="18" charset="2"/>
            <a:buNone/>
          </a:pPr>
          <a:r>
            <a:rPr lang="en-US" sz="1050" kern="1200">
              <a:latin typeface="Century Gothic" panose="020B0502020202020204" pitchFamily="34" charset="0"/>
            </a:rPr>
            <a:t>What is the price from each contractor for the redundant scope? Do the prices appear reasonable (neither too low to reasonably deliver nor unexpectedly high as compared to each other)?</a:t>
          </a:r>
        </a:p>
      </dsp:txBody>
      <dsp:txXfrm>
        <a:off x="0" y="833437"/>
        <a:ext cx="5309507" cy="833437"/>
      </dsp:txXfrm>
    </dsp:sp>
    <dsp:sp modelId="{64C7A44C-57F0-4F95-8B58-4290C7F41465}">
      <dsp:nvSpPr>
        <dsp:cNvPr id="0" name=""/>
        <dsp:cNvSpPr/>
      </dsp:nvSpPr>
      <dsp:spPr>
        <a:xfrm>
          <a:off x="0" y="1666874"/>
          <a:ext cx="5309507" cy="0"/>
        </a:xfrm>
        <a:prstGeom prst="line">
          <a:avLst/>
        </a:prstGeom>
        <a:solidFill>
          <a:schemeClr val="accent4">
            <a:hueOff val="4399958"/>
            <a:satOff val="-19468"/>
            <a:lumOff val="-3269"/>
            <a:alphaOff val="0"/>
          </a:schemeClr>
        </a:solidFill>
        <a:ln w="12700" cap="flat" cmpd="sng" algn="ctr">
          <a:solidFill>
            <a:schemeClr val="accent4">
              <a:hueOff val="4399958"/>
              <a:satOff val="-19468"/>
              <a:lumOff val="-326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EC3EC5B-5FED-4521-AFA2-A1A5B712F440}">
      <dsp:nvSpPr>
        <dsp:cNvPr id="0" name=""/>
        <dsp:cNvSpPr/>
      </dsp:nvSpPr>
      <dsp:spPr>
        <a:xfrm>
          <a:off x="0" y="1666874"/>
          <a:ext cx="5309507" cy="8334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ctr" defTabSz="466725">
            <a:lnSpc>
              <a:spcPct val="90000"/>
            </a:lnSpc>
            <a:spcBef>
              <a:spcPct val="0"/>
            </a:spcBef>
            <a:spcAft>
              <a:spcPct val="35000"/>
            </a:spcAft>
            <a:buNone/>
          </a:pPr>
          <a:r>
            <a:rPr lang="en-US" sz="1050" b="1" kern="1200">
              <a:latin typeface="Century Gothic" panose="020B0502020202020204" pitchFamily="34" charset="0"/>
            </a:rPr>
            <a:t>Ongoing Operational Responsibility.</a:t>
          </a:r>
          <a:endParaRPr lang="en-US" sz="1050" kern="1200">
            <a:latin typeface="Century Gothic" panose="020B0502020202020204" pitchFamily="34" charset="0"/>
          </a:endParaRPr>
        </a:p>
        <a:p>
          <a:pPr marL="0" lvl="0" indent="0" algn="ctr" defTabSz="466725">
            <a:lnSpc>
              <a:spcPct val="90000"/>
            </a:lnSpc>
            <a:spcBef>
              <a:spcPct val="0"/>
            </a:spcBef>
            <a:spcAft>
              <a:spcPct val="35000"/>
            </a:spcAft>
            <a:buNone/>
          </a:pPr>
          <a:r>
            <a:rPr lang="en-US" sz="1050" kern="1200">
              <a:latin typeface="Century Gothic" panose="020B0502020202020204" pitchFamily="34" charset="0"/>
            </a:rPr>
            <a:t>Is one of the contractors clearly responsible for the ongoing operational responsibility?</a:t>
          </a:r>
        </a:p>
      </dsp:txBody>
      <dsp:txXfrm>
        <a:off x="0" y="1666874"/>
        <a:ext cx="5309507" cy="833437"/>
      </dsp:txXfrm>
    </dsp:sp>
    <dsp:sp modelId="{C5053444-C9D6-4858-853D-E7A15A0419F1}">
      <dsp:nvSpPr>
        <dsp:cNvPr id="0" name=""/>
        <dsp:cNvSpPr/>
      </dsp:nvSpPr>
      <dsp:spPr>
        <a:xfrm>
          <a:off x="0" y="2500312"/>
          <a:ext cx="5309507" cy="0"/>
        </a:xfrm>
        <a:prstGeom prst="line">
          <a:avLst/>
        </a:prstGeom>
        <a:solidFill>
          <a:schemeClr val="accent4">
            <a:hueOff val="6599937"/>
            <a:satOff val="-29202"/>
            <a:lumOff val="-4903"/>
            <a:alphaOff val="0"/>
          </a:schemeClr>
        </a:solidFill>
        <a:ln w="12700" cap="flat" cmpd="sng" algn="ctr">
          <a:solidFill>
            <a:schemeClr val="accent4">
              <a:hueOff val="6599937"/>
              <a:satOff val="-29202"/>
              <a:lumOff val="-490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F05AE57-3E4D-4D93-A85E-067D8D7AD7F2}">
      <dsp:nvSpPr>
        <dsp:cNvPr id="0" name=""/>
        <dsp:cNvSpPr/>
      </dsp:nvSpPr>
      <dsp:spPr>
        <a:xfrm>
          <a:off x="0" y="2500312"/>
          <a:ext cx="5309507" cy="8334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ctr" defTabSz="466725">
            <a:lnSpc>
              <a:spcPct val="90000"/>
            </a:lnSpc>
            <a:spcBef>
              <a:spcPct val="0"/>
            </a:spcBef>
            <a:spcAft>
              <a:spcPct val="35000"/>
            </a:spcAft>
            <a:buClr>
              <a:srgbClr val="2B3A44"/>
            </a:buClr>
            <a:buSzPts val="1100"/>
            <a:buFont typeface="Symbol" panose="05050102010706020507" pitchFamily="18" charset="2"/>
            <a:buNone/>
          </a:pPr>
          <a:r>
            <a:rPr lang="en-US" sz="1050" b="1" kern="1200">
              <a:latin typeface="Century Gothic" panose="020B0502020202020204" pitchFamily="34" charset="0"/>
            </a:rPr>
            <a:t>Technical Solution.</a:t>
          </a:r>
          <a:r>
            <a:rPr lang="en-US" sz="1050" kern="1200">
              <a:latin typeface="Century Gothic" panose="020B0502020202020204" pitchFamily="34" charset="0"/>
            </a:rPr>
            <a:t> </a:t>
          </a:r>
        </a:p>
        <a:p>
          <a:pPr marL="0" lvl="0" indent="0" algn="ctr" defTabSz="466725">
            <a:lnSpc>
              <a:spcPct val="90000"/>
            </a:lnSpc>
            <a:spcBef>
              <a:spcPct val="0"/>
            </a:spcBef>
            <a:spcAft>
              <a:spcPct val="35000"/>
            </a:spcAft>
            <a:buClr>
              <a:srgbClr val="2B3A44"/>
            </a:buClr>
            <a:buSzPts val="1100"/>
            <a:buFont typeface="Symbol" panose="05050102010706020507" pitchFamily="18" charset="2"/>
            <a:buNone/>
          </a:pPr>
          <a:r>
            <a:rPr lang="en-US" sz="1050" kern="1200">
              <a:latin typeface="Century Gothic" panose="020B0502020202020204" pitchFamily="34" charset="0"/>
            </a:rPr>
            <a:t>Is either contractor’s proposed solution better aligned to the business and/or the CalSAWS technical architecture? Is either solution introducing desired innovation?</a:t>
          </a:r>
        </a:p>
      </dsp:txBody>
      <dsp:txXfrm>
        <a:off x="0" y="2500312"/>
        <a:ext cx="5309507" cy="83343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74F2236-E6E9-48D7-B9D8-8F9280B17026}">
      <dsp:nvSpPr>
        <dsp:cNvPr id="0" name=""/>
        <dsp:cNvSpPr/>
      </dsp:nvSpPr>
      <dsp:spPr>
        <a:xfrm>
          <a:off x="2309354" y="1177"/>
          <a:ext cx="1149044" cy="746879"/>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baseline="0"/>
            <a:t>Define Roles and Responsibilities</a:t>
          </a:r>
        </a:p>
      </dsp:txBody>
      <dsp:txXfrm>
        <a:off x="2345814" y="37637"/>
        <a:ext cx="1076124" cy="673959"/>
      </dsp:txXfrm>
    </dsp:sp>
    <dsp:sp modelId="{D658EFBF-8831-4CB9-8ADF-02C198948E7F}">
      <dsp:nvSpPr>
        <dsp:cNvPr id="0" name=""/>
        <dsp:cNvSpPr/>
      </dsp:nvSpPr>
      <dsp:spPr>
        <a:xfrm>
          <a:off x="1125826" y="374617"/>
          <a:ext cx="3516100" cy="3516100"/>
        </a:xfrm>
        <a:custGeom>
          <a:avLst/>
          <a:gdLst/>
          <a:ahLst/>
          <a:cxnLst/>
          <a:rect l="0" t="0" r="0" b="0"/>
          <a:pathLst>
            <a:path>
              <a:moveTo>
                <a:pt x="2339899" y="99076"/>
              </a:moveTo>
              <a:arcTo wR="1758050" hR="1758050" stAng="17359633" swAng="1499283"/>
            </a:path>
          </a:pathLst>
        </a:custGeom>
        <a:noFill/>
        <a:ln w="6350" cap="flat" cmpd="sng" algn="ctr">
          <a:solidFill>
            <a:schemeClr val="accent4">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2EDA4303-6148-4331-98FA-DDED7A9A36A4}">
      <dsp:nvSpPr>
        <dsp:cNvPr id="0" name=""/>
        <dsp:cNvSpPr/>
      </dsp:nvSpPr>
      <dsp:spPr>
        <a:xfrm>
          <a:off x="3831870" y="880202"/>
          <a:ext cx="1149044" cy="746879"/>
        </a:xfrm>
        <a:prstGeom prst="roundRect">
          <a:avLst/>
        </a:prstGeom>
        <a:solidFill>
          <a:schemeClr val="accent4">
            <a:hueOff val="1319987"/>
            <a:satOff val="-5840"/>
            <a:lumOff val="-98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baseline="0"/>
            <a:t> Establish Clear Communication Channels</a:t>
          </a:r>
        </a:p>
      </dsp:txBody>
      <dsp:txXfrm>
        <a:off x="3868330" y="916662"/>
        <a:ext cx="1076124" cy="673959"/>
      </dsp:txXfrm>
    </dsp:sp>
    <dsp:sp modelId="{3BB1A883-6E56-4940-ABC5-1C5C644D4E79}">
      <dsp:nvSpPr>
        <dsp:cNvPr id="0" name=""/>
        <dsp:cNvSpPr/>
      </dsp:nvSpPr>
      <dsp:spPr>
        <a:xfrm>
          <a:off x="1125826" y="374617"/>
          <a:ext cx="3516100" cy="3516100"/>
        </a:xfrm>
        <a:custGeom>
          <a:avLst/>
          <a:gdLst/>
          <a:ahLst/>
          <a:cxnLst/>
          <a:rect l="0" t="0" r="0" b="0"/>
          <a:pathLst>
            <a:path>
              <a:moveTo>
                <a:pt x="3444713" y="1262157"/>
              </a:moveTo>
              <a:arcTo wR="1758050" hR="1758050" stAng="20616974" swAng="1966053"/>
            </a:path>
          </a:pathLst>
        </a:custGeom>
        <a:noFill/>
        <a:ln w="6350" cap="flat" cmpd="sng" algn="ctr">
          <a:solidFill>
            <a:schemeClr val="accent4">
              <a:hueOff val="1319987"/>
              <a:satOff val="-5840"/>
              <a:lumOff val="-981"/>
              <a:alphaOff val="0"/>
            </a:schemeClr>
          </a:solidFill>
          <a:prstDash val="solid"/>
          <a:miter lim="800000"/>
        </a:ln>
        <a:effectLst/>
      </dsp:spPr>
      <dsp:style>
        <a:lnRef idx="1">
          <a:scrgbClr r="0" g="0" b="0"/>
        </a:lnRef>
        <a:fillRef idx="0">
          <a:scrgbClr r="0" g="0" b="0"/>
        </a:fillRef>
        <a:effectRef idx="0">
          <a:scrgbClr r="0" g="0" b="0"/>
        </a:effectRef>
        <a:fontRef idx="minor"/>
      </dsp:style>
    </dsp:sp>
    <dsp:sp modelId="{AAEFA79F-45EF-4F09-92CB-BDC409426762}">
      <dsp:nvSpPr>
        <dsp:cNvPr id="0" name=""/>
        <dsp:cNvSpPr/>
      </dsp:nvSpPr>
      <dsp:spPr>
        <a:xfrm>
          <a:off x="3831870" y="2638253"/>
          <a:ext cx="1149044" cy="746879"/>
        </a:xfrm>
        <a:prstGeom prst="roundRect">
          <a:avLst/>
        </a:prstGeom>
        <a:solidFill>
          <a:schemeClr val="accent4">
            <a:hueOff val="2639975"/>
            <a:satOff val="-11681"/>
            <a:lumOff val="-196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baseline="0"/>
            <a:t>Define Touchpoints and Handoffs</a:t>
          </a:r>
        </a:p>
      </dsp:txBody>
      <dsp:txXfrm>
        <a:off x="3868330" y="2674713"/>
        <a:ext cx="1076124" cy="673959"/>
      </dsp:txXfrm>
    </dsp:sp>
    <dsp:sp modelId="{C3B2C824-0324-4FB3-A1D0-4A39AD3F57FC}">
      <dsp:nvSpPr>
        <dsp:cNvPr id="0" name=""/>
        <dsp:cNvSpPr/>
      </dsp:nvSpPr>
      <dsp:spPr>
        <a:xfrm>
          <a:off x="1125826" y="374617"/>
          <a:ext cx="3516100" cy="3516100"/>
        </a:xfrm>
        <a:custGeom>
          <a:avLst/>
          <a:gdLst/>
          <a:ahLst/>
          <a:cxnLst/>
          <a:rect l="0" t="0" r="0" b="0"/>
          <a:pathLst>
            <a:path>
              <a:moveTo>
                <a:pt x="2986234" y="3015947"/>
              </a:moveTo>
              <a:arcTo wR="1758050" hR="1758050" stAng="2741084" swAng="1499283"/>
            </a:path>
          </a:pathLst>
        </a:custGeom>
        <a:noFill/>
        <a:ln w="6350" cap="flat" cmpd="sng" algn="ctr">
          <a:solidFill>
            <a:schemeClr val="accent4">
              <a:hueOff val="2639975"/>
              <a:satOff val="-11681"/>
              <a:lumOff val="-1961"/>
              <a:alphaOff val="0"/>
            </a:schemeClr>
          </a:solidFill>
          <a:prstDash val="solid"/>
          <a:miter lim="800000"/>
        </a:ln>
        <a:effectLst/>
      </dsp:spPr>
      <dsp:style>
        <a:lnRef idx="1">
          <a:scrgbClr r="0" g="0" b="0"/>
        </a:lnRef>
        <a:fillRef idx="0">
          <a:scrgbClr r="0" g="0" b="0"/>
        </a:fillRef>
        <a:effectRef idx="0">
          <a:scrgbClr r="0" g="0" b="0"/>
        </a:effectRef>
        <a:fontRef idx="minor"/>
      </dsp:style>
    </dsp:sp>
    <dsp:sp modelId="{2341D94F-40B8-402D-90F2-A013EC580339}">
      <dsp:nvSpPr>
        <dsp:cNvPr id="0" name=""/>
        <dsp:cNvSpPr/>
      </dsp:nvSpPr>
      <dsp:spPr>
        <a:xfrm>
          <a:off x="2309354" y="3517278"/>
          <a:ext cx="1149044" cy="746879"/>
        </a:xfrm>
        <a:prstGeom prst="roundRect">
          <a:avLst/>
        </a:prstGeom>
        <a:solidFill>
          <a:schemeClr val="accent4">
            <a:hueOff val="3959962"/>
            <a:satOff val="-17521"/>
            <a:lumOff val="-294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baseline="0"/>
            <a:t>Define Governance and Escalation Procedures</a:t>
          </a:r>
        </a:p>
      </dsp:txBody>
      <dsp:txXfrm>
        <a:off x="2345814" y="3553738"/>
        <a:ext cx="1076124" cy="673959"/>
      </dsp:txXfrm>
    </dsp:sp>
    <dsp:sp modelId="{2E1E96D3-7B97-428C-9599-E4515D4557CB}">
      <dsp:nvSpPr>
        <dsp:cNvPr id="0" name=""/>
        <dsp:cNvSpPr/>
      </dsp:nvSpPr>
      <dsp:spPr>
        <a:xfrm>
          <a:off x="1125826" y="374617"/>
          <a:ext cx="3516100" cy="3516100"/>
        </a:xfrm>
        <a:custGeom>
          <a:avLst/>
          <a:gdLst/>
          <a:ahLst/>
          <a:cxnLst/>
          <a:rect l="0" t="0" r="0" b="0"/>
          <a:pathLst>
            <a:path>
              <a:moveTo>
                <a:pt x="1176201" y="3417023"/>
              </a:moveTo>
              <a:arcTo wR="1758050" hR="1758050" stAng="6559633" swAng="1499283"/>
            </a:path>
          </a:pathLst>
        </a:custGeom>
        <a:noFill/>
        <a:ln w="6350" cap="flat" cmpd="sng" algn="ctr">
          <a:solidFill>
            <a:schemeClr val="accent4">
              <a:hueOff val="3959962"/>
              <a:satOff val="-17521"/>
              <a:lumOff val="-2942"/>
              <a:alphaOff val="0"/>
            </a:schemeClr>
          </a:solidFill>
          <a:prstDash val="solid"/>
          <a:miter lim="800000"/>
        </a:ln>
        <a:effectLst/>
      </dsp:spPr>
      <dsp:style>
        <a:lnRef idx="1">
          <a:scrgbClr r="0" g="0" b="0"/>
        </a:lnRef>
        <a:fillRef idx="0">
          <a:scrgbClr r="0" g="0" b="0"/>
        </a:fillRef>
        <a:effectRef idx="0">
          <a:scrgbClr r="0" g="0" b="0"/>
        </a:effectRef>
        <a:fontRef idx="minor"/>
      </dsp:style>
    </dsp:sp>
    <dsp:sp modelId="{4C6D1134-EB72-4CA9-9543-8BBE4F5EBF6A}">
      <dsp:nvSpPr>
        <dsp:cNvPr id="0" name=""/>
        <dsp:cNvSpPr/>
      </dsp:nvSpPr>
      <dsp:spPr>
        <a:xfrm>
          <a:off x="786838" y="2638253"/>
          <a:ext cx="1149044" cy="746879"/>
        </a:xfrm>
        <a:prstGeom prst="roundRect">
          <a:avLst/>
        </a:prstGeom>
        <a:solidFill>
          <a:schemeClr val="accent4">
            <a:hueOff val="5279950"/>
            <a:satOff val="-23362"/>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baseline="0"/>
            <a:t>Standardize Processes When Applicable</a:t>
          </a:r>
        </a:p>
      </dsp:txBody>
      <dsp:txXfrm>
        <a:off x="823298" y="2674713"/>
        <a:ext cx="1076124" cy="673959"/>
      </dsp:txXfrm>
    </dsp:sp>
    <dsp:sp modelId="{9EF03A94-B3F8-48A4-90D6-A69EE80D84BD}">
      <dsp:nvSpPr>
        <dsp:cNvPr id="0" name=""/>
        <dsp:cNvSpPr/>
      </dsp:nvSpPr>
      <dsp:spPr>
        <a:xfrm>
          <a:off x="1125826" y="374617"/>
          <a:ext cx="3516100" cy="3516100"/>
        </a:xfrm>
        <a:custGeom>
          <a:avLst/>
          <a:gdLst/>
          <a:ahLst/>
          <a:cxnLst/>
          <a:rect l="0" t="0" r="0" b="0"/>
          <a:pathLst>
            <a:path>
              <a:moveTo>
                <a:pt x="71387" y="2253943"/>
              </a:moveTo>
              <a:arcTo wR="1758050" hR="1758050" stAng="9816974" swAng="1966053"/>
            </a:path>
          </a:pathLst>
        </a:custGeom>
        <a:noFill/>
        <a:ln w="6350" cap="flat" cmpd="sng" algn="ctr">
          <a:solidFill>
            <a:schemeClr val="accent4">
              <a:hueOff val="5279950"/>
              <a:satOff val="-23362"/>
              <a:lumOff val="-3922"/>
              <a:alphaOff val="0"/>
            </a:schemeClr>
          </a:solidFill>
          <a:prstDash val="solid"/>
          <a:miter lim="800000"/>
        </a:ln>
        <a:effectLst/>
      </dsp:spPr>
      <dsp:style>
        <a:lnRef idx="1">
          <a:scrgbClr r="0" g="0" b="0"/>
        </a:lnRef>
        <a:fillRef idx="0">
          <a:scrgbClr r="0" g="0" b="0"/>
        </a:fillRef>
        <a:effectRef idx="0">
          <a:scrgbClr r="0" g="0" b="0"/>
        </a:effectRef>
        <a:fontRef idx="minor"/>
      </dsp:style>
    </dsp:sp>
    <dsp:sp modelId="{7413DDAA-E323-4E3F-92AB-69FC5FF4C9FD}">
      <dsp:nvSpPr>
        <dsp:cNvPr id="0" name=""/>
        <dsp:cNvSpPr/>
      </dsp:nvSpPr>
      <dsp:spPr>
        <a:xfrm>
          <a:off x="786838" y="880202"/>
          <a:ext cx="1149044" cy="746879"/>
        </a:xfrm>
        <a:prstGeom prst="roundRect">
          <a:avLst/>
        </a:prstGeom>
        <a:solidFill>
          <a:schemeClr val="accent4">
            <a:hueOff val="6599937"/>
            <a:satOff val="-29202"/>
            <a:lumOff val="-490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baseline="0"/>
            <a:t>Build Solid Relationships</a:t>
          </a:r>
        </a:p>
      </dsp:txBody>
      <dsp:txXfrm>
        <a:off x="823298" y="916662"/>
        <a:ext cx="1076124" cy="673959"/>
      </dsp:txXfrm>
    </dsp:sp>
    <dsp:sp modelId="{5A1CDC3B-8B80-41B7-8EBE-F3534E3FE1FA}">
      <dsp:nvSpPr>
        <dsp:cNvPr id="0" name=""/>
        <dsp:cNvSpPr/>
      </dsp:nvSpPr>
      <dsp:spPr>
        <a:xfrm>
          <a:off x="1125826" y="374617"/>
          <a:ext cx="3516100" cy="3516100"/>
        </a:xfrm>
        <a:custGeom>
          <a:avLst/>
          <a:gdLst/>
          <a:ahLst/>
          <a:cxnLst/>
          <a:rect l="0" t="0" r="0" b="0"/>
          <a:pathLst>
            <a:path>
              <a:moveTo>
                <a:pt x="529866" y="500153"/>
              </a:moveTo>
              <a:arcTo wR="1758050" hR="1758050" stAng="13541084" swAng="1499283"/>
            </a:path>
          </a:pathLst>
        </a:custGeom>
        <a:noFill/>
        <a:ln w="6350" cap="flat" cmpd="sng" algn="ctr">
          <a:solidFill>
            <a:schemeClr val="accent4">
              <a:hueOff val="6599937"/>
              <a:satOff val="-29202"/>
              <a:lumOff val="-4903"/>
              <a:alphaOff val="0"/>
            </a:scheme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08552B-AB6D-4DCF-89A6-278AE0B6F90A}">
      <dsp:nvSpPr>
        <dsp:cNvPr id="0" name=""/>
        <dsp:cNvSpPr/>
      </dsp:nvSpPr>
      <dsp:spPr>
        <a:xfrm>
          <a:off x="0" y="3992"/>
          <a:ext cx="1371600" cy="8790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66725">
            <a:lnSpc>
              <a:spcPct val="90000"/>
            </a:lnSpc>
            <a:spcBef>
              <a:spcPct val="0"/>
            </a:spcBef>
            <a:spcAft>
              <a:spcPct val="35000"/>
            </a:spcAft>
            <a:buNone/>
          </a:pPr>
          <a:r>
            <a:rPr lang="en-US" sz="1050" kern="1200" dirty="0">
              <a:latin typeface="Century Gothic" panose="020B0502020202020204" pitchFamily="34" charset="0"/>
            </a:rPr>
            <a:t>Participate in the creation and execution of plans and processes to govern multiple contractors</a:t>
          </a:r>
          <a:endParaRPr lang="en-US" sz="1050" kern="1200">
            <a:latin typeface="Century Gothic" panose="020B0502020202020204" pitchFamily="34" charset="0"/>
          </a:endParaRPr>
        </a:p>
      </dsp:txBody>
      <dsp:txXfrm>
        <a:off x="0" y="3992"/>
        <a:ext cx="1371600" cy="879022"/>
      </dsp:txXfrm>
    </dsp:sp>
    <dsp:sp modelId="{C154F076-7A4C-4EBE-939E-436BB1823B57}">
      <dsp:nvSpPr>
        <dsp:cNvPr id="0" name=""/>
        <dsp:cNvSpPr/>
      </dsp:nvSpPr>
      <dsp:spPr>
        <a:xfrm>
          <a:off x="1371599" y="3992"/>
          <a:ext cx="274320" cy="879022"/>
        </a:xfrm>
        <a:prstGeom prst="leftBrace">
          <a:avLst>
            <a:gd name="adj1" fmla="val 35000"/>
            <a:gd name="adj2" fmla="val 50000"/>
          </a:avLst>
        </a:pr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F9DD486-DEDC-4BE7-8C54-737483A815A8}">
      <dsp:nvSpPr>
        <dsp:cNvPr id="0" name=""/>
        <dsp:cNvSpPr/>
      </dsp:nvSpPr>
      <dsp:spPr>
        <a:xfrm>
          <a:off x="1755647" y="3992"/>
          <a:ext cx="3730752" cy="879022"/>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ts val="300"/>
            </a:spcAft>
            <a:buClr>
              <a:schemeClr val="bg1"/>
            </a:buClr>
            <a:buChar char="•"/>
          </a:pPr>
          <a:r>
            <a:rPr lang="en-US" sz="1050" kern="1200" baseline="0" dirty="0">
              <a:latin typeface="Century Gothic" panose="020B0502020202020204" pitchFamily="34" charset="0"/>
            </a:rPr>
            <a:t>Partner on creation of a charter for the Delivery Integration Office (DIO)</a:t>
          </a:r>
          <a:endParaRPr lang="en-US" sz="1050" kern="1200" baseline="0">
            <a:latin typeface="Century Gothic" panose="020B0502020202020204" pitchFamily="34" charset="0"/>
          </a:endParaRPr>
        </a:p>
        <a:p>
          <a:pPr marL="57150" lvl="1" indent="-57150" algn="l" defTabSz="466725">
            <a:lnSpc>
              <a:spcPct val="90000"/>
            </a:lnSpc>
            <a:spcBef>
              <a:spcPct val="0"/>
            </a:spcBef>
            <a:spcAft>
              <a:spcPts val="300"/>
            </a:spcAft>
            <a:buClr>
              <a:schemeClr val="bg1"/>
            </a:buClr>
            <a:buChar char="•"/>
          </a:pPr>
          <a:r>
            <a:rPr lang="en-US" sz="1050" kern="1200" baseline="0" dirty="0">
              <a:latin typeface="Century Gothic" panose="020B0502020202020204" pitchFamily="34" charset="0"/>
            </a:rPr>
            <a:t>Continued development and review of cross organizational Standard Operating Procedures (SOP) in adherence to </a:t>
          </a:r>
          <a:r>
            <a:rPr lang="en-US" sz="1050" kern="1200" baseline="0" dirty="0" err="1">
              <a:latin typeface="Century Gothic" panose="020B0502020202020204" pitchFamily="34" charset="0"/>
            </a:rPr>
            <a:t>CalSAWS</a:t>
          </a:r>
          <a:r>
            <a:rPr lang="en-US" sz="1050" kern="1200" baseline="0" dirty="0">
              <a:latin typeface="Century Gothic" panose="020B0502020202020204" pitchFamily="34" charset="0"/>
            </a:rPr>
            <a:t> Policies</a:t>
          </a:r>
        </a:p>
      </dsp:txBody>
      <dsp:txXfrm>
        <a:off x="1755647" y="3992"/>
        <a:ext cx="3730752" cy="879022"/>
      </dsp:txXfrm>
    </dsp:sp>
    <dsp:sp modelId="{9D97AA6A-93EA-4982-9C0D-940A9B07A4DC}">
      <dsp:nvSpPr>
        <dsp:cNvPr id="0" name=""/>
        <dsp:cNvSpPr/>
      </dsp:nvSpPr>
      <dsp:spPr>
        <a:xfrm>
          <a:off x="0" y="1359590"/>
          <a:ext cx="1371600" cy="6130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66725">
            <a:lnSpc>
              <a:spcPct val="90000"/>
            </a:lnSpc>
            <a:spcBef>
              <a:spcPct val="0"/>
            </a:spcBef>
            <a:spcAft>
              <a:spcPct val="35000"/>
            </a:spcAft>
            <a:buNone/>
          </a:pPr>
          <a:r>
            <a:rPr lang="en-US" sz="1050" kern="1200" dirty="0">
              <a:latin typeface="Century Gothic" panose="020B0502020202020204" pitchFamily="34" charset="0"/>
            </a:rPr>
            <a:t>Monitor effectiveness of contractor interactions</a:t>
          </a:r>
          <a:endParaRPr lang="en-US" sz="1050" kern="1200">
            <a:latin typeface="Century Gothic" panose="020B0502020202020204" pitchFamily="34" charset="0"/>
          </a:endParaRPr>
        </a:p>
      </dsp:txBody>
      <dsp:txXfrm>
        <a:off x="0" y="1359590"/>
        <a:ext cx="1371600" cy="613002"/>
      </dsp:txXfrm>
    </dsp:sp>
    <dsp:sp modelId="{FAF2544B-A326-4642-862B-C70F8540973D}">
      <dsp:nvSpPr>
        <dsp:cNvPr id="0" name=""/>
        <dsp:cNvSpPr/>
      </dsp:nvSpPr>
      <dsp:spPr>
        <a:xfrm>
          <a:off x="1371600" y="899838"/>
          <a:ext cx="274320" cy="1532506"/>
        </a:xfrm>
        <a:prstGeom prst="leftBrace">
          <a:avLst>
            <a:gd name="adj1" fmla="val 35000"/>
            <a:gd name="adj2" fmla="val 50000"/>
          </a:avLst>
        </a:pr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DF44CD9-3D86-4BD3-B661-0B645B17E57A}">
      <dsp:nvSpPr>
        <dsp:cNvPr id="0" name=""/>
        <dsp:cNvSpPr/>
      </dsp:nvSpPr>
      <dsp:spPr>
        <a:xfrm>
          <a:off x="1755648" y="899838"/>
          <a:ext cx="3730752" cy="1532506"/>
        </a:xfrm>
        <a:prstGeom prst="rect">
          <a:avLst/>
        </a:prstGeom>
        <a:solidFill>
          <a:schemeClr val="accent4">
            <a:hueOff val="1319987"/>
            <a:satOff val="-5840"/>
            <a:lumOff val="-98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ts val="300"/>
            </a:spcAft>
            <a:buChar char="•"/>
          </a:pPr>
          <a:r>
            <a:rPr lang="en-US" sz="1050" kern="1200" dirty="0">
              <a:latin typeface="Century Gothic" panose="020B0502020202020204" pitchFamily="34" charset="0"/>
            </a:rPr>
            <a:t>Develop Metrics to measure:</a:t>
          </a:r>
        </a:p>
        <a:p>
          <a:pPr marL="274320" lvl="2" indent="-57150" algn="l" defTabSz="466725">
            <a:lnSpc>
              <a:spcPct val="90000"/>
            </a:lnSpc>
            <a:spcBef>
              <a:spcPct val="0"/>
            </a:spcBef>
            <a:spcAft>
              <a:spcPts val="300"/>
            </a:spcAft>
            <a:buChar char="•"/>
          </a:pPr>
          <a:r>
            <a:rPr lang="en-US" sz="1050" kern="1200" dirty="0">
              <a:latin typeface="Century Gothic" panose="020B0502020202020204" pitchFamily="34" charset="0"/>
            </a:rPr>
            <a:t>Adherence and participation to CalSAWS policies</a:t>
          </a:r>
        </a:p>
        <a:p>
          <a:pPr marL="274320" lvl="2" indent="-57150" algn="l" defTabSz="466725">
            <a:lnSpc>
              <a:spcPct val="90000"/>
            </a:lnSpc>
            <a:spcBef>
              <a:spcPct val="0"/>
            </a:spcBef>
            <a:spcAft>
              <a:spcPts val="300"/>
            </a:spcAft>
            <a:buChar char="•"/>
          </a:pPr>
          <a:r>
            <a:rPr lang="en-US" sz="1050" kern="1200" dirty="0">
              <a:latin typeface="Century Gothic" panose="020B0502020202020204" pitchFamily="34" charset="0"/>
            </a:rPr>
            <a:t>Timely identification and communication of impacts</a:t>
          </a:r>
        </a:p>
        <a:p>
          <a:pPr marL="274320" lvl="2" indent="-57150" algn="l" defTabSz="466725">
            <a:lnSpc>
              <a:spcPct val="90000"/>
            </a:lnSpc>
            <a:spcBef>
              <a:spcPct val="0"/>
            </a:spcBef>
            <a:spcAft>
              <a:spcPts val="300"/>
            </a:spcAft>
            <a:buChar char="•"/>
          </a:pPr>
          <a:r>
            <a:rPr lang="en-US" sz="1050" kern="1200" dirty="0">
              <a:latin typeface="Century Gothic" panose="020B0502020202020204" pitchFamily="34" charset="0"/>
            </a:rPr>
            <a:t>Quality of changes and impact to related services</a:t>
          </a:r>
        </a:p>
        <a:p>
          <a:pPr marL="274320" lvl="2" indent="-57150" algn="l" defTabSz="466725">
            <a:lnSpc>
              <a:spcPct val="90000"/>
            </a:lnSpc>
            <a:spcBef>
              <a:spcPct val="0"/>
            </a:spcBef>
            <a:spcAft>
              <a:spcPts val="300"/>
            </a:spcAft>
            <a:buChar char="•"/>
          </a:pPr>
          <a:r>
            <a:rPr lang="en-US" sz="1050" kern="1200" dirty="0">
              <a:latin typeface="Century Gothic" panose="020B0502020202020204" pitchFamily="34" charset="0"/>
            </a:rPr>
            <a:t>Defects related to gaps in requirements, related failed testing and documented decisions points</a:t>
          </a:r>
        </a:p>
        <a:p>
          <a:pPr marL="57150" lvl="1" indent="-57150" algn="l" defTabSz="466725">
            <a:lnSpc>
              <a:spcPct val="90000"/>
            </a:lnSpc>
            <a:spcBef>
              <a:spcPct val="0"/>
            </a:spcBef>
            <a:spcAft>
              <a:spcPts val="300"/>
            </a:spcAft>
            <a:buChar char="•"/>
          </a:pPr>
          <a:r>
            <a:rPr lang="en-US" sz="1050" kern="1200" dirty="0">
              <a:latin typeface="Century Gothic" panose="020B0502020202020204" pitchFamily="34" charset="0"/>
            </a:rPr>
            <a:t>Periodically conduct contractor surveys to measure and monitor the CalSAWS contractor ecosystem</a:t>
          </a:r>
        </a:p>
      </dsp:txBody>
      <dsp:txXfrm>
        <a:off x="1755648" y="899838"/>
        <a:ext cx="3730752" cy="1532506"/>
      </dsp:txXfrm>
    </dsp:sp>
    <dsp:sp modelId="{4D5F9F07-A866-427C-98D8-E044D6D4EFC8}">
      <dsp:nvSpPr>
        <dsp:cNvPr id="0" name=""/>
        <dsp:cNvSpPr/>
      </dsp:nvSpPr>
      <dsp:spPr>
        <a:xfrm>
          <a:off x="0" y="2449168"/>
          <a:ext cx="1371600" cy="74022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66725">
            <a:lnSpc>
              <a:spcPct val="90000"/>
            </a:lnSpc>
            <a:spcBef>
              <a:spcPct val="0"/>
            </a:spcBef>
            <a:spcAft>
              <a:spcPct val="35000"/>
            </a:spcAft>
            <a:buNone/>
          </a:pPr>
          <a:r>
            <a:rPr lang="en-US" sz="1050" kern="1200" dirty="0">
              <a:latin typeface="Century Gothic" panose="020B0502020202020204" pitchFamily="34" charset="0"/>
            </a:rPr>
            <a:t>Monitor and clarify lines of delineation between and among contractors</a:t>
          </a:r>
          <a:endParaRPr lang="en-US" sz="1050" kern="1200">
            <a:latin typeface="Century Gothic" panose="020B0502020202020204" pitchFamily="34" charset="0"/>
          </a:endParaRPr>
        </a:p>
      </dsp:txBody>
      <dsp:txXfrm>
        <a:off x="0" y="2449168"/>
        <a:ext cx="1371600" cy="740229"/>
      </dsp:txXfrm>
    </dsp:sp>
    <dsp:sp modelId="{9F24A1BE-0D9A-46B4-9028-F1E521ABF59D}">
      <dsp:nvSpPr>
        <dsp:cNvPr id="0" name=""/>
        <dsp:cNvSpPr/>
      </dsp:nvSpPr>
      <dsp:spPr>
        <a:xfrm>
          <a:off x="1371600" y="2449168"/>
          <a:ext cx="274320" cy="740229"/>
        </a:xfrm>
        <a:prstGeom prst="leftBrace">
          <a:avLst>
            <a:gd name="adj1" fmla="val 35000"/>
            <a:gd name="adj2" fmla="val 50000"/>
          </a:avLst>
        </a:pr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3F11D55-FFE9-4A61-B287-D2F98A7C223C}">
      <dsp:nvSpPr>
        <dsp:cNvPr id="0" name=""/>
        <dsp:cNvSpPr/>
      </dsp:nvSpPr>
      <dsp:spPr>
        <a:xfrm>
          <a:off x="1755648" y="2449168"/>
          <a:ext cx="3730752" cy="740229"/>
        </a:xfrm>
        <a:prstGeom prst="rect">
          <a:avLst/>
        </a:prstGeom>
        <a:solidFill>
          <a:schemeClr val="accent4">
            <a:hueOff val="2639975"/>
            <a:satOff val="-11681"/>
            <a:lumOff val="-196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ts val="300"/>
            </a:spcAft>
            <a:buClr>
              <a:schemeClr val="bg1"/>
            </a:buClr>
            <a:buChar char="•"/>
          </a:pPr>
          <a:r>
            <a:rPr lang="en-US" sz="1050" kern="1200" dirty="0">
              <a:latin typeface="Century Gothic" panose="020B0502020202020204" pitchFamily="34" charset="0"/>
            </a:rPr>
            <a:t>Shared knowledge of contractual agreements and requirements</a:t>
          </a:r>
          <a:endParaRPr lang="en-US" sz="1050" kern="1200">
            <a:latin typeface="Century Gothic" panose="020B0502020202020204" pitchFamily="34" charset="0"/>
          </a:endParaRPr>
        </a:p>
        <a:p>
          <a:pPr marL="57150" lvl="1" indent="-57150" algn="l" defTabSz="466725">
            <a:lnSpc>
              <a:spcPct val="90000"/>
            </a:lnSpc>
            <a:spcBef>
              <a:spcPct val="0"/>
            </a:spcBef>
            <a:spcAft>
              <a:spcPts val="300"/>
            </a:spcAft>
            <a:buChar char="•"/>
          </a:pPr>
          <a:r>
            <a:rPr lang="en-US" sz="1050" kern="1200" dirty="0">
              <a:latin typeface="Century Gothic" panose="020B0502020202020204" pitchFamily="34" charset="0"/>
            </a:rPr>
            <a:t>Facilitate creation of RACI documentation</a:t>
          </a:r>
        </a:p>
      </dsp:txBody>
      <dsp:txXfrm>
        <a:off x="1755648" y="2449168"/>
        <a:ext cx="3730752" cy="740229"/>
      </dsp:txXfrm>
    </dsp:sp>
    <dsp:sp modelId="{1BE9E8AB-91D0-4774-9F1F-1C711AABDB0D}">
      <dsp:nvSpPr>
        <dsp:cNvPr id="0" name=""/>
        <dsp:cNvSpPr/>
      </dsp:nvSpPr>
      <dsp:spPr>
        <a:xfrm>
          <a:off x="0" y="3333448"/>
          <a:ext cx="1371600" cy="74022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66725">
            <a:lnSpc>
              <a:spcPct val="90000"/>
            </a:lnSpc>
            <a:spcBef>
              <a:spcPct val="0"/>
            </a:spcBef>
            <a:spcAft>
              <a:spcPct val="35000"/>
            </a:spcAft>
            <a:buNone/>
          </a:pPr>
          <a:r>
            <a:rPr lang="en-US" sz="1050" kern="1200" dirty="0">
              <a:latin typeface="Century Gothic" panose="020B0502020202020204" pitchFamily="34" charset="0"/>
            </a:rPr>
            <a:t>Proactively collaborate and coordinate with other CalSAWS contractors</a:t>
          </a:r>
          <a:endParaRPr lang="en-US" sz="1050" kern="1200">
            <a:latin typeface="Century Gothic" panose="020B0502020202020204" pitchFamily="34" charset="0"/>
          </a:endParaRPr>
        </a:p>
      </dsp:txBody>
      <dsp:txXfrm>
        <a:off x="0" y="3333448"/>
        <a:ext cx="1371600" cy="740229"/>
      </dsp:txXfrm>
    </dsp:sp>
    <dsp:sp modelId="{1618F032-AD1C-4CA4-B383-C5FDA9E3A5E3}">
      <dsp:nvSpPr>
        <dsp:cNvPr id="0" name=""/>
        <dsp:cNvSpPr/>
      </dsp:nvSpPr>
      <dsp:spPr>
        <a:xfrm>
          <a:off x="1371600" y="3206221"/>
          <a:ext cx="274320" cy="994683"/>
        </a:xfrm>
        <a:prstGeom prst="leftBrace">
          <a:avLst>
            <a:gd name="adj1" fmla="val 35000"/>
            <a:gd name="adj2" fmla="val 50000"/>
          </a:avLst>
        </a:pr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788F5AA-B059-43B3-90BC-D03E0FB325DD}">
      <dsp:nvSpPr>
        <dsp:cNvPr id="0" name=""/>
        <dsp:cNvSpPr/>
      </dsp:nvSpPr>
      <dsp:spPr>
        <a:xfrm>
          <a:off x="1755648" y="3206221"/>
          <a:ext cx="3730752" cy="994683"/>
        </a:xfrm>
        <a:prstGeom prst="rect">
          <a:avLst/>
        </a:prstGeom>
        <a:solidFill>
          <a:schemeClr val="accent4">
            <a:hueOff val="3959962"/>
            <a:satOff val="-17521"/>
            <a:lumOff val="-294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ts val="300"/>
            </a:spcAft>
            <a:buClr>
              <a:schemeClr val="bg1"/>
            </a:buClr>
            <a:buChar char="•"/>
          </a:pPr>
          <a:r>
            <a:rPr lang="en-US" sz="1050" kern="1200">
              <a:latin typeface="Century Gothic" panose="020B0502020202020204" pitchFamily="34" charset="0"/>
            </a:rPr>
            <a:t>Develop process and best practices for early interactions on initiatives</a:t>
          </a:r>
        </a:p>
        <a:p>
          <a:pPr marL="57150" lvl="1"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Continue to Foster a collaborative and communicative environment</a:t>
          </a:r>
        </a:p>
        <a:p>
          <a:pPr marL="57150" lvl="1"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Develop understandings of communications styles and cultures of other vendors </a:t>
          </a:r>
        </a:p>
      </dsp:txBody>
      <dsp:txXfrm>
        <a:off x="1755648" y="3206221"/>
        <a:ext cx="3730752" cy="994683"/>
      </dsp:txXfrm>
    </dsp:sp>
    <dsp:sp modelId="{B963CEC5-89C8-4A0E-A77F-71F86F86EC02}">
      <dsp:nvSpPr>
        <dsp:cNvPr id="0" name=""/>
        <dsp:cNvSpPr/>
      </dsp:nvSpPr>
      <dsp:spPr>
        <a:xfrm>
          <a:off x="0" y="4217727"/>
          <a:ext cx="1371600" cy="18505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66725">
            <a:lnSpc>
              <a:spcPct val="90000"/>
            </a:lnSpc>
            <a:spcBef>
              <a:spcPct val="0"/>
            </a:spcBef>
            <a:spcAft>
              <a:spcPct val="35000"/>
            </a:spcAft>
            <a:buNone/>
          </a:pPr>
          <a:r>
            <a:rPr lang="en-US" sz="1050" kern="1200" dirty="0">
              <a:latin typeface="Century Gothic" panose="020B0502020202020204" pitchFamily="34" charset="0"/>
            </a:rPr>
            <a:t>Provide coordination services to confirm the CalSAWS contractor team members are aligned with Project goals, schedules, and strategic initiatives and development of the </a:t>
          </a:r>
          <a:r>
            <a:rPr lang="en-US" sz="1050" kern="1200" dirty="0" err="1">
              <a:latin typeface="Century Gothic" panose="020B0502020202020204" pitchFamily="34" charset="0"/>
            </a:rPr>
            <a:t>CalSAWS</a:t>
          </a:r>
          <a:r>
            <a:rPr lang="en-US" sz="1050" kern="1200" dirty="0">
              <a:latin typeface="Century Gothic" panose="020B0502020202020204" pitchFamily="34" charset="0"/>
            </a:rPr>
            <a:t> Master Work Plan </a:t>
          </a:r>
        </a:p>
      </dsp:txBody>
      <dsp:txXfrm>
        <a:off x="0" y="4217727"/>
        <a:ext cx="1371600" cy="1850573"/>
      </dsp:txXfrm>
    </dsp:sp>
    <dsp:sp modelId="{FFDC47CA-3090-431A-8717-1D1A7D0A0693}">
      <dsp:nvSpPr>
        <dsp:cNvPr id="0" name=""/>
        <dsp:cNvSpPr/>
      </dsp:nvSpPr>
      <dsp:spPr>
        <a:xfrm>
          <a:off x="1371600" y="4217727"/>
          <a:ext cx="274320" cy="1850573"/>
        </a:xfrm>
        <a:prstGeom prst="leftBrace">
          <a:avLst>
            <a:gd name="adj1" fmla="val 35000"/>
            <a:gd name="adj2" fmla="val 50000"/>
          </a:avLst>
        </a:pr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0554389-E570-4FB0-84F7-05EC4C5A8DC5}">
      <dsp:nvSpPr>
        <dsp:cNvPr id="0" name=""/>
        <dsp:cNvSpPr/>
      </dsp:nvSpPr>
      <dsp:spPr>
        <a:xfrm>
          <a:off x="1755648" y="4217727"/>
          <a:ext cx="3730752" cy="1850573"/>
        </a:xfrm>
        <a:prstGeom prst="rect">
          <a:avLst/>
        </a:prstGeom>
        <a:solidFill>
          <a:schemeClr val="accent4">
            <a:hueOff val="5279950"/>
            <a:satOff val="-23362"/>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ts val="300"/>
            </a:spcAft>
            <a:buClr>
              <a:schemeClr val="bg1"/>
            </a:buClr>
            <a:buChar char="•"/>
          </a:pPr>
          <a:r>
            <a:rPr lang="en-US" sz="1050" kern="1200">
              <a:latin typeface="Century Gothic" panose="020B0502020202020204" pitchFamily="34" charset="0"/>
            </a:rPr>
            <a:t>Coordinate reviews of adherence to CalSAWS policies and procedures for vendors</a:t>
          </a:r>
          <a:endParaRPr lang="en-US" sz="1050" kern="1200" dirty="0">
            <a:latin typeface="Century Gothic" panose="020B0502020202020204" pitchFamily="34" charset="0"/>
          </a:endParaRPr>
        </a:p>
        <a:p>
          <a:pPr marL="57150" lvl="1"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Monitor cross vendor implementation of SCR’s dependencies and schedules to ensure alignment</a:t>
          </a:r>
        </a:p>
        <a:p>
          <a:pPr marL="57150" lvl="1"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Partner to develop understanding of processes for newly onboarded organizations</a:t>
          </a:r>
        </a:p>
      </dsp:txBody>
      <dsp:txXfrm>
        <a:off x="1755648" y="4217727"/>
        <a:ext cx="3730752" cy="1850573"/>
      </dsp:txXfrm>
    </dsp:sp>
    <dsp:sp modelId="{F7CA9838-FC84-42F0-8CD7-118FB3CAFDE2}">
      <dsp:nvSpPr>
        <dsp:cNvPr id="0" name=""/>
        <dsp:cNvSpPr/>
      </dsp:nvSpPr>
      <dsp:spPr>
        <a:xfrm>
          <a:off x="0" y="6423083"/>
          <a:ext cx="1371600" cy="6130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66725">
            <a:lnSpc>
              <a:spcPct val="90000"/>
            </a:lnSpc>
            <a:spcBef>
              <a:spcPct val="0"/>
            </a:spcBef>
            <a:spcAft>
              <a:spcPct val="35000"/>
            </a:spcAft>
            <a:buNone/>
          </a:pPr>
          <a:r>
            <a:rPr lang="en-US" sz="1050" kern="1200" dirty="0">
              <a:latin typeface="Century Gothic" panose="020B0502020202020204" pitchFamily="34" charset="0"/>
            </a:rPr>
            <a:t>Communicate and report on Project matters on an ongoing basis</a:t>
          </a:r>
        </a:p>
      </dsp:txBody>
      <dsp:txXfrm>
        <a:off x="0" y="6423083"/>
        <a:ext cx="1371600" cy="613002"/>
      </dsp:txXfrm>
    </dsp:sp>
    <dsp:sp modelId="{5487AFE7-CAD1-43EC-BC38-A0D228A33F9C}">
      <dsp:nvSpPr>
        <dsp:cNvPr id="0" name=""/>
        <dsp:cNvSpPr/>
      </dsp:nvSpPr>
      <dsp:spPr>
        <a:xfrm>
          <a:off x="1371600" y="6135738"/>
          <a:ext cx="274320" cy="1187692"/>
        </a:xfrm>
        <a:prstGeom prst="leftBrace">
          <a:avLst>
            <a:gd name="adj1" fmla="val 35000"/>
            <a:gd name="adj2" fmla="val 50000"/>
          </a:avLst>
        </a:pr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A9AEE6D-EA99-472D-A22F-A8499AB26FDD}">
      <dsp:nvSpPr>
        <dsp:cNvPr id="0" name=""/>
        <dsp:cNvSpPr/>
      </dsp:nvSpPr>
      <dsp:spPr>
        <a:xfrm>
          <a:off x="1755648" y="6085125"/>
          <a:ext cx="3730752" cy="1288919"/>
        </a:xfrm>
        <a:prstGeom prst="rect">
          <a:avLst/>
        </a:prstGeom>
        <a:solidFill>
          <a:schemeClr val="accent4">
            <a:hueOff val="6599937"/>
            <a:satOff val="-29202"/>
            <a:lumOff val="-490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ts val="300"/>
            </a:spcAft>
            <a:buClr>
              <a:schemeClr val="bg1"/>
            </a:buClr>
            <a:buChar char="•"/>
          </a:pPr>
          <a:r>
            <a:rPr lang="en-US" sz="1050" kern="1200">
              <a:latin typeface="Century Gothic" panose="020B0502020202020204" pitchFamily="34" charset="0"/>
            </a:rPr>
            <a:t>Develop a standardized reporting cadence and content</a:t>
          </a:r>
          <a:endParaRPr lang="en-US" sz="1050" kern="1200" dirty="0">
            <a:latin typeface="Century Gothic" panose="020B0502020202020204" pitchFamily="34" charset="0"/>
          </a:endParaRPr>
        </a:p>
        <a:p>
          <a:pPr marL="57150" lvl="1"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Provide multi-level reporting channels to ensure information is communicated at all levels</a:t>
          </a:r>
        </a:p>
        <a:p>
          <a:pPr marL="114300" lvl="2"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Section Directors</a:t>
          </a:r>
        </a:p>
        <a:p>
          <a:pPr marL="114300" lvl="2"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JPA/PSC</a:t>
          </a:r>
        </a:p>
        <a:p>
          <a:pPr marL="114300" lvl="2"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Weekly Status Reporting</a:t>
          </a:r>
        </a:p>
      </dsp:txBody>
      <dsp:txXfrm>
        <a:off x="1755648" y="6085125"/>
        <a:ext cx="3730752" cy="1288919"/>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7D331B-98E5-44BC-AFEA-9834E85A8A22}">
      <dsp:nvSpPr>
        <dsp:cNvPr id="0" name=""/>
        <dsp:cNvSpPr/>
      </dsp:nvSpPr>
      <dsp:spPr>
        <a:xfrm>
          <a:off x="0" y="151482"/>
          <a:ext cx="1371600"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66725">
            <a:lnSpc>
              <a:spcPct val="90000"/>
            </a:lnSpc>
            <a:spcBef>
              <a:spcPct val="0"/>
            </a:spcBef>
            <a:spcAft>
              <a:spcPct val="35000"/>
            </a:spcAft>
            <a:buNone/>
          </a:pPr>
          <a:r>
            <a:rPr lang="en-US" sz="1050" kern="1200" dirty="0">
              <a:latin typeface="Century Gothic" panose="020B0502020202020204" pitchFamily="34" charset="0"/>
            </a:rPr>
            <a:t>Serve as the first point of contact to resolve disputes between and/or among contractors</a:t>
          </a:r>
        </a:p>
      </dsp:txBody>
      <dsp:txXfrm>
        <a:off x="0" y="151482"/>
        <a:ext cx="1371600" cy="1287000"/>
      </dsp:txXfrm>
    </dsp:sp>
    <dsp:sp modelId="{D1B59E5C-6502-4928-B7BE-334903D7C76B}">
      <dsp:nvSpPr>
        <dsp:cNvPr id="0" name=""/>
        <dsp:cNvSpPr/>
      </dsp:nvSpPr>
      <dsp:spPr>
        <a:xfrm>
          <a:off x="1371599" y="151482"/>
          <a:ext cx="274320" cy="1287000"/>
        </a:xfrm>
        <a:prstGeom prst="leftBrace">
          <a:avLst>
            <a:gd name="adj1" fmla="val 35000"/>
            <a:gd name="adj2" fmla="val 50000"/>
          </a:avLst>
        </a:pr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939F85C-5B21-4D36-8299-1EEC2AD0A69A}">
      <dsp:nvSpPr>
        <dsp:cNvPr id="0" name=""/>
        <dsp:cNvSpPr/>
      </dsp:nvSpPr>
      <dsp:spPr>
        <a:xfrm>
          <a:off x="1755647" y="151482"/>
          <a:ext cx="3730752" cy="1287000"/>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ts val="300"/>
            </a:spcAft>
            <a:buClr>
              <a:schemeClr val="bg1"/>
            </a:buClr>
            <a:buChar char="•"/>
          </a:pPr>
          <a:r>
            <a:rPr lang="en-US" sz="1050" kern="1200">
              <a:latin typeface="Century Gothic" panose="020B0502020202020204" pitchFamily="34" charset="0"/>
            </a:rPr>
            <a:t>Partner in weekly, biweekly or ad-hoc review of all issues escalated to the DI Team</a:t>
          </a:r>
          <a:endParaRPr lang="en-US" sz="1050" kern="1200" dirty="0">
            <a:latin typeface="Century Gothic" panose="020B0502020202020204" pitchFamily="34" charset="0"/>
          </a:endParaRPr>
        </a:p>
        <a:p>
          <a:pPr marL="57150" lvl="1" indent="-57150" algn="l" defTabSz="466725">
            <a:lnSpc>
              <a:spcPct val="90000"/>
            </a:lnSpc>
            <a:spcBef>
              <a:spcPct val="0"/>
            </a:spcBef>
            <a:spcAft>
              <a:spcPts val="300"/>
            </a:spcAft>
            <a:buFont typeface="Times New Roman" panose="02020603050405020304" pitchFamily="18" charset="0"/>
            <a:buChar char="•"/>
          </a:pPr>
          <a:r>
            <a:rPr lang="en-US" sz="1050" kern="1200">
              <a:latin typeface="Century Gothic" panose="020B0502020202020204" pitchFamily="34" charset="0"/>
            </a:rPr>
            <a:t>Provide the project clear escalation paths to ensure timely communication of issues and risks related to delivery </a:t>
          </a:r>
        </a:p>
      </dsp:txBody>
      <dsp:txXfrm>
        <a:off x="1755647" y="151482"/>
        <a:ext cx="3730752" cy="128700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7F45437-AD76-4756-B921-6F06546BC45A}">
      <dsp:nvSpPr>
        <dsp:cNvPr id="0" name=""/>
        <dsp:cNvSpPr/>
      </dsp:nvSpPr>
      <dsp:spPr>
        <a:xfrm>
          <a:off x="0" y="0"/>
          <a:ext cx="5486400" cy="0"/>
        </a:xfrm>
        <a:prstGeom prst="line">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876536A-5C5F-46C4-902A-4A2B064ADD85}">
      <dsp:nvSpPr>
        <dsp:cNvPr id="0" name=""/>
        <dsp:cNvSpPr/>
      </dsp:nvSpPr>
      <dsp:spPr>
        <a:xfrm>
          <a:off x="0" y="0"/>
          <a:ext cx="1097280" cy="4191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l" defTabSz="466725">
            <a:lnSpc>
              <a:spcPct val="90000"/>
            </a:lnSpc>
            <a:spcBef>
              <a:spcPct val="0"/>
            </a:spcBef>
            <a:spcAft>
              <a:spcPct val="35000"/>
            </a:spcAft>
            <a:buNone/>
          </a:pPr>
          <a:r>
            <a:rPr lang="en-US" sz="1050" kern="1200">
              <a:latin typeface="Century Gothic" panose="020B0502020202020204" pitchFamily="34" charset="0"/>
            </a:rPr>
            <a:t>Our Agile development approach includes the use of:</a:t>
          </a:r>
        </a:p>
      </dsp:txBody>
      <dsp:txXfrm>
        <a:off x="0" y="0"/>
        <a:ext cx="1097280" cy="4191000"/>
      </dsp:txXfrm>
    </dsp:sp>
    <dsp:sp modelId="{46767466-1A1C-46DD-AF63-0DA6202C95EA}">
      <dsp:nvSpPr>
        <dsp:cNvPr id="0" name=""/>
        <dsp:cNvSpPr/>
      </dsp:nvSpPr>
      <dsp:spPr>
        <a:xfrm>
          <a:off x="1179576" y="27165"/>
          <a:ext cx="4306824" cy="5433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l" defTabSz="466725">
            <a:lnSpc>
              <a:spcPct val="90000"/>
            </a:lnSpc>
            <a:spcBef>
              <a:spcPct val="0"/>
            </a:spcBef>
            <a:spcAft>
              <a:spcPct val="35000"/>
            </a:spcAft>
            <a:buClr>
              <a:srgbClr val="2B3A44"/>
            </a:buClr>
            <a:buSzPts val="1100"/>
            <a:buFont typeface="Symbol" panose="05050102010706020507" pitchFamily="18" charset="2"/>
            <a:buNone/>
          </a:pPr>
          <a:r>
            <a:rPr lang="en-US" sz="1050" kern="1200">
              <a:latin typeface="Century Gothic" panose="020B0502020202020204" pitchFamily="34" charset="0"/>
            </a:rPr>
            <a:t>DevSecOps, including incorporation of security design and testing earlier in the development lifecycle, to support smaller, more incremental releases</a:t>
          </a:r>
        </a:p>
      </dsp:txBody>
      <dsp:txXfrm>
        <a:off x="1179576" y="27165"/>
        <a:ext cx="4306824" cy="543315"/>
      </dsp:txXfrm>
    </dsp:sp>
    <dsp:sp modelId="{506E164D-4997-4E18-92D8-C4C02A673A84}">
      <dsp:nvSpPr>
        <dsp:cNvPr id="0" name=""/>
        <dsp:cNvSpPr/>
      </dsp:nvSpPr>
      <dsp:spPr>
        <a:xfrm>
          <a:off x="1097280" y="570481"/>
          <a:ext cx="438912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C67756D-4525-4ED5-B197-159D43E0D6C0}">
      <dsp:nvSpPr>
        <dsp:cNvPr id="0" name=""/>
        <dsp:cNvSpPr/>
      </dsp:nvSpPr>
      <dsp:spPr>
        <a:xfrm>
          <a:off x="1179576" y="662964"/>
          <a:ext cx="4306824" cy="5433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l" defTabSz="466725">
            <a:lnSpc>
              <a:spcPct val="90000"/>
            </a:lnSpc>
            <a:spcBef>
              <a:spcPct val="0"/>
            </a:spcBef>
            <a:spcAft>
              <a:spcPct val="35000"/>
            </a:spcAft>
            <a:buClr>
              <a:srgbClr val="2B3A44"/>
            </a:buClr>
            <a:buSzPts val="1100"/>
            <a:buFont typeface="Symbol" panose="05050102010706020507" pitchFamily="18" charset="2"/>
            <a:buNone/>
          </a:pPr>
          <a:r>
            <a:rPr lang="en-US" sz="1050" kern="1200">
              <a:latin typeface="Century Gothic" panose="020B0502020202020204" pitchFamily="34" charset="0"/>
            </a:rPr>
            <a:t>CI/CD for continuous automated code delivery</a:t>
          </a:r>
        </a:p>
      </dsp:txBody>
      <dsp:txXfrm>
        <a:off x="1179576" y="662964"/>
        <a:ext cx="4306824" cy="543315"/>
      </dsp:txXfrm>
    </dsp:sp>
    <dsp:sp modelId="{F56E90EF-9696-491D-AF93-314B81E4BBF2}">
      <dsp:nvSpPr>
        <dsp:cNvPr id="0" name=""/>
        <dsp:cNvSpPr/>
      </dsp:nvSpPr>
      <dsp:spPr>
        <a:xfrm>
          <a:off x="1097279" y="997019"/>
          <a:ext cx="438912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5BBEC20-E036-4D04-929A-DB6E8FE4BD42}">
      <dsp:nvSpPr>
        <dsp:cNvPr id="0" name=""/>
        <dsp:cNvSpPr/>
      </dsp:nvSpPr>
      <dsp:spPr>
        <a:xfrm>
          <a:off x="1179576" y="1090532"/>
          <a:ext cx="4306824" cy="5433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l" defTabSz="466725">
            <a:lnSpc>
              <a:spcPct val="90000"/>
            </a:lnSpc>
            <a:spcBef>
              <a:spcPct val="0"/>
            </a:spcBef>
            <a:spcAft>
              <a:spcPct val="35000"/>
            </a:spcAft>
            <a:buClr>
              <a:srgbClr val="2B3A44"/>
            </a:buClr>
            <a:buSzPts val="1100"/>
            <a:buFont typeface="Symbol" panose="05050102010706020507" pitchFamily="18" charset="2"/>
            <a:buNone/>
          </a:pPr>
          <a:r>
            <a:rPr lang="en-US" sz="1050" kern="1200">
              <a:latin typeface="Century Gothic" panose="020B0502020202020204" pitchFamily="34" charset="0"/>
            </a:rPr>
            <a:t>Expanded automated testing to improve the release quality and complete testing cycles faster</a:t>
          </a:r>
        </a:p>
      </dsp:txBody>
      <dsp:txXfrm>
        <a:off x="1179576" y="1090532"/>
        <a:ext cx="4306824" cy="543315"/>
      </dsp:txXfrm>
    </dsp:sp>
    <dsp:sp modelId="{C56E6C45-70B2-4AF5-956E-8EEA23212C18}">
      <dsp:nvSpPr>
        <dsp:cNvPr id="0" name=""/>
        <dsp:cNvSpPr/>
      </dsp:nvSpPr>
      <dsp:spPr>
        <a:xfrm>
          <a:off x="1097280" y="1523283"/>
          <a:ext cx="438912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18383D95-E0A8-4755-A973-687E420287ED}">
      <dsp:nvSpPr>
        <dsp:cNvPr id="0" name=""/>
        <dsp:cNvSpPr/>
      </dsp:nvSpPr>
      <dsp:spPr>
        <a:xfrm>
          <a:off x="1179576" y="1594805"/>
          <a:ext cx="4306824" cy="5433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l" defTabSz="466725">
            <a:lnSpc>
              <a:spcPct val="90000"/>
            </a:lnSpc>
            <a:spcBef>
              <a:spcPct val="0"/>
            </a:spcBef>
            <a:spcAft>
              <a:spcPct val="35000"/>
            </a:spcAft>
            <a:buClr>
              <a:srgbClr val="2B3A44"/>
            </a:buClr>
            <a:buSzPts val="1100"/>
            <a:buFont typeface="Symbol" panose="05050102010706020507" pitchFamily="18" charset="2"/>
            <a:buNone/>
          </a:pPr>
          <a:r>
            <a:rPr lang="en-US" sz="1050" kern="1200">
              <a:latin typeface="Century Gothic" panose="020B0502020202020204" pitchFamily="34" charset="0"/>
            </a:rPr>
            <a:t>Infrastructure as Code (IaC) </a:t>
          </a:r>
        </a:p>
      </dsp:txBody>
      <dsp:txXfrm>
        <a:off x="1179576" y="1594805"/>
        <a:ext cx="4306824" cy="543315"/>
      </dsp:txXfrm>
    </dsp:sp>
    <dsp:sp modelId="{1B1E2E38-35D1-4B6C-BC71-EE0802478735}">
      <dsp:nvSpPr>
        <dsp:cNvPr id="0" name=""/>
        <dsp:cNvSpPr/>
      </dsp:nvSpPr>
      <dsp:spPr>
        <a:xfrm>
          <a:off x="1089116" y="1954782"/>
          <a:ext cx="438912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4EAC120-DB48-49BF-BB7E-A2907F53658F}">
      <dsp:nvSpPr>
        <dsp:cNvPr id="0" name=""/>
        <dsp:cNvSpPr/>
      </dsp:nvSpPr>
      <dsp:spPr>
        <a:xfrm>
          <a:off x="1179576" y="2036521"/>
          <a:ext cx="4306824" cy="5433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l" defTabSz="466725">
            <a:lnSpc>
              <a:spcPct val="90000"/>
            </a:lnSpc>
            <a:spcBef>
              <a:spcPct val="0"/>
            </a:spcBef>
            <a:spcAft>
              <a:spcPct val="35000"/>
            </a:spcAft>
            <a:buNone/>
          </a:pPr>
          <a:r>
            <a:rPr lang="en-US" sz="1050" kern="1200">
              <a:latin typeface="Century Gothic" panose="020B0502020202020204" pitchFamily="34" charset="0"/>
            </a:rPr>
            <a:t>Release When Ready (RWR) and coordinated releases with other CalSAWS system changes when there is a dependency</a:t>
          </a:r>
        </a:p>
      </dsp:txBody>
      <dsp:txXfrm>
        <a:off x="1179576" y="2036521"/>
        <a:ext cx="4306824" cy="543315"/>
      </dsp:txXfrm>
    </dsp:sp>
    <dsp:sp modelId="{EAB80771-2B25-4F4C-AA50-246D9B34775E}">
      <dsp:nvSpPr>
        <dsp:cNvPr id="0" name=""/>
        <dsp:cNvSpPr/>
      </dsp:nvSpPr>
      <dsp:spPr>
        <a:xfrm>
          <a:off x="1089116" y="2541912"/>
          <a:ext cx="438912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5AB8E84-EACA-4CDE-9A59-F5679766801F}">
      <dsp:nvSpPr>
        <dsp:cNvPr id="0" name=""/>
        <dsp:cNvSpPr/>
      </dsp:nvSpPr>
      <dsp:spPr>
        <a:xfrm>
          <a:off x="1179576" y="3358837"/>
          <a:ext cx="4306824" cy="70913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l" defTabSz="466725">
            <a:lnSpc>
              <a:spcPct val="90000"/>
            </a:lnSpc>
            <a:spcBef>
              <a:spcPct val="0"/>
            </a:spcBef>
            <a:spcAft>
              <a:spcPct val="35000"/>
            </a:spcAft>
            <a:buClr>
              <a:srgbClr val="2B3A44"/>
            </a:buClr>
            <a:buSzPts val="1100"/>
            <a:buFont typeface="Symbol" panose="05050102010706020507" pitchFamily="18" charset="2"/>
            <a:buNone/>
          </a:pPr>
          <a:r>
            <a:rPr lang="en-US" sz="1050" kern="1200">
              <a:latin typeface="Century Gothic" panose="020B0502020202020204" pitchFamily="34" charset="0"/>
            </a:rPr>
            <a:t>Offshore resources for simpler, more straightforward application changes (As required in the RFP, we have limited our use of offshore resources to 40% of the overall application maintenance available hours.)</a:t>
          </a:r>
        </a:p>
      </dsp:txBody>
      <dsp:txXfrm>
        <a:off x="1179576" y="3358837"/>
        <a:ext cx="4306824" cy="709135"/>
      </dsp:txXfrm>
    </dsp:sp>
    <dsp:sp modelId="{620ADE07-0EFE-4C9C-8308-FAD99CDE07FC}">
      <dsp:nvSpPr>
        <dsp:cNvPr id="0" name=""/>
        <dsp:cNvSpPr/>
      </dsp:nvSpPr>
      <dsp:spPr>
        <a:xfrm>
          <a:off x="1097280" y="3233311"/>
          <a:ext cx="438912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601D9D2C-9D9F-4DA6-9177-BD402EEAC747}">
      <dsp:nvSpPr>
        <dsp:cNvPr id="0" name=""/>
        <dsp:cNvSpPr/>
      </dsp:nvSpPr>
      <dsp:spPr>
        <a:xfrm>
          <a:off x="1179576" y="2683283"/>
          <a:ext cx="4306824" cy="5433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t" anchorCtr="0">
          <a:noAutofit/>
        </a:bodyPr>
        <a:lstStyle/>
        <a:p>
          <a:pPr marL="0" lvl="0" indent="0" algn="l" defTabSz="466725">
            <a:lnSpc>
              <a:spcPct val="90000"/>
            </a:lnSpc>
            <a:spcBef>
              <a:spcPct val="0"/>
            </a:spcBef>
            <a:spcAft>
              <a:spcPct val="35000"/>
            </a:spcAft>
            <a:buClr>
              <a:srgbClr val="2B3A44"/>
            </a:buClr>
            <a:buSzPts val="1100"/>
            <a:buFont typeface="Symbol" panose="05050102010706020507" pitchFamily="18" charset="2"/>
            <a:buNone/>
          </a:pPr>
          <a:r>
            <a:rPr lang="en-US" sz="1050" kern="1200">
              <a:latin typeface="Century Gothic" panose="020B0502020202020204" pitchFamily="34" charset="0"/>
            </a:rPr>
            <a:t>The CalSAWS Collaboration Model integrated into our development approach</a:t>
          </a:r>
        </a:p>
      </dsp:txBody>
      <dsp:txXfrm>
        <a:off x="1179576" y="2683283"/>
        <a:ext cx="4306824" cy="543315"/>
      </dsp:txXfrm>
    </dsp:sp>
    <dsp:sp modelId="{63C86925-7D0C-40A6-A704-4C4FCFC8A5EB}">
      <dsp:nvSpPr>
        <dsp:cNvPr id="0" name=""/>
        <dsp:cNvSpPr/>
      </dsp:nvSpPr>
      <dsp:spPr>
        <a:xfrm>
          <a:off x="1097280" y="4159190"/>
          <a:ext cx="438912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65080A-8329-4198-9BD4-E721B720D139}">
      <dsp:nvSpPr>
        <dsp:cNvPr id="0" name=""/>
        <dsp:cNvSpPr/>
      </dsp:nvSpPr>
      <dsp:spPr>
        <a:xfrm>
          <a:off x="0" y="129"/>
          <a:ext cx="5486400" cy="525954"/>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n-US" sz="1100" kern="1200">
              <a:latin typeface="Century Gothic" panose="020B0502020202020204" pitchFamily="34" charset="0"/>
            </a:rPr>
            <a:t>Expand the CalSAWS Innovation Team members to include representatives from other areas of the Consortium or Counties</a:t>
          </a:r>
        </a:p>
      </dsp:txBody>
      <dsp:txXfrm>
        <a:off x="25675" y="25804"/>
        <a:ext cx="5435050" cy="474604"/>
      </dsp:txXfrm>
    </dsp:sp>
    <dsp:sp modelId="{4BC747B5-4214-4276-98ED-B4FA2B0A2B0F}">
      <dsp:nvSpPr>
        <dsp:cNvPr id="0" name=""/>
        <dsp:cNvSpPr/>
      </dsp:nvSpPr>
      <dsp:spPr>
        <a:xfrm>
          <a:off x="0" y="538473"/>
          <a:ext cx="5486400" cy="525954"/>
        </a:xfrm>
        <a:prstGeom prst="roundRect">
          <a:avLst/>
        </a:prstGeom>
        <a:solidFill>
          <a:schemeClr val="accent4">
            <a:hueOff val="942848"/>
            <a:satOff val="-4172"/>
            <a:lumOff val="-70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n-US" sz="1100" kern="1200" baseline="0">
              <a:latin typeface="Century Gothic" panose="020B0502020202020204" pitchFamily="34" charset="0"/>
            </a:rPr>
            <a:t>Establish Innovation program goals and objectives that are tied to the organization's goals</a:t>
          </a:r>
        </a:p>
      </dsp:txBody>
      <dsp:txXfrm>
        <a:off x="25675" y="564148"/>
        <a:ext cx="5435050" cy="474604"/>
      </dsp:txXfrm>
    </dsp:sp>
    <dsp:sp modelId="{42782B2F-AD00-48FE-AE01-9872BE1EDAB0}">
      <dsp:nvSpPr>
        <dsp:cNvPr id="0" name=""/>
        <dsp:cNvSpPr/>
      </dsp:nvSpPr>
      <dsp:spPr>
        <a:xfrm>
          <a:off x="0" y="1076816"/>
          <a:ext cx="5486400" cy="525954"/>
        </a:xfrm>
        <a:prstGeom prst="roundRect">
          <a:avLst/>
        </a:prstGeom>
        <a:solidFill>
          <a:schemeClr val="accent4">
            <a:hueOff val="1885696"/>
            <a:satOff val="-8343"/>
            <a:lumOff val="-140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Clr>
              <a:srgbClr val="2B3A44"/>
            </a:buClr>
            <a:buSzPts val="1100"/>
            <a:buFont typeface="Symbol" panose="05050102010706020507" pitchFamily="18" charset="2"/>
            <a:buNone/>
          </a:pPr>
          <a:r>
            <a:rPr lang="en-US" sz="1100" kern="1200" baseline="0">
              <a:latin typeface="Century Gothic" panose="020B0502020202020204" pitchFamily="34" charset="0"/>
            </a:rPr>
            <a:t>Identify training for all staff members to “market” the Innovation program and create a culture of innovation at the staff level</a:t>
          </a:r>
        </a:p>
      </dsp:txBody>
      <dsp:txXfrm>
        <a:off x="25675" y="1102491"/>
        <a:ext cx="5435050" cy="474604"/>
      </dsp:txXfrm>
    </dsp:sp>
    <dsp:sp modelId="{163C1ECA-4F34-49EA-8CCA-EE1432985E10}">
      <dsp:nvSpPr>
        <dsp:cNvPr id="0" name=""/>
        <dsp:cNvSpPr/>
      </dsp:nvSpPr>
      <dsp:spPr>
        <a:xfrm>
          <a:off x="0" y="1615160"/>
          <a:ext cx="5486400" cy="525954"/>
        </a:xfrm>
        <a:prstGeom prst="roundRect">
          <a:avLst/>
        </a:prstGeom>
        <a:solidFill>
          <a:schemeClr val="accent4">
            <a:hueOff val="2828544"/>
            <a:satOff val="-12515"/>
            <a:lumOff val="-210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n-US" sz="1100" kern="1200" baseline="0">
              <a:latin typeface="Century Gothic" panose="020B0502020202020204" pitchFamily="34" charset="0"/>
            </a:rPr>
            <a:t>Participate in visits, with CalSAWS Innovation Team members, to County offices and CBO locations that have implemented innovative business practices or who have identified pain points that are roadblocks to productivity</a:t>
          </a:r>
        </a:p>
      </dsp:txBody>
      <dsp:txXfrm>
        <a:off x="25675" y="1640835"/>
        <a:ext cx="5435050" cy="474604"/>
      </dsp:txXfrm>
    </dsp:sp>
    <dsp:sp modelId="{341B9F56-014B-473B-B5D6-2FA1CC122677}">
      <dsp:nvSpPr>
        <dsp:cNvPr id="0" name=""/>
        <dsp:cNvSpPr/>
      </dsp:nvSpPr>
      <dsp:spPr>
        <a:xfrm>
          <a:off x="0" y="2153503"/>
          <a:ext cx="5486400" cy="525954"/>
        </a:xfrm>
        <a:prstGeom prst="roundRect">
          <a:avLst/>
        </a:prstGeom>
        <a:solidFill>
          <a:schemeClr val="accent4">
            <a:hueOff val="3771393"/>
            <a:satOff val="-16687"/>
            <a:lumOff val="-280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Clr>
              <a:srgbClr val="2B3A44"/>
            </a:buClr>
            <a:buSzPts val="1100"/>
            <a:buFont typeface="Symbol" panose="05050102010706020507" pitchFamily="18" charset="2"/>
            <a:buNone/>
          </a:pPr>
          <a:r>
            <a:rPr lang="en-US" sz="1100" kern="1200" baseline="0">
              <a:latin typeface="Century Gothic" panose="020B0502020202020204" pitchFamily="34" charset="0"/>
            </a:rPr>
            <a:t>Participate in the current award-winning “Shark Tank” process </a:t>
          </a:r>
        </a:p>
      </dsp:txBody>
      <dsp:txXfrm>
        <a:off x="25675" y="2179178"/>
        <a:ext cx="5435050" cy="474604"/>
      </dsp:txXfrm>
    </dsp:sp>
    <dsp:sp modelId="{2636379C-9FD7-49AF-9497-0A7B920C1927}">
      <dsp:nvSpPr>
        <dsp:cNvPr id="0" name=""/>
        <dsp:cNvSpPr/>
      </dsp:nvSpPr>
      <dsp:spPr>
        <a:xfrm>
          <a:off x="0" y="2691847"/>
          <a:ext cx="5486400" cy="525954"/>
        </a:xfrm>
        <a:prstGeom prst="roundRect">
          <a:avLst/>
        </a:prstGeom>
        <a:solidFill>
          <a:schemeClr val="accent4">
            <a:hueOff val="4714241"/>
            <a:satOff val="-20859"/>
            <a:lumOff val="-350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Clr>
              <a:srgbClr val="2B3A44"/>
            </a:buClr>
            <a:buSzPts val="1100"/>
            <a:buFont typeface="Symbol" panose="05050102010706020507" pitchFamily="18" charset="2"/>
            <a:buNone/>
          </a:pPr>
          <a:r>
            <a:rPr lang="en-US" sz="1100" kern="1200" baseline="0">
              <a:latin typeface="Century Gothic" panose="020B0502020202020204" pitchFamily="34" charset="0"/>
            </a:rPr>
            <a:t>Support the CalSAWS Innovation Team in selecting ideas for POC and evaluating results at the conclusion of the POC build</a:t>
          </a:r>
        </a:p>
      </dsp:txBody>
      <dsp:txXfrm>
        <a:off x="25675" y="2717522"/>
        <a:ext cx="5435050" cy="474604"/>
      </dsp:txXfrm>
    </dsp:sp>
    <dsp:sp modelId="{003AAEF5-40D4-40BA-B6CC-7E3EB2FAD2C9}">
      <dsp:nvSpPr>
        <dsp:cNvPr id="0" name=""/>
        <dsp:cNvSpPr/>
      </dsp:nvSpPr>
      <dsp:spPr>
        <a:xfrm>
          <a:off x="0" y="3230190"/>
          <a:ext cx="5486400" cy="525954"/>
        </a:xfrm>
        <a:prstGeom prst="roundRect">
          <a:avLst/>
        </a:prstGeom>
        <a:solidFill>
          <a:schemeClr val="accent4">
            <a:hueOff val="5657089"/>
            <a:satOff val="-25030"/>
            <a:lumOff val="-420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n-US" sz="1100" kern="1200" baseline="0">
              <a:latin typeface="Century Gothic" panose="020B0502020202020204" pitchFamily="34" charset="0"/>
            </a:rPr>
            <a:t>Provide information based on the variety of user centered design techniques that allow us to gather user experiences and reporting metrics</a:t>
          </a:r>
        </a:p>
      </dsp:txBody>
      <dsp:txXfrm>
        <a:off x="25675" y="3255865"/>
        <a:ext cx="5435050" cy="474604"/>
      </dsp:txXfrm>
    </dsp:sp>
    <dsp:sp modelId="{DC0DB686-E031-4281-ADFC-96DB14AE782B}">
      <dsp:nvSpPr>
        <dsp:cNvPr id="0" name=""/>
        <dsp:cNvSpPr/>
      </dsp:nvSpPr>
      <dsp:spPr>
        <a:xfrm>
          <a:off x="0" y="3768533"/>
          <a:ext cx="5486400" cy="525954"/>
        </a:xfrm>
        <a:prstGeom prst="roundRect">
          <a:avLst/>
        </a:prstGeom>
        <a:solidFill>
          <a:schemeClr val="accent4">
            <a:hueOff val="6599937"/>
            <a:satOff val="-29202"/>
            <a:lumOff val="-490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n-US" sz="1100" kern="1200" baseline="0">
              <a:latin typeface="Century Gothic" panose="020B0502020202020204" pitchFamily="34" charset="0"/>
            </a:rPr>
            <a:t>Conduct analytics research into outcome questions such as the described churn example</a:t>
          </a:r>
        </a:p>
      </dsp:txBody>
      <dsp:txXfrm>
        <a:off x="25675" y="3794208"/>
        <a:ext cx="5435050" cy="474604"/>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47D9F5C-5029-4CC7-A563-829F745D3C72}">
      <dsp:nvSpPr>
        <dsp:cNvPr id="0" name=""/>
        <dsp:cNvSpPr/>
      </dsp:nvSpPr>
      <dsp:spPr>
        <a:xfrm>
          <a:off x="1322" y="0"/>
          <a:ext cx="1297930" cy="3586264"/>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b="1" kern="1200">
              <a:latin typeface="Century Gothic" panose="020B0502020202020204" pitchFamily="34" charset="0"/>
            </a:rPr>
            <a:t>Creative and Brand</a:t>
          </a:r>
        </a:p>
      </dsp:txBody>
      <dsp:txXfrm>
        <a:off x="1322" y="0"/>
        <a:ext cx="1297930" cy="1075879"/>
      </dsp:txXfrm>
    </dsp:sp>
    <dsp:sp modelId="{E6CA5C5E-F4E8-41EA-B702-4EB3CAC94B2C}">
      <dsp:nvSpPr>
        <dsp:cNvPr id="0" name=""/>
        <dsp:cNvSpPr/>
      </dsp:nvSpPr>
      <dsp:spPr>
        <a:xfrm>
          <a:off x="131115" y="1076557"/>
          <a:ext cx="1038344" cy="414880"/>
        </a:xfrm>
        <a:prstGeom prst="roundRect">
          <a:avLst>
            <a:gd name="adj" fmla="val 10000"/>
          </a:avLst>
        </a:prstGeom>
        <a:solidFill>
          <a:schemeClr val="accent4">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Brand development</a:t>
          </a:r>
        </a:p>
      </dsp:txBody>
      <dsp:txXfrm>
        <a:off x="143266" y="1088708"/>
        <a:ext cx="1014042" cy="390578"/>
      </dsp:txXfrm>
    </dsp:sp>
    <dsp:sp modelId="{D22F1634-E09E-48C1-A2CF-F8B5DF26FAC9}">
      <dsp:nvSpPr>
        <dsp:cNvPr id="0" name=""/>
        <dsp:cNvSpPr/>
      </dsp:nvSpPr>
      <dsp:spPr>
        <a:xfrm>
          <a:off x="131115" y="1555266"/>
          <a:ext cx="1038344" cy="414880"/>
        </a:xfrm>
        <a:prstGeom prst="roundRect">
          <a:avLst>
            <a:gd name="adj" fmla="val 10000"/>
          </a:avLst>
        </a:prstGeom>
        <a:solidFill>
          <a:schemeClr val="accent4">
            <a:hueOff val="412496"/>
            <a:satOff val="-1825"/>
            <a:lumOff val="-306"/>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Graphic design</a:t>
          </a:r>
        </a:p>
      </dsp:txBody>
      <dsp:txXfrm>
        <a:off x="143266" y="1567417"/>
        <a:ext cx="1014042" cy="390578"/>
      </dsp:txXfrm>
    </dsp:sp>
    <dsp:sp modelId="{B4333C0D-B7ED-4F30-98F7-8317D09D2B0C}">
      <dsp:nvSpPr>
        <dsp:cNvPr id="0" name=""/>
        <dsp:cNvSpPr/>
      </dsp:nvSpPr>
      <dsp:spPr>
        <a:xfrm>
          <a:off x="131115" y="2033974"/>
          <a:ext cx="1038344" cy="414880"/>
        </a:xfrm>
        <a:prstGeom prst="roundRect">
          <a:avLst>
            <a:gd name="adj" fmla="val 10000"/>
          </a:avLst>
        </a:prstGeom>
        <a:solidFill>
          <a:schemeClr val="accent4">
            <a:hueOff val="824992"/>
            <a:satOff val="-3650"/>
            <a:lumOff val="-613"/>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Multimedia</a:t>
          </a:r>
        </a:p>
      </dsp:txBody>
      <dsp:txXfrm>
        <a:off x="143266" y="2046125"/>
        <a:ext cx="1014042" cy="390578"/>
      </dsp:txXfrm>
    </dsp:sp>
    <dsp:sp modelId="{7FE74D1E-098F-4F50-83E3-CE58CBAFA249}">
      <dsp:nvSpPr>
        <dsp:cNvPr id="0" name=""/>
        <dsp:cNvSpPr/>
      </dsp:nvSpPr>
      <dsp:spPr>
        <a:xfrm>
          <a:off x="131115" y="2512683"/>
          <a:ext cx="1038344" cy="414880"/>
        </a:xfrm>
        <a:prstGeom prst="roundRect">
          <a:avLst>
            <a:gd name="adj" fmla="val 10000"/>
          </a:avLst>
        </a:prstGeom>
        <a:solidFill>
          <a:schemeClr val="accent4">
            <a:hueOff val="1237488"/>
            <a:satOff val="-5475"/>
            <a:lumOff val="-919"/>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Presentation support</a:t>
          </a:r>
        </a:p>
      </dsp:txBody>
      <dsp:txXfrm>
        <a:off x="143266" y="2524834"/>
        <a:ext cx="1014042" cy="390578"/>
      </dsp:txXfrm>
    </dsp:sp>
    <dsp:sp modelId="{666BCAD1-64C9-4C27-B996-4B123D9038B3}">
      <dsp:nvSpPr>
        <dsp:cNvPr id="0" name=""/>
        <dsp:cNvSpPr/>
      </dsp:nvSpPr>
      <dsp:spPr>
        <a:xfrm>
          <a:off x="131115" y="2991391"/>
          <a:ext cx="1038344" cy="414880"/>
        </a:xfrm>
        <a:prstGeom prst="roundRect">
          <a:avLst>
            <a:gd name="adj" fmla="val 10000"/>
          </a:avLst>
        </a:prstGeom>
        <a:solidFill>
          <a:schemeClr val="accent4">
            <a:hueOff val="1649984"/>
            <a:satOff val="-7300"/>
            <a:lumOff val="-1226"/>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Website support</a:t>
          </a:r>
        </a:p>
      </dsp:txBody>
      <dsp:txXfrm>
        <a:off x="143266" y="3003542"/>
        <a:ext cx="1014042" cy="390578"/>
      </dsp:txXfrm>
    </dsp:sp>
    <dsp:sp modelId="{F0D6777C-CA91-4549-BFBF-41B1E50E1CB2}">
      <dsp:nvSpPr>
        <dsp:cNvPr id="0" name=""/>
        <dsp:cNvSpPr/>
      </dsp:nvSpPr>
      <dsp:spPr>
        <a:xfrm>
          <a:off x="1396597" y="0"/>
          <a:ext cx="1297930" cy="3586264"/>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b="1" kern="1200">
              <a:latin typeface="Century Gothic" panose="020B0502020202020204" pitchFamily="34" charset="0"/>
            </a:rPr>
            <a:t>Campaign Marketing</a:t>
          </a:r>
        </a:p>
      </dsp:txBody>
      <dsp:txXfrm>
        <a:off x="1396597" y="0"/>
        <a:ext cx="1297930" cy="1075879"/>
      </dsp:txXfrm>
    </dsp:sp>
    <dsp:sp modelId="{A7BA232F-6D9D-483E-A3DA-E1060350AA37}">
      <dsp:nvSpPr>
        <dsp:cNvPr id="0" name=""/>
        <dsp:cNvSpPr/>
      </dsp:nvSpPr>
      <dsp:spPr>
        <a:xfrm>
          <a:off x="1526390" y="1075966"/>
          <a:ext cx="1038344" cy="522442"/>
        </a:xfrm>
        <a:prstGeom prst="roundRect">
          <a:avLst>
            <a:gd name="adj" fmla="val 10000"/>
          </a:avLst>
        </a:prstGeom>
        <a:solidFill>
          <a:schemeClr val="accent4">
            <a:hueOff val="2062480"/>
            <a:satOff val="-9126"/>
            <a:lumOff val="-1532"/>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Project Based Marketing</a:t>
          </a:r>
        </a:p>
      </dsp:txBody>
      <dsp:txXfrm>
        <a:off x="1541692" y="1091268"/>
        <a:ext cx="1007740" cy="491838"/>
      </dsp:txXfrm>
    </dsp:sp>
    <dsp:sp modelId="{4089002C-22E3-4C32-8A20-8A8F28756BD7}">
      <dsp:nvSpPr>
        <dsp:cNvPr id="0" name=""/>
        <dsp:cNvSpPr/>
      </dsp:nvSpPr>
      <dsp:spPr>
        <a:xfrm>
          <a:off x="1526390" y="1678784"/>
          <a:ext cx="1038344" cy="522442"/>
        </a:xfrm>
        <a:prstGeom prst="roundRect">
          <a:avLst>
            <a:gd name="adj" fmla="val 10000"/>
          </a:avLst>
        </a:prstGeom>
        <a:solidFill>
          <a:schemeClr val="accent4">
            <a:hueOff val="2474976"/>
            <a:satOff val="-10951"/>
            <a:lumOff val="-1839"/>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Digital advertising</a:t>
          </a:r>
        </a:p>
      </dsp:txBody>
      <dsp:txXfrm>
        <a:off x="1541692" y="1694086"/>
        <a:ext cx="1007740" cy="491838"/>
      </dsp:txXfrm>
    </dsp:sp>
    <dsp:sp modelId="{DF2FD6B2-B375-4342-9351-0165E39163FB}">
      <dsp:nvSpPr>
        <dsp:cNvPr id="0" name=""/>
        <dsp:cNvSpPr/>
      </dsp:nvSpPr>
      <dsp:spPr>
        <a:xfrm>
          <a:off x="1526390" y="2281602"/>
          <a:ext cx="1038344" cy="522442"/>
        </a:xfrm>
        <a:prstGeom prst="roundRect">
          <a:avLst>
            <a:gd name="adj" fmla="val 10000"/>
          </a:avLst>
        </a:prstGeom>
        <a:solidFill>
          <a:schemeClr val="accent4">
            <a:hueOff val="2887472"/>
            <a:satOff val="-12776"/>
            <a:lumOff val="-2145"/>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Marketing analytics</a:t>
          </a:r>
        </a:p>
      </dsp:txBody>
      <dsp:txXfrm>
        <a:off x="1541692" y="2296904"/>
        <a:ext cx="1007740" cy="491838"/>
      </dsp:txXfrm>
    </dsp:sp>
    <dsp:sp modelId="{BD5A3D94-AE50-4813-B7E3-DC1B40BF5E86}">
      <dsp:nvSpPr>
        <dsp:cNvPr id="0" name=""/>
        <dsp:cNvSpPr/>
      </dsp:nvSpPr>
      <dsp:spPr>
        <a:xfrm>
          <a:off x="1526390" y="2884420"/>
          <a:ext cx="1038344" cy="522442"/>
        </a:xfrm>
        <a:prstGeom prst="roundRect">
          <a:avLst>
            <a:gd name="adj" fmla="val 10000"/>
          </a:avLst>
        </a:prstGeom>
        <a:solidFill>
          <a:schemeClr val="accent4">
            <a:hueOff val="3299968"/>
            <a:satOff val="-14601"/>
            <a:lumOff val="-2452"/>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Social media</a:t>
          </a:r>
        </a:p>
      </dsp:txBody>
      <dsp:txXfrm>
        <a:off x="1541692" y="2899722"/>
        <a:ext cx="1007740" cy="491838"/>
      </dsp:txXfrm>
    </dsp:sp>
    <dsp:sp modelId="{54D1B6DF-C431-4949-9002-AC4A4A1F1F46}">
      <dsp:nvSpPr>
        <dsp:cNvPr id="0" name=""/>
        <dsp:cNvSpPr/>
      </dsp:nvSpPr>
      <dsp:spPr>
        <a:xfrm>
          <a:off x="2791872" y="0"/>
          <a:ext cx="1297930" cy="3586264"/>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b="1" kern="1200">
              <a:latin typeface="Century Gothic" panose="020B0502020202020204" pitchFamily="34" charset="0"/>
            </a:rPr>
            <a:t>Client Experience Marketing</a:t>
          </a:r>
        </a:p>
      </dsp:txBody>
      <dsp:txXfrm>
        <a:off x="2791872" y="0"/>
        <a:ext cx="1297930" cy="1075879"/>
      </dsp:txXfrm>
    </dsp:sp>
    <dsp:sp modelId="{AB15F36A-3405-4F63-A92B-E76F2B110C6B}">
      <dsp:nvSpPr>
        <dsp:cNvPr id="0" name=""/>
        <dsp:cNvSpPr/>
      </dsp:nvSpPr>
      <dsp:spPr>
        <a:xfrm>
          <a:off x="2921665" y="1075966"/>
          <a:ext cx="1038344" cy="522442"/>
        </a:xfrm>
        <a:prstGeom prst="roundRect">
          <a:avLst>
            <a:gd name="adj" fmla="val 10000"/>
          </a:avLst>
        </a:prstGeom>
        <a:solidFill>
          <a:schemeClr val="accent4">
            <a:hueOff val="3712465"/>
            <a:satOff val="-16426"/>
            <a:lumOff val="-2758"/>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Client-centric campaigns</a:t>
          </a:r>
        </a:p>
      </dsp:txBody>
      <dsp:txXfrm>
        <a:off x="2936967" y="1091268"/>
        <a:ext cx="1007740" cy="491838"/>
      </dsp:txXfrm>
    </dsp:sp>
    <dsp:sp modelId="{0F83D25B-9B74-48EC-9175-3603AB1DB6F4}">
      <dsp:nvSpPr>
        <dsp:cNvPr id="0" name=""/>
        <dsp:cNvSpPr/>
      </dsp:nvSpPr>
      <dsp:spPr>
        <a:xfrm>
          <a:off x="2921665" y="1678784"/>
          <a:ext cx="1038344" cy="522442"/>
        </a:xfrm>
        <a:prstGeom prst="roundRect">
          <a:avLst>
            <a:gd name="adj" fmla="val 10000"/>
          </a:avLst>
        </a:prstGeom>
        <a:solidFill>
          <a:schemeClr val="accent4">
            <a:hueOff val="4124961"/>
            <a:satOff val="-18251"/>
            <a:lumOff val="-3064"/>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Data-driven insights</a:t>
          </a:r>
        </a:p>
      </dsp:txBody>
      <dsp:txXfrm>
        <a:off x="2936967" y="1694086"/>
        <a:ext cx="1007740" cy="491838"/>
      </dsp:txXfrm>
    </dsp:sp>
    <dsp:sp modelId="{1137E06E-B61F-41DF-A243-1E27C761942C}">
      <dsp:nvSpPr>
        <dsp:cNvPr id="0" name=""/>
        <dsp:cNvSpPr/>
      </dsp:nvSpPr>
      <dsp:spPr>
        <a:xfrm>
          <a:off x="2921665" y="2281602"/>
          <a:ext cx="1038344" cy="522442"/>
        </a:xfrm>
        <a:prstGeom prst="roundRect">
          <a:avLst>
            <a:gd name="adj" fmla="val 10000"/>
          </a:avLst>
        </a:prstGeom>
        <a:solidFill>
          <a:schemeClr val="accent4">
            <a:hueOff val="4537457"/>
            <a:satOff val="-20076"/>
            <a:lumOff val="-3371"/>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Multi-channel strategy development</a:t>
          </a:r>
        </a:p>
      </dsp:txBody>
      <dsp:txXfrm>
        <a:off x="2936967" y="2296904"/>
        <a:ext cx="1007740" cy="491838"/>
      </dsp:txXfrm>
    </dsp:sp>
    <dsp:sp modelId="{09431CD9-D4C0-4960-8860-DF64CAC2CABA}">
      <dsp:nvSpPr>
        <dsp:cNvPr id="0" name=""/>
        <dsp:cNvSpPr/>
      </dsp:nvSpPr>
      <dsp:spPr>
        <a:xfrm>
          <a:off x="2921665" y="2884420"/>
          <a:ext cx="1038344" cy="522442"/>
        </a:xfrm>
        <a:prstGeom prst="roundRect">
          <a:avLst>
            <a:gd name="adj" fmla="val 10000"/>
          </a:avLst>
        </a:prstGeom>
        <a:solidFill>
          <a:schemeClr val="accent4">
            <a:hueOff val="4949952"/>
            <a:satOff val="-21901"/>
            <a:lumOff val="-3677"/>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State and/or national level marketing</a:t>
          </a:r>
        </a:p>
      </dsp:txBody>
      <dsp:txXfrm>
        <a:off x="2936967" y="2899722"/>
        <a:ext cx="1007740" cy="491838"/>
      </dsp:txXfrm>
    </dsp:sp>
    <dsp:sp modelId="{9BE7D5A2-2627-4B4F-88D0-48DD367EB9ED}">
      <dsp:nvSpPr>
        <dsp:cNvPr id="0" name=""/>
        <dsp:cNvSpPr/>
      </dsp:nvSpPr>
      <dsp:spPr>
        <a:xfrm>
          <a:off x="4187147" y="0"/>
          <a:ext cx="1297930" cy="3586264"/>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b="1" kern="1200">
              <a:latin typeface="Century Gothic" panose="020B0502020202020204" pitchFamily="34" charset="0"/>
            </a:rPr>
            <a:t>Integrated Marketing</a:t>
          </a:r>
        </a:p>
      </dsp:txBody>
      <dsp:txXfrm>
        <a:off x="4187147" y="0"/>
        <a:ext cx="1297930" cy="1075879"/>
      </dsp:txXfrm>
    </dsp:sp>
    <dsp:sp modelId="{8DBA2FC9-D99D-4E68-A925-C4945B5D78C6}">
      <dsp:nvSpPr>
        <dsp:cNvPr id="0" name=""/>
        <dsp:cNvSpPr/>
      </dsp:nvSpPr>
      <dsp:spPr>
        <a:xfrm>
          <a:off x="4316940" y="1075966"/>
          <a:ext cx="1038344" cy="522442"/>
        </a:xfrm>
        <a:prstGeom prst="roundRect">
          <a:avLst>
            <a:gd name="adj" fmla="val 10000"/>
          </a:avLst>
        </a:prstGeom>
        <a:solidFill>
          <a:schemeClr val="accent4">
            <a:hueOff val="5362449"/>
            <a:satOff val="-23727"/>
            <a:lumOff val="-3984"/>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Public relations</a:t>
          </a:r>
        </a:p>
      </dsp:txBody>
      <dsp:txXfrm>
        <a:off x="4332242" y="1091268"/>
        <a:ext cx="1007740" cy="491838"/>
      </dsp:txXfrm>
    </dsp:sp>
    <dsp:sp modelId="{5555190F-2B8C-42E9-A9BC-B5D896867924}">
      <dsp:nvSpPr>
        <dsp:cNvPr id="0" name=""/>
        <dsp:cNvSpPr/>
      </dsp:nvSpPr>
      <dsp:spPr>
        <a:xfrm>
          <a:off x="4316940" y="1678784"/>
          <a:ext cx="1038344" cy="522442"/>
        </a:xfrm>
        <a:prstGeom prst="roundRect">
          <a:avLst>
            <a:gd name="adj" fmla="val 10000"/>
          </a:avLst>
        </a:prstGeom>
        <a:solidFill>
          <a:schemeClr val="accent4">
            <a:hueOff val="5774945"/>
            <a:satOff val="-25552"/>
            <a:lumOff val="-429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Communication planning</a:t>
          </a:r>
        </a:p>
      </dsp:txBody>
      <dsp:txXfrm>
        <a:off x="4332242" y="1694086"/>
        <a:ext cx="1007740" cy="491838"/>
      </dsp:txXfrm>
    </dsp:sp>
    <dsp:sp modelId="{AB327AFA-82D9-4669-9345-BE1B246C8967}">
      <dsp:nvSpPr>
        <dsp:cNvPr id="0" name=""/>
        <dsp:cNvSpPr/>
      </dsp:nvSpPr>
      <dsp:spPr>
        <a:xfrm>
          <a:off x="4316940" y="2281602"/>
          <a:ext cx="1038344" cy="522442"/>
        </a:xfrm>
        <a:prstGeom prst="roundRect">
          <a:avLst>
            <a:gd name="adj" fmla="val 10000"/>
          </a:avLst>
        </a:prstGeom>
        <a:solidFill>
          <a:schemeClr val="accent4">
            <a:hueOff val="6187441"/>
            <a:satOff val="-27377"/>
            <a:lumOff val="-4597"/>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Thought leadership and content</a:t>
          </a:r>
        </a:p>
      </dsp:txBody>
      <dsp:txXfrm>
        <a:off x="4332242" y="2296904"/>
        <a:ext cx="1007740" cy="491838"/>
      </dsp:txXfrm>
    </dsp:sp>
    <dsp:sp modelId="{FA77B1E9-06E3-4D4C-B3BD-0BFCECF0ED4D}">
      <dsp:nvSpPr>
        <dsp:cNvPr id="0" name=""/>
        <dsp:cNvSpPr/>
      </dsp:nvSpPr>
      <dsp:spPr>
        <a:xfrm>
          <a:off x="4316940" y="2884420"/>
          <a:ext cx="1038344" cy="522442"/>
        </a:xfrm>
        <a:prstGeom prst="roundRect">
          <a:avLst>
            <a:gd name="adj" fmla="val 10000"/>
          </a:avLst>
        </a:prstGeom>
        <a:solidFill>
          <a:schemeClr val="accent4">
            <a:hueOff val="6599937"/>
            <a:satOff val="-29202"/>
            <a:lumOff val="-4903"/>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rPr>
            <a:t>Conference and trade show events</a:t>
          </a:r>
        </a:p>
      </dsp:txBody>
      <dsp:txXfrm>
        <a:off x="4332242" y="2899722"/>
        <a:ext cx="1007740" cy="491838"/>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CFC8A3A-075C-4FE2-BDF5-E5E650EFE6A5}">
      <dsp:nvSpPr>
        <dsp:cNvPr id="0" name=""/>
        <dsp:cNvSpPr/>
      </dsp:nvSpPr>
      <dsp:spPr>
        <a:xfrm>
          <a:off x="0" y="96668"/>
          <a:ext cx="1714499" cy="1028700"/>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What type of verifications should go in each category? Proof of Identity and Proof of Other?</a:t>
          </a:r>
        </a:p>
      </dsp:txBody>
      <dsp:txXfrm>
        <a:off x="0" y="96668"/>
        <a:ext cx="1714499" cy="1028700"/>
      </dsp:txXfrm>
    </dsp:sp>
    <dsp:sp modelId="{9E79E3D4-E145-4ABD-9F81-20E91F1AD962}">
      <dsp:nvSpPr>
        <dsp:cNvPr id="0" name=""/>
        <dsp:cNvSpPr/>
      </dsp:nvSpPr>
      <dsp:spPr>
        <a:xfrm>
          <a:off x="1885950" y="96668"/>
          <a:ext cx="1714499" cy="1028700"/>
        </a:xfrm>
        <a:prstGeom prst="rect">
          <a:avLst/>
        </a:prstGeom>
        <a:solidFill>
          <a:schemeClr val="accent4">
            <a:hueOff val="1319987"/>
            <a:satOff val="-5840"/>
            <a:lumOff val="-98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Where should the SSN be uploaded, under Proof of Identity or Proof of Other?</a:t>
          </a:r>
        </a:p>
      </dsp:txBody>
      <dsp:txXfrm>
        <a:off x="1885950" y="96668"/>
        <a:ext cx="1714499" cy="1028700"/>
      </dsp:txXfrm>
    </dsp:sp>
    <dsp:sp modelId="{72ADE3F4-73BC-4944-93DC-07063B9707B5}">
      <dsp:nvSpPr>
        <dsp:cNvPr id="0" name=""/>
        <dsp:cNvSpPr/>
      </dsp:nvSpPr>
      <dsp:spPr>
        <a:xfrm>
          <a:off x="3771900" y="96668"/>
          <a:ext cx="1714499" cy="1028700"/>
        </a:xfrm>
        <a:prstGeom prst="rect">
          <a:avLst/>
        </a:prstGeom>
        <a:solidFill>
          <a:schemeClr val="accent4">
            <a:hueOff val="2639975"/>
            <a:satOff val="-11681"/>
            <a:lumOff val="-196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Rent Receipt for the CalFresh program, where should that be uploaded? under Proof of Other?</a:t>
          </a:r>
        </a:p>
      </dsp:txBody>
      <dsp:txXfrm>
        <a:off x="3771900" y="96668"/>
        <a:ext cx="1714499" cy="1028700"/>
      </dsp:txXfrm>
    </dsp:sp>
    <dsp:sp modelId="{3D69ADB3-FC71-498D-9A4D-CDDC2CD41CAE}">
      <dsp:nvSpPr>
        <dsp:cNvPr id="0" name=""/>
        <dsp:cNvSpPr/>
      </dsp:nvSpPr>
      <dsp:spPr>
        <a:xfrm>
          <a:off x="0" y="1296818"/>
          <a:ext cx="1714499" cy="1028700"/>
        </a:xfrm>
        <a:prstGeom prst="rect">
          <a:avLst/>
        </a:prstGeom>
        <a:solidFill>
          <a:schemeClr val="accent4">
            <a:hueOff val="3959962"/>
            <a:satOff val="-17521"/>
            <a:lumOff val="-294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To add a family member to an existing medical does the MC 371, proof of idenity etc get uploaded as "other"?</a:t>
          </a:r>
        </a:p>
      </dsp:txBody>
      <dsp:txXfrm>
        <a:off x="0" y="1296818"/>
        <a:ext cx="1714499" cy="1028700"/>
      </dsp:txXfrm>
    </dsp:sp>
    <dsp:sp modelId="{E6F4EDB2-6031-4B3D-829F-1ABC85CE9F4A}">
      <dsp:nvSpPr>
        <dsp:cNvPr id="0" name=""/>
        <dsp:cNvSpPr/>
      </dsp:nvSpPr>
      <dsp:spPr>
        <a:xfrm>
          <a:off x="1885950" y="1296818"/>
          <a:ext cx="1714499" cy="1028700"/>
        </a:xfrm>
        <a:prstGeom prst="rect">
          <a:avLst/>
        </a:prstGeom>
        <a:solidFill>
          <a:schemeClr val="accent4">
            <a:hueOff val="5279950"/>
            <a:satOff val="-23362"/>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Is Calworks child support?</a:t>
          </a:r>
        </a:p>
      </dsp:txBody>
      <dsp:txXfrm>
        <a:off x="1885950" y="1296818"/>
        <a:ext cx="1714499" cy="1028700"/>
      </dsp:txXfrm>
    </dsp:sp>
    <dsp:sp modelId="{07CA66AE-698A-4D9D-8E92-DD28D6993D30}">
      <dsp:nvSpPr>
        <dsp:cNvPr id="0" name=""/>
        <dsp:cNvSpPr/>
      </dsp:nvSpPr>
      <dsp:spPr>
        <a:xfrm>
          <a:off x="3771900" y="1296818"/>
          <a:ext cx="1714499" cy="1028700"/>
        </a:xfrm>
        <a:prstGeom prst="rect">
          <a:avLst/>
        </a:prstGeom>
        <a:solidFill>
          <a:schemeClr val="accent4">
            <a:hueOff val="6599937"/>
            <a:satOff val="-29202"/>
            <a:lumOff val="-490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Can we get a copy of the recording of this training?</a:t>
          </a:r>
        </a:p>
      </dsp:txBody>
      <dsp:txXfrm>
        <a:off x="3771900" y="1296818"/>
        <a:ext cx="1714499" cy="1028700"/>
      </dsp:txXfrm>
    </dsp:sp>
  </dsp:spTree>
</dsp:drawing>
</file>

<file path=word/diagrams/layout1.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LinedList">
  <dgm:title val=""/>
  <dgm:desc val=""/>
  <dgm:catLst>
    <dgm:cat type="hierarchy" pri="8000"/>
    <dgm:cat type="list" pri="25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clrData>
  <dgm:layoutNode name="vert0">
    <dgm:varLst>
      <dgm:dir/>
      <dgm:animOne val="branch"/>
      <dgm:animLvl val="lvl"/>
    </dgm:varLst>
    <dgm:choose name="Name0">
      <dgm:if name="Name1"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onstrLst>
      <dgm:constr type="w" for="ch" forName="horz1" refType="w"/>
      <dgm:constr type="h" for="ch" forName="horz1" refType="h"/>
      <dgm:constr type="h" for="des" forName="vert1" refType="h"/>
      <dgm:constr type="h" for="des" forName="tx1" refType="h"/>
      <dgm:constr type="h" for="des" forName="horz2" refType="h"/>
      <dgm:constr type="h" for="des" forName="vert2" refType="h"/>
      <dgm:constr type="h" for="des" forName="horz3" refType="h"/>
      <dgm:constr type="h" for="des" forName="vert3" refType="h"/>
      <dgm:constr type="h" for="des" forName="horz4" refType="h"/>
      <dgm:constr type="h" for="des" ptType="node" refType="h"/>
      <dgm:constr type="primFontSz" for="des" forName="tx1" op="equ" val="65"/>
      <dgm:constr type="primFontSz" for="des" forName="tx2" op="equ" val="65"/>
      <dgm:constr type="primFontSz" for="des" forName="tx3" op="equ" val="65"/>
      <dgm:constr type="primFontSz" for="des" forName="tx4" op="equ" val="65"/>
      <dgm:constr type="w" for="des" forName="thickLine" refType="w"/>
      <dgm:constr type="h" for="des" forName="thickLine"/>
      <dgm:constr type="h" for="des" forName="thinLine1"/>
      <dgm:constr type="h" for="des" forName="thinLine2b"/>
      <dgm:constr type="h" for="des" forName="thinLine3"/>
      <dgm:constr type="h" for="des" forName="vertSpace2a" refType="h" fact="0.05"/>
      <dgm:constr type="h" for="des" forName="vertSpace2b" refType="h" refFor="des" refForName="vertSpace2a"/>
    </dgm:constrLst>
    <dgm:forEach name="Name3" axis="ch" ptType="node">
      <dgm:layoutNode name="thickLine" styleLbl="alignNode1">
        <dgm:alg type="sp"/>
        <dgm:shape xmlns:r="http://schemas.openxmlformats.org/officeDocument/2006/relationships" type="line" r:blip="">
          <dgm:adjLst/>
        </dgm:shape>
        <dgm:presOf/>
      </dgm:layoutNode>
      <dgm:layoutNode name="horz1">
        <dgm:choose name="Name4">
          <dgm:if name="Name5" func="var" arg="dir" op="equ" val="norm">
            <dgm:alg type="lin">
              <dgm:param type="linDir" val="fromL"/>
              <dgm:param type="nodeVertAlign" val="t"/>
            </dgm:alg>
          </dgm:if>
          <dgm:else name="Name6">
            <dgm:alg type="lin">
              <dgm:param type="linDir" val="fromR"/>
              <dgm:param type="nodeVertAlign" val="t"/>
            </dgm:alg>
          </dgm:else>
        </dgm:choose>
        <dgm:shape xmlns:r="http://schemas.openxmlformats.org/officeDocument/2006/relationships" r:blip="">
          <dgm:adjLst/>
        </dgm:shape>
        <dgm:presOf/>
        <dgm:choose name="Name7">
          <dgm:if name="Name8" axis="root des" func="maxDepth" op="equ" val="1">
            <dgm:constrLst>
              <dgm:constr type="w" for="ch" forName="tx1" refType="w"/>
            </dgm:constrLst>
          </dgm:if>
          <dgm:if name="Name9" axis="root des" func="maxDepth" op="equ" val="2">
            <dgm:constrLst>
              <dgm:constr type="w" for="ch" forName="tx1" refType="w" fact="0.2"/>
              <dgm:constr type="w" for="des" forName="tx2" refType="w" fact="0.785"/>
              <dgm:constr type="w" for="des" forName="horzSpace2" refType="w" fact="0.015"/>
              <dgm:constr type="w" for="des" forName="thinLine2b" refType="w" fact="0.8"/>
            </dgm:constrLst>
          </dgm:if>
          <dgm:if name="Name10" axis="root des" func="maxDepth" op="equ" val="3">
            <dgm:constrLst>
              <dgm:constr type="w" for="ch" forName="tx1" refType="w" fact="0.2"/>
              <dgm:constr type="w" for="des" forName="tx2" refType="w" fact="0.385"/>
              <dgm:constr type="w" for="des" forName="tx3" refType="w" fact="0.385"/>
              <dgm:constr type="w" for="des" forName="horzSpace2" refType="w" fact="0.015"/>
              <dgm:constr type="w" for="des" forName="horzSpace3" refType="w" fact="0.015"/>
              <dgm:constr type="w" for="des" forName="thinLine2b" refType="w" fact="0.8"/>
              <dgm:constr type="w" for="des" forName="thinLine3" refType="w" fact="0.385"/>
            </dgm:constrLst>
          </dgm:if>
          <dgm:if name="Name11" axis="root des" func="maxDepth" op="gte" val="4">
            <dgm:constrLst>
              <dgm:constr type="w" for="ch" forName="tx1" refType="w" fact="0.2"/>
              <dgm:constr type="w" for="des" forName="tx2" refType="w" fact="0.2516"/>
              <dgm:constr type="w" for="des" forName="tx3" refType="w" fact="0.2516"/>
              <dgm:constr type="w" for="des" forName="tx4" refType="w" fact="0.2516"/>
              <dgm:constr type="w" for="des" forName="horzSpace2" refType="w" fact="0.015"/>
              <dgm:constr type="w" for="des" forName="horzSpace3" refType="w" fact="0.015"/>
              <dgm:constr type="w" for="des" forName="horzSpace4" refType="w" fact="0.015"/>
              <dgm:constr type="w" for="des" forName="thinLine2b" refType="w" fact="0.8"/>
              <dgm:constr type="w" for="des" forName="thinLine3" refType="w" fact="0.5332"/>
            </dgm:constrLst>
          </dgm:if>
          <dgm:else name="Name12"/>
        </dgm:choose>
        <dgm:layoutNode name="tx1"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1">
          <dgm:choose name="Name13">
            <dgm:if name="Name14" func="var" arg="dir" op="equ" val="norm">
              <dgm:alg type="lin">
                <dgm:param type="linDir" val="fromT"/>
                <dgm:param type="nodeHorzAlign" val="l"/>
              </dgm:alg>
            </dgm:if>
            <dgm:else name="Name15">
              <dgm:alg type="lin">
                <dgm:param type="linDir" val="fromT"/>
                <dgm:param type="nodeHorzAlign" val="r"/>
              </dgm:alg>
            </dgm:else>
          </dgm:choose>
          <dgm:shape xmlns:r="http://schemas.openxmlformats.org/officeDocument/2006/relationships" r:blip="">
            <dgm:adjLst/>
          </dgm:shape>
          <dgm:presOf/>
          <dgm:forEach name="Name16" axis="ch" ptType="node">
            <dgm:choose name="Name17">
              <dgm:if name="Name18" axis="self" ptType="node" func="pos" op="equ" val="1">
                <dgm:layoutNode name="vertSpace2a">
                  <dgm:alg type="sp"/>
                  <dgm:shape xmlns:r="http://schemas.openxmlformats.org/officeDocument/2006/relationships" r:blip="">
                    <dgm:adjLst/>
                  </dgm:shape>
                  <dgm:presOf/>
                </dgm:layoutNode>
              </dgm:if>
              <dgm:else name="Name19"/>
            </dgm:choose>
            <dgm:layoutNode name="horz2">
              <dgm:choose name="Name20">
                <dgm:if name="Name21" func="var" arg="dir" op="equ" val="norm">
                  <dgm:alg type="lin">
                    <dgm:param type="linDir" val="fromL"/>
                    <dgm:param type="nodeVertAlign" val="t"/>
                  </dgm:alg>
                </dgm:if>
                <dgm:else name="Name22">
                  <dgm:alg type="lin">
                    <dgm:param type="linDir" val="fromR"/>
                    <dgm:param type="nodeVertAlign" val="t"/>
                  </dgm:alg>
                </dgm:else>
              </dgm:choose>
              <dgm:shape xmlns:r="http://schemas.openxmlformats.org/officeDocument/2006/relationships" r:blip="">
                <dgm:adjLst/>
              </dgm:shape>
              <dgm:presOf/>
              <dgm:layoutNode name="horzSpace2">
                <dgm:alg type="sp"/>
                <dgm:shape xmlns:r="http://schemas.openxmlformats.org/officeDocument/2006/relationships" r:blip="">
                  <dgm:adjLst/>
                </dgm:shape>
                <dgm:presOf/>
              </dgm:layoutNode>
              <dgm:layoutNode name="tx2"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2">
                <dgm:choose name="Name23">
                  <dgm:if name="Name24" func="var" arg="dir" op="equ" val="norm">
                    <dgm:alg type="lin">
                      <dgm:param type="linDir" val="fromT"/>
                      <dgm:param type="nodeHorzAlign" val="l"/>
                    </dgm:alg>
                  </dgm:if>
                  <dgm:else name="Name25">
                    <dgm:alg type="lin">
                      <dgm:param type="linDir" val="fromT"/>
                      <dgm:param type="nodeHorzAlign" val="r"/>
                    </dgm:alg>
                  </dgm:else>
                </dgm:choose>
                <dgm:shape xmlns:r="http://schemas.openxmlformats.org/officeDocument/2006/relationships" r:blip="">
                  <dgm:adjLst/>
                </dgm:shape>
                <dgm:presOf/>
                <dgm:forEach name="Name26" axis="ch" ptType="node">
                  <dgm:layoutNode name="horz3">
                    <dgm:choose name="Name27">
                      <dgm:if name="Name28" func="var" arg="dir" op="equ" val="norm">
                        <dgm:alg type="lin">
                          <dgm:param type="linDir" val="fromL"/>
                          <dgm:param type="nodeVertAlign" val="t"/>
                        </dgm:alg>
                      </dgm:if>
                      <dgm:else name="Name29">
                        <dgm:alg type="lin">
                          <dgm:param type="linDir" val="fromR"/>
                          <dgm:param type="nodeVertAlign" val="t"/>
                        </dgm:alg>
                      </dgm:else>
                    </dgm:choose>
                    <dgm:shape xmlns:r="http://schemas.openxmlformats.org/officeDocument/2006/relationships" r:blip="">
                      <dgm:adjLst/>
                    </dgm:shape>
                    <dgm:presOf/>
                    <dgm:layoutNode name="horzSpace3">
                      <dgm:alg type="sp"/>
                      <dgm:shape xmlns:r="http://schemas.openxmlformats.org/officeDocument/2006/relationships" r:blip="">
                        <dgm:adjLst/>
                      </dgm:shape>
                      <dgm:presOf/>
                    </dgm:layoutNode>
                    <dgm:layoutNode name="tx3"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3">
                      <dgm:choose name="Name30">
                        <dgm:if name="Name31" func="var" arg="dir" op="equ" val="norm">
                          <dgm:alg type="lin">
                            <dgm:param type="linDir" val="fromT"/>
                            <dgm:param type="nodeHorzAlign" val="l"/>
                          </dgm:alg>
                        </dgm:if>
                        <dgm:else name="Name32">
                          <dgm:alg type="lin">
                            <dgm:param type="linDir" val="fromT"/>
                            <dgm:param type="nodeHorzAlign" val="r"/>
                          </dgm:alg>
                        </dgm:else>
                      </dgm:choose>
                      <dgm:shape xmlns:r="http://schemas.openxmlformats.org/officeDocument/2006/relationships" r:blip="">
                        <dgm:adjLst/>
                      </dgm:shape>
                      <dgm:presOf/>
                      <dgm:forEach name="Name33" axis="ch" ptType="node">
                        <dgm:layoutNode name="horz4">
                          <dgm:choose name="Name34">
                            <dgm:if name="Name35" func="var" arg="dir" op="equ" val="norm">
                              <dgm:alg type="lin">
                                <dgm:param type="linDir" val="fromL"/>
                                <dgm:param type="nodeVertAlign" val="t"/>
                              </dgm:alg>
                            </dgm:if>
                            <dgm:else name="Name36">
                              <dgm:alg type="lin">
                                <dgm:param type="linDir" val="fromR"/>
                                <dgm:param type="nodeVertAlign" val="t"/>
                              </dgm:alg>
                            </dgm:else>
                          </dgm:choose>
                          <dgm:shape xmlns:r="http://schemas.openxmlformats.org/officeDocument/2006/relationships" r:blip="">
                            <dgm:adjLst/>
                          </dgm:shape>
                          <dgm:presOf/>
                          <dgm:layoutNode name="horzSpace4">
                            <dgm:alg type="sp"/>
                            <dgm:shape xmlns:r="http://schemas.openxmlformats.org/officeDocument/2006/relationships" r:blip="">
                              <dgm:adjLst/>
                            </dgm:shape>
                            <dgm:presOf/>
                          </dgm:layoutNode>
                          <dgm:layoutNode name="tx4" styleLbl="revTx">
                            <dgm:varLst>
                              <dgm:bulletEnabled val="1"/>
                            </dgm:varLst>
                            <dgm:alg type="tx">
                              <dgm:param type="parTxLTRAlign" val="l"/>
                              <dgm:param type="parTxRTLAlign" val="r"/>
                              <dgm:param type="txAnchorVert" val="t"/>
                            </dgm:alg>
                            <dgm:shape xmlns:r="http://schemas.openxmlformats.org/officeDocument/2006/relationships" type="rect" r:blip="">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dgm:layoutNode>
                  </dgm:layoutNode>
                  <dgm:forEach name="Name37" axis="followSib" ptType="sibTrans" cnt="1">
                    <dgm:layoutNode name="thinLine3" styleLbl="callout">
                      <dgm:alg type="sp"/>
                      <dgm:shape xmlns:r="http://schemas.openxmlformats.org/officeDocument/2006/relationships" type="line" r:blip="">
                        <dgm:adjLst/>
                      </dgm:shape>
                      <dgm:presOf/>
                    </dgm:layoutNode>
                  </dgm:forEach>
                </dgm:forEach>
              </dgm:layoutNode>
            </dgm:layoutNode>
            <dgm:layoutNode name="thinLine2b" styleLbl="callout">
              <dgm:alg type="sp"/>
              <dgm:shape xmlns:r="http://schemas.openxmlformats.org/officeDocument/2006/relationships" type="line" r:blip="">
                <dgm:adjLst/>
              </dgm:shape>
              <dgm:presOf/>
            </dgm:layoutNode>
            <dgm:layoutNode name="vertSpace2b">
              <dgm:alg type="sp"/>
              <dgm:shape xmlns:r="http://schemas.openxmlformats.org/officeDocument/2006/relationships" r:blip="">
                <dgm:adjLst/>
              </dgm:shape>
              <dgm:presOf/>
            </dgm:layoutNode>
          </dgm:forEach>
        </dgm:layoutNode>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layout4.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5.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8/layout/LinedList">
  <dgm:title val=""/>
  <dgm:desc val=""/>
  <dgm:catLst>
    <dgm:cat type="hierarchy" pri="8000"/>
    <dgm:cat type="list" pri="25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clrData>
  <dgm:layoutNode name="vert0">
    <dgm:varLst>
      <dgm:dir/>
      <dgm:animOne val="branch"/>
      <dgm:animLvl val="lvl"/>
    </dgm:varLst>
    <dgm:choose name="Name0">
      <dgm:if name="Name1"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onstrLst>
      <dgm:constr type="w" for="ch" forName="horz1" refType="w"/>
      <dgm:constr type="h" for="ch" forName="horz1" refType="h"/>
      <dgm:constr type="h" for="des" forName="vert1" refType="h"/>
      <dgm:constr type="h" for="des" forName="tx1" refType="h"/>
      <dgm:constr type="h" for="des" forName="horz2" refType="h"/>
      <dgm:constr type="h" for="des" forName="vert2" refType="h"/>
      <dgm:constr type="h" for="des" forName="horz3" refType="h"/>
      <dgm:constr type="h" for="des" forName="vert3" refType="h"/>
      <dgm:constr type="h" for="des" forName="horz4" refType="h"/>
      <dgm:constr type="h" for="des" ptType="node" refType="h"/>
      <dgm:constr type="primFontSz" for="des" forName="tx1" op="equ" val="65"/>
      <dgm:constr type="primFontSz" for="des" forName="tx2" op="equ" val="65"/>
      <dgm:constr type="primFontSz" for="des" forName="tx3" op="equ" val="65"/>
      <dgm:constr type="primFontSz" for="des" forName="tx4" op="equ" val="65"/>
      <dgm:constr type="w" for="des" forName="thickLine" refType="w"/>
      <dgm:constr type="h" for="des" forName="thickLine"/>
      <dgm:constr type="h" for="des" forName="thinLine1"/>
      <dgm:constr type="h" for="des" forName="thinLine2b"/>
      <dgm:constr type="h" for="des" forName="thinLine3"/>
      <dgm:constr type="h" for="des" forName="vertSpace2a" refType="h" fact="0.05"/>
      <dgm:constr type="h" for="des" forName="vertSpace2b" refType="h" refFor="des" refForName="vertSpace2a"/>
    </dgm:constrLst>
    <dgm:forEach name="Name3" axis="ch" ptType="node">
      <dgm:layoutNode name="thickLine" styleLbl="alignNode1">
        <dgm:alg type="sp"/>
        <dgm:shape xmlns:r="http://schemas.openxmlformats.org/officeDocument/2006/relationships" type="line" r:blip="">
          <dgm:adjLst/>
        </dgm:shape>
        <dgm:presOf/>
      </dgm:layoutNode>
      <dgm:layoutNode name="horz1">
        <dgm:choose name="Name4">
          <dgm:if name="Name5" func="var" arg="dir" op="equ" val="norm">
            <dgm:alg type="lin">
              <dgm:param type="linDir" val="fromL"/>
              <dgm:param type="nodeVertAlign" val="t"/>
            </dgm:alg>
          </dgm:if>
          <dgm:else name="Name6">
            <dgm:alg type="lin">
              <dgm:param type="linDir" val="fromR"/>
              <dgm:param type="nodeVertAlign" val="t"/>
            </dgm:alg>
          </dgm:else>
        </dgm:choose>
        <dgm:shape xmlns:r="http://schemas.openxmlformats.org/officeDocument/2006/relationships" r:blip="">
          <dgm:adjLst/>
        </dgm:shape>
        <dgm:presOf/>
        <dgm:choose name="Name7">
          <dgm:if name="Name8" axis="root des" func="maxDepth" op="equ" val="1">
            <dgm:constrLst>
              <dgm:constr type="w" for="ch" forName="tx1" refType="w"/>
            </dgm:constrLst>
          </dgm:if>
          <dgm:if name="Name9" axis="root des" func="maxDepth" op="equ" val="2">
            <dgm:constrLst>
              <dgm:constr type="w" for="ch" forName="tx1" refType="w" fact="0.2"/>
              <dgm:constr type="w" for="des" forName="tx2" refType="w" fact="0.785"/>
              <dgm:constr type="w" for="des" forName="horzSpace2" refType="w" fact="0.015"/>
              <dgm:constr type="w" for="des" forName="thinLine2b" refType="w" fact="0.8"/>
            </dgm:constrLst>
          </dgm:if>
          <dgm:if name="Name10" axis="root des" func="maxDepth" op="equ" val="3">
            <dgm:constrLst>
              <dgm:constr type="w" for="ch" forName="tx1" refType="w" fact="0.2"/>
              <dgm:constr type="w" for="des" forName="tx2" refType="w" fact="0.385"/>
              <dgm:constr type="w" for="des" forName="tx3" refType="w" fact="0.385"/>
              <dgm:constr type="w" for="des" forName="horzSpace2" refType="w" fact="0.015"/>
              <dgm:constr type="w" for="des" forName="horzSpace3" refType="w" fact="0.015"/>
              <dgm:constr type="w" for="des" forName="thinLine2b" refType="w" fact="0.8"/>
              <dgm:constr type="w" for="des" forName="thinLine3" refType="w" fact="0.385"/>
            </dgm:constrLst>
          </dgm:if>
          <dgm:if name="Name11" axis="root des" func="maxDepth" op="gte" val="4">
            <dgm:constrLst>
              <dgm:constr type="w" for="ch" forName="tx1" refType="w" fact="0.2"/>
              <dgm:constr type="w" for="des" forName="tx2" refType="w" fact="0.2516"/>
              <dgm:constr type="w" for="des" forName="tx3" refType="w" fact="0.2516"/>
              <dgm:constr type="w" for="des" forName="tx4" refType="w" fact="0.2516"/>
              <dgm:constr type="w" for="des" forName="horzSpace2" refType="w" fact="0.015"/>
              <dgm:constr type="w" for="des" forName="horzSpace3" refType="w" fact="0.015"/>
              <dgm:constr type="w" for="des" forName="horzSpace4" refType="w" fact="0.015"/>
              <dgm:constr type="w" for="des" forName="thinLine2b" refType="w" fact="0.8"/>
              <dgm:constr type="w" for="des" forName="thinLine3" refType="w" fact="0.5332"/>
            </dgm:constrLst>
          </dgm:if>
          <dgm:else name="Name12"/>
        </dgm:choose>
        <dgm:layoutNode name="tx1"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1">
          <dgm:choose name="Name13">
            <dgm:if name="Name14" func="var" arg="dir" op="equ" val="norm">
              <dgm:alg type="lin">
                <dgm:param type="linDir" val="fromT"/>
                <dgm:param type="nodeHorzAlign" val="l"/>
              </dgm:alg>
            </dgm:if>
            <dgm:else name="Name15">
              <dgm:alg type="lin">
                <dgm:param type="linDir" val="fromT"/>
                <dgm:param type="nodeHorzAlign" val="r"/>
              </dgm:alg>
            </dgm:else>
          </dgm:choose>
          <dgm:shape xmlns:r="http://schemas.openxmlformats.org/officeDocument/2006/relationships" r:blip="">
            <dgm:adjLst/>
          </dgm:shape>
          <dgm:presOf/>
          <dgm:forEach name="Name16" axis="ch" ptType="node">
            <dgm:choose name="Name17">
              <dgm:if name="Name18" axis="self" ptType="node" func="pos" op="equ" val="1">
                <dgm:layoutNode name="vertSpace2a">
                  <dgm:alg type="sp"/>
                  <dgm:shape xmlns:r="http://schemas.openxmlformats.org/officeDocument/2006/relationships" r:blip="">
                    <dgm:adjLst/>
                  </dgm:shape>
                  <dgm:presOf/>
                </dgm:layoutNode>
              </dgm:if>
              <dgm:else name="Name19"/>
            </dgm:choose>
            <dgm:layoutNode name="horz2">
              <dgm:choose name="Name20">
                <dgm:if name="Name21" func="var" arg="dir" op="equ" val="norm">
                  <dgm:alg type="lin">
                    <dgm:param type="linDir" val="fromL"/>
                    <dgm:param type="nodeVertAlign" val="t"/>
                  </dgm:alg>
                </dgm:if>
                <dgm:else name="Name22">
                  <dgm:alg type="lin">
                    <dgm:param type="linDir" val="fromR"/>
                    <dgm:param type="nodeVertAlign" val="t"/>
                  </dgm:alg>
                </dgm:else>
              </dgm:choose>
              <dgm:shape xmlns:r="http://schemas.openxmlformats.org/officeDocument/2006/relationships" r:blip="">
                <dgm:adjLst/>
              </dgm:shape>
              <dgm:presOf/>
              <dgm:layoutNode name="horzSpace2">
                <dgm:alg type="sp"/>
                <dgm:shape xmlns:r="http://schemas.openxmlformats.org/officeDocument/2006/relationships" r:blip="">
                  <dgm:adjLst/>
                </dgm:shape>
                <dgm:presOf/>
              </dgm:layoutNode>
              <dgm:layoutNode name="tx2"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2">
                <dgm:choose name="Name23">
                  <dgm:if name="Name24" func="var" arg="dir" op="equ" val="norm">
                    <dgm:alg type="lin">
                      <dgm:param type="linDir" val="fromT"/>
                      <dgm:param type="nodeHorzAlign" val="l"/>
                    </dgm:alg>
                  </dgm:if>
                  <dgm:else name="Name25">
                    <dgm:alg type="lin">
                      <dgm:param type="linDir" val="fromT"/>
                      <dgm:param type="nodeHorzAlign" val="r"/>
                    </dgm:alg>
                  </dgm:else>
                </dgm:choose>
                <dgm:shape xmlns:r="http://schemas.openxmlformats.org/officeDocument/2006/relationships" r:blip="">
                  <dgm:adjLst/>
                </dgm:shape>
                <dgm:presOf/>
                <dgm:forEach name="Name26" axis="ch" ptType="node">
                  <dgm:layoutNode name="horz3">
                    <dgm:choose name="Name27">
                      <dgm:if name="Name28" func="var" arg="dir" op="equ" val="norm">
                        <dgm:alg type="lin">
                          <dgm:param type="linDir" val="fromL"/>
                          <dgm:param type="nodeVertAlign" val="t"/>
                        </dgm:alg>
                      </dgm:if>
                      <dgm:else name="Name29">
                        <dgm:alg type="lin">
                          <dgm:param type="linDir" val="fromR"/>
                          <dgm:param type="nodeVertAlign" val="t"/>
                        </dgm:alg>
                      </dgm:else>
                    </dgm:choose>
                    <dgm:shape xmlns:r="http://schemas.openxmlformats.org/officeDocument/2006/relationships" r:blip="">
                      <dgm:adjLst/>
                    </dgm:shape>
                    <dgm:presOf/>
                    <dgm:layoutNode name="horzSpace3">
                      <dgm:alg type="sp"/>
                      <dgm:shape xmlns:r="http://schemas.openxmlformats.org/officeDocument/2006/relationships" r:blip="">
                        <dgm:adjLst/>
                      </dgm:shape>
                      <dgm:presOf/>
                    </dgm:layoutNode>
                    <dgm:layoutNode name="tx3"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3">
                      <dgm:choose name="Name30">
                        <dgm:if name="Name31" func="var" arg="dir" op="equ" val="norm">
                          <dgm:alg type="lin">
                            <dgm:param type="linDir" val="fromT"/>
                            <dgm:param type="nodeHorzAlign" val="l"/>
                          </dgm:alg>
                        </dgm:if>
                        <dgm:else name="Name32">
                          <dgm:alg type="lin">
                            <dgm:param type="linDir" val="fromT"/>
                            <dgm:param type="nodeHorzAlign" val="r"/>
                          </dgm:alg>
                        </dgm:else>
                      </dgm:choose>
                      <dgm:shape xmlns:r="http://schemas.openxmlformats.org/officeDocument/2006/relationships" r:blip="">
                        <dgm:adjLst/>
                      </dgm:shape>
                      <dgm:presOf/>
                      <dgm:forEach name="Name33" axis="ch" ptType="node">
                        <dgm:layoutNode name="horz4">
                          <dgm:choose name="Name34">
                            <dgm:if name="Name35" func="var" arg="dir" op="equ" val="norm">
                              <dgm:alg type="lin">
                                <dgm:param type="linDir" val="fromL"/>
                                <dgm:param type="nodeVertAlign" val="t"/>
                              </dgm:alg>
                            </dgm:if>
                            <dgm:else name="Name36">
                              <dgm:alg type="lin">
                                <dgm:param type="linDir" val="fromR"/>
                                <dgm:param type="nodeVertAlign" val="t"/>
                              </dgm:alg>
                            </dgm:else>
                          </dgm:choose>
                          <dgm:shape xmlns:r="http://schemas.openxmlformats.org/officeDocument/2006/relationships" r:blip="">
                            <dgm:adjLst/>
                          </dgm:shape>
                          <dgm:presOf/>
                          <dgm:layoutNode name="horzSpace4">
                            <dgm:alg type="sp"/>
                            <dgm:shape xmlns:r="http://schemas.openxmlformats.org/officeDocument/2006/relationships" r:blip="">
                              <dgm:adjLst/>
                            </dgm:shape>
                            <dgm:presOf/>
                          </dgm:layoutNode>
                          <dgm:layoutNode name="tx4" styleLbl="revTx">
                            <dgm:varLst>
                              <dgm:bulletEnabled val="1"/>
                            </dgm:varLst>
                            <dgm:alg type="tx">
                              <dgm:param type="parTxLTRAlign" val="l"/>
                              <dgm:param type="parTxRTLAlign" val="r"/>
                              <dgm:param type="txAnchorVert" val="t"/>
                            </dgm:alg>
                            <dgm:shape xmlns:r="http://schemas.openxmlformats.org/officeDocument/2006/relationships" type="rect" r:blip="">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dgm:layoutNode>
                  </dgm:layoutNode>
                  <dgm:forEach name="Name37" axis="followSib" ptType="sibTrans" cnt="1">
                    <dgm:layoutNode name="thinLine3" styleLbl="callout">
                      <dgm:alg type="sp"/>
                      <dgm:shape xmlns:r="http://schemas.openxmlformats.org/officeDocument/2006/relationships" type="line" r:blip="">
                        <dgm:adjLst/>
                      </dgm:shape>
                      <dgm:presOf/>
                    </dgm:layoutNode>
                  </dgm:forEach>
                </dgm:forEach>
              </dgm:layoutNode>
            </dgm:layoutNode>
            <dgm:layoutNode name="thinLine2b" styleLbl="callout">
              <dgm:alg type="sp"/>
              <dgm:shape xmlns:r="http://schemas.openxmlformats.org/officeDocument/2006/relationships" type="line" r:blip="">
                <dgm:adjLst/>
              </dgm:shape>
              <dgm:presOf/>
            </dgm:layoutNode>
            <dgm:layoutNode name="vertSpace2b">
              <dgm:alg type="sp"/>
              <dgm:shape xmlns:r="http://schemas.openxmlformats.org/officeDocument/2006/relationships" r:blip="">
                <dgm:adjLst/>
              </dgm:shape>
              <dgm:presOf/>
            </dgm:layoutNode>
          </dgm:forEach>
        </dgm:layoutNode>
      </dgm:layoutNode>
    </dgm:forEach>
  </dgm:layoutNode>
</dgm:layoutDef>
</file>

<file path=word/diagrams/layout7.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8.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9.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5bce90d6-5a2c-47e0-8337-aac7acda0e97" ContentTypeId="0x0101" PreviousValue="false" LastSyncTimeStamp="2017-02-08T00:21:31.923Z"/>
</file>

<file path=customXml/item3.xml><?xml version="1.0" encoding="utf-8"?>
<ct:contentTypeSchema xmlns:ct="http://schemas.microsoft.com/office/2006/metadata/contentType" xmlns:ma="http://schemas.microsoft.com/office/2006/metadata/properties/metaAttributes" ct:_="" ma:_="" ma:contentTypeName="Document" ma:contentTypeID="0x010100703E43879668C741A93FF66657A6223C" ma:contentTypeVersion="10" ma:contentTypeDescription="Create a new document." ma:contentTypeScope="" ma:versionID="43cda01a5d1f26c75f518c9870548fca">
  <xsd:schema xmlns:xsd="http://www.w3.org/2001/XMLSchema" xmlns:xs="http://www.w3.org/2001/XMLSchema" xmlns:p="http://schemas.microsoft.com/office/2006/metadata/properties" xmlns:ns2="500343c0-af67-4d55-b6f3-a7838e163d14" xmlns:ns3="704fbf3e-536c-48c8-a47a-1af40c08ab6f" targetNamespace="http://schemas.microsoft.com/office/2006/metadata/properties" ma:root="true" ma:fieldsID="e5c326f998604f6c2892067f28aaa354" ns2:_="" ns3:_="">
    <xsd:import namespace="500343c0-af67-4d55-b6f3-a7838e163d14"/>
    <xsd:import namespace="704fbf3e-536c-48c8-a47a-1af40c08ab6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7" nillable="true" ma:displayName="Taxonomy Catch All Column" ma:hidden="true" ma:list="{f01343e8-0c87-4555-a8ae-610eb149ee94}" ma:internalName="TaxCatchAll" ma:showField="CatchAllData" ma:web="ded99a83-cbae-481a-8e33-dc69c50d9d1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4fbf3e-536c-48c8-a47a-1af40c08ab6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5bce90d6-5a2c-47e0-8337-aac7acda0e97"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PROCURE-20580911-212</_dlc_DocId>
    <_dlc_DocIdUrl xmlns="500343c0-af67-4d55-b6f3-a7838e163d14">
      <Url>https://osicagov.sharepoint.com/sites/Procurement/CalSAWS/_layouts/15/DocIdRedir.aspx?ID=PROCURE-20580911-212</Url>
      <Description>PROCURE-20580911-212</Description>
    </_dlc_DocIdUrl>
    <lcf76f155ced4ddcb4097134ff3c332f xmlns="704fbf3e-536c-48c8-a47a-1af40c08ab6f">
      <Terms xmlns="http://schemas.microsoft.com/office/infopath/2007/PartnerControls"/>
    </lcf76f155ced4ddcb4097134ff3c332f>
    <TaxCatchAll xmlns="500343c0-af67-4d55-b6f3-a7838e163d1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AA0E66-3FF3-4EE8-AEAC-68579F2A478D}">
  <ds:schemaRefs>
    <ds:schemaRef ds:uri="http://schemas.microsoft.com/sharepoint/events"/>
  </ds:schemaRefs>
</ds:datastoreItem>
</file>

<file path=customXml/itemProps2.xml><?xml version="1.0" encoding="utf-8"?>
<ds:datastoreItem xmlns:ds="http://schemas.openxmlformats.org/officeDocument/2006/customXml" ds:itemID="{D7B9C648-FA4E-44DC-AE45-665C879EDAEF}">
  <ds:schemaRefs>
    <ds:schemaRef ds:uri="Microsoft.SharePoint.Taxonomy.ContentTypeSync"/>
  </ds:schemaRefs>
</ds:datastoreItem>
</file>

<file path=customXml/itemProps3.xml><?xml version="1.0" encoding="utf-8"?>
<ds:datastoreItem xmlns:ds="http://schemas.openxmlformats.org/officeDocument/2006/customXml" ds:itemID="{6B1FDB33-589C-4CF2-BCB5-7DCDBD17D5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704fbf3e-536c-48c8-a47a-1af40c08ab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3B2B5E-1EF9-4E07-9B1A-3A4E0BAAC902}">
  <ds:schemaRefs>
    <ds:schemaRef ds:uri="http://schemas.microsoft.com/office/2006/metadata/properties"/>
    <ds:schemaRef ds:uri="http://schemas.microsoft.com/office/infopath/2007/PartnerControls"/>
    <ds:schemaRef ds:uri="ea4026c8-3390-414a-b854-51b266cbd192"/>
    <ds:schemaRef ds:uri="2aee61e6-86cc-40b7-a95d-8a3fe4e64fa9"/>
    <ds:schemaRef ds:uri="500343c0-af67-4d55-b6f3-a7838e163d14"/>
    <ds:schemaRef ds:uri="704fbf3e-536c-48c8-a47a-1af40c08ab6f"/>
  </ds:schemaRefs>
</ds:datastoreItem>
</file>

<file path=customXml/itemProps5.xml><?xml version="1.0" encoding="utf-8"?>
<ds:datastoreItem xmlns:ds="http://schemas.openxmlformats.org/officeDocument/2006/customXml" ds:itemID="{A43E42B4-41F5-4743-BD21-69AEBE50C442}">
  <ds:schemaRefs>
    <ds:schemaRef ds:uri="http://schemas.microsoft.com/sharepoint/v3/contenttype/forms"/>
  </ds:schemaRefs>
</ds:datastoreItem>
</file>

<file path=customXml/itemProps6.xml><?xml version="1.0" encoding="utf-8"?>
<ds:datastoreItem xmlns:ds="http://schemas.openxmlformats.org/officeDocument/2006/customXml" ds:itemID="{C883E9D9-CE27-4542-B585-472DA95F6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Gainwell Proposal Template_CalSAWS.dotm</Template>
  <TotalTime>1</TotalTime>
  <Pages>115</Pages>
  <Words>31748</Words>
  <Characters>180965</Characters>
  <Application>Microsoft Office Word</Application>
  <DocSecurity>0</DocSecurity>
  <Lines>1508</Lines>
  <Paragraphs>424</Paragraphs>
  <ScaleCrop>false</ScaleCrop>
  <Company/>
  <LinksUpToDate>false</LinksUpToDate>
  <CharactersWithSpaces>212289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Williams, Caitlin</dc:creator>
  <cp:keywords/>
  <dc:description/>
  <cp:lastModifiedBy>Stacey Drohan</cp:lastModifiedBy>
  <cp:revision>2</cp:revision>
  <dcterms:created xsi:type="dcterms:W3CDTF">2025-03-24T00:25:00Z</dcterms:created>
  <dcterms:modified xsi:type="dcterms:W3CDTF">2025-03-24T00:25:00Z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0x010100703E43879668C741A93FF66657A6223C</vt:lpwstr>
  </property>
  <property fmtid="{D5CDD505-2E9C-101B-9397-08002B2CF9AE}" pid="3" name="MediaServiceImageTags">
    <vt:lpwstr/>
  </property>
  <property fmtid="{D5CDD505-2E9C-101B-9397-08002B2CF9AE}" pid="4" name="Order">
    <vt:lpwstr>7300.00000000000</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lpwstr/>
  </property>
  <property fmtid="{D5CDD505-2E9C-101B-9397-08002B2CF9AE}" pid="11" name="_dlc_DocIdItemGuid">
    <vt:lpwstr>7daff1b4-0a77-4a0f-b59d-cbf51e790914</vt:lpwstr>
  </property>
</Properties>
</file>